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5D52ED">
      <w:pPr>
        <w:widowControl/>
        <w:adjustRightInd w:val="0"/>
        <w:snapToGrid w:val="0"/>
        <w:spacing w:line="360" w:lineRule="auto"/>
        <w:jc w:val="center"/>
        <w:rPr>
          <w:rFonts w:hint="eastAsia" w:eastAsia="华文新魏" w:cs="Times New Roman"/>
          <w:color w:val="auto"/>
          <w:kern w:val="0"/>
          <w:sz w:val="44"/>
          <w:szCs w:val="48"/>
        </w:rPr>
      </w:pPr>
    </w:p>
    <w:p w14:paraId="53433A25">
      <w:pPr>
        <w:widowControl/>
        <w:adjustRightInd w:val="0"/>
        <w:snapToGrid w:val="0"/>
        <w:spacing w:line="360" w:lineRule="auto"/>
        <w:jc w:val="center"/>
        <w:rPr>
          <w:rFonts w:hint="eastAsia" w:eastAsia="华文新魏" w:cs="Times New Roman"/>
          <w:color w:val="auto"/>
          <w:kern w:val="0"/>
          <w:sz w:val="44"/>
          <w:szCs w:val="48"/>
        </w:rPr>
      </w:pPr>
    </w:p>
    <w:p w14:paraId="09840B47">
      <w:pPr>
        <w:widowControl/>
        <w:adjustRightInd w:val="0"/>
        <w:snapToGrid w:val="0"/>
        <w:spacing w:line="360" w:lineRule="auto"/>
        <w:jc w:val="center"/>
        <w:rPr>
          <w:rFonts w:hint="eastAsia" w:ascii="Times New Roman" w:hAnsi="Times New Roman" w:eastAsia="华文新魏" w:cs="Times New Roman"/>
          <w:color w:val="auto"/>
          <w:kern w:val="0"/>
          <w:sz w:val="44"/>
          <w:szCs w:val="48"/>
          <w:lang w:val="en-US" w:eastAsia="zh-CN"/>
        </w:rPr>
      </w:pPr>
      <w:r>
        <w:rPr>
          <w:rFonts w:hint="eastAsia" w:ascii="Times New Roman" w:hAnsi="Times New Roman" w:eastAsia="华文新魏" w:cs="Times New Roman"/>
          <w:color w:val="auto"/>
          <w:kern w:val="0"/>
          <w:sz w:val="44"/>
          <w:szCs w:val="48"/>
        </w:rPr>
        <w:t>河南</w:t>
      </w:r>
      <w:r>
        <w:rPr>
          <w:rFonts w:hint="eastAsia" w:ascii="Times New Roman" w:hAnsi="Times New Roman" w:eastAsia="华文新魏" w:cs="Times New Roman"/>
          <w:color w:val="auto"/>
          <w:kern w:val="0"/>
          <w:sz w:val="44"/>
          <w:szCs w:val="48"/>
          <w:lang w:val="en-US" w:eastAsia="zh-CN"/>
        </w:rPr>
        <w:t>省养乐奇生物科技有限责任公司</w:t>
      </w:r>
    </w:p>
    <w:p w14:paraId="240D296D">
      <w:pPr>
        <w:widowControl/>
        <w:adjustRightInd w:val="0"/>
        <w:snapToGrid w:val="0"/>
        <w:spacing w:line="360" w:lineRule="auto"/>
        <w:jc w:val="center"/>
        <w:rPr>
          <w:rFonts w:hint="eastAsia" w:ascii="Times New Roman" w:hAnsi="Times New Roman" w:eastAsia="华文新魏" w:cs="Times New Roman"/>
          <w:color w:val="auto"/>
          <w:kern w:val="0"/>
          <w:sz w:val="44"/>
          <w:szCs w:val="48"/>
          <w:lang w:eastAsia="zh-CN"/>
        </w:rPr>
      </w:pPr>
      <w:r>
        <w:rPr>
          <w:rFonts w:hint="eastAsia" w:ascii="Times New Roman" w:hAnsi="Times New Roman" w:eastAsia="华文新魏" w:cs="Times New Roman"/>
          <w:color w:val="auto"/>
          <w:kern w:val="0"/>
          <w:sz w:val="44"/>
          <w:szCs w:val="48"/>
        </w:rPr>
        <w:t>年产</w:t>
      </w:r>
      <w:r>
        <w:rPr>
          <w:rFonts w:hint="eastAsia" w:ascii="Times New Roman" w:hAnsi="Times New Roman" w:eastAsia="华文新魏" w:cs="Times New Roman"/>
          <w:color w:val="auto"/>
          <w:kern w:val="0"/>
          <w:sz w:val="44"/>
          <w:szCs w:val="48"/>
          <w:lang w:val="en-US" w:eastAsia="zh-CN"/>
        </w:rPr>
        <w:t>6000</w:t>
      </w:r>
      <w:r>
        <w:rPr>
          <w:rFonts w:hint="eastAsia" w:ascii="Times New Roman" w:hAnsi="Times New Roman" w:eastAsia="华文新魏" w:cs="Times New Roman"/>
          <w:color w:val="auto"/>
          <w:kern w:val="0"/>
          <w:sz w:val="44"/>
          <w:szCs w:val="48"/>
        </w:rPr>
        <w:t>万只塑料</w:t>
      </w:r>
      <w:r>
        <w:rPr>
          <w:rFonts w:hint="eastAsia" w:ascii="Times New Roman" w:hAnsi="Times New Roman" w:eastAsia="华文新魏" w:cs="Times New Roman"/>
          <w:color w:val="auto"/>
          <w:kern w:val="0"/>
          <w:sz w:val="44"/>
          <w:szCs w:val="48"/>
          <w:lang w:val="en-US" w:eastAsia="zh-CN"/>
        </w:rPr>
        <w:t>瓶</w:t>
      </w:r>
      <w:r>
        <w:rPr>
          <w:rFonts w:hint="eastAsia" w:ascii="Times New Roman" w:hAnsi="Times New Roman" w:eastAsia="华文新魏" w:cs="Times New Roman"/>
          <w:color w:val="auto"/>
          <w:kern w:val="0"/>
          <w:sz w:val="44"/>
          <w:szCs w:val="48"/>
        </w:rPr>
        <w:t>项目</w:t>
      </w:r>
      <w:r>
        <w:rPr>
          <w:rFonts w:hint="eastAsia" w:eastAsia="华文新魏" w:cs="Times New Roman"/>
          <w:color w:val="auto"/>
          <w:kern w:val="0"/>
          <w:sz w:val="44"/>
          <w:szCs w:val="48"/>
          <w:lang w:eastAsia="zh-CN"/>
        </w:rPr>
        <w:t>（</w:t>
      </w:r>
      <w:r>
        <w:rPr>
          <w:rFonts w:hint="eastAsia" w:eastAsia="华文新魏" w:cs="Times New Roman"/>
          <w:color w:val="auto"/>
          <w:kern w:val="0"/>
          <w:sz w:val="44"/>
          <w:szCs w:val="48"/>
          <w:lang w:val="en-US" w:eastAsia="zh-CN"/>
        </w:rPr>
        <w:t>一期</w:t>
      </w:r>
      <w:r>
        <w:rPr>
          <w:rFonts w:hint="eastAsia" w:eastAsia="华文新魏" w:cs="Times New Roman"/>
          <w:color w:val="auto"/>
          <w:kern w:val="0"/>
          <w:sz w:val="44"/>
          <w:szCs w:val="48"/>
          <w:lang w:eastAsia="zh-CN"/>
        </w:rPr>
        <w:t>）</w:t>
      </w:r>
    </w:p>
    <w:p w14:paraId="7512D493">
      <w:pPr>
        <w:widowControl/>
        <w:adjustRightInd w:val="0"/>
        <w:snapToGrid w:val="0"/>
        <w:spacing w:line="360" w:lineRule="auto"/>
        <w:jc w:val="center"/>
        <w:rPr>
          <w:rFonts w:eastAsia="华文新魏" w:cs="Times New Roman"/>
          <w:color w:val="auto"/>
          <w:kern w:val="0"/>
          <w:sz w:val="44"/>
          <w:szCs w:val="48"/>
        </w:rPr>
      </w:pPr>
      <w:r>
        <w:rPr>
          <w:rFonts w:hint="eastAsia" w:eastAsia="华文新魏" w:cs="Times New Roman"/>
          <w:color w:val="auto"/>
          <w:kern w:val="0"/>
          <w:sz w:val="44"/>
          <w:szCs w:val="48"/>
        </w:rPr>
        <w:t>竣工环境保护验收报告</w:t>
      </w:r>
    </w:p>
    <w:p w14:paraId="667E88C8">
      <w:pPr>
        <w:widowControl/>
        <w:adjustRightInd w:val="0"/>
        <w:snapToGrid w:val="0"/>
        <w:spacing w:after="200"/>
        <w:jc w:val="center"/>
        <w:rPr>
          <w:rFonts w:eastAsia="华文新魏" w:cs="Times New Roman"/>
          <w:color w:val="auto"/>
          <w:kern w:val="0"/>
          <w:sz w:val="28"/>
          <w:szCs w:val="28"/>
        </w:rPr>
      </w:pPr>
    </w:p>
    <w:p w14:paraId="1F523F11">
      <w:pPr>
        <w:widowControl/>
        <w:adjustRightInd w:val="0"/>
        <w:snapToGrid w:val="0"/>
        <w:spacing w:after="200"/>
        <w:jc w:val="center"/>
        <w:rPr>
          <w:rFonts w:eastAsia="华文新魏" w:cs="Times New Roman"/>
          <w:color w:val="auto"/>
          <w:kern w:val="0"/>
          <w:sz w:val="28"/>
          <w:szCs w:val="28"/>
        </w:rPr>
      </w:pPr>
    </w:p>
    <w:p w14:paraId="314A43EC">
      <w:pPr>
        <w:widowControl/>
        <w:adjustRightInd w:val="0"/>
        <w:snapToGrid w:val="0"/>
        <w:spacing w:after="200"/>
        <w:jc w:val="center"/>
        <w:rPr>
          <w:rFonts w:eastAsia="华文新魏" w:cs="Times New Roman"/>
          <w:color w:val="auto"/>
          <w:kern w:val="0"/>
          <w:sz w:val="28"/>
          <w:szCs w:val="28"/>
        </w:rPr>
      </w:pPr>
    </w:p>
    <w:p w14:paraId="091C78EC">
      <w:pPr>
        <w:widowControl/>
        <w:adjustRightInd w:val="0"/>
        <w:snapToGrid w:val="0"/>
        <w:spacing w:after="200"/>
        <w:jc w:val="center"/>
        <w:rPr>
          <w:rFonts w:eastAsia="华文新魏" w:cs="Times New Roman"/>
          <w:color w:val="auto"/>
          <w:kern w:val="0"/>
          <w:sz w:val="28"/>
          <w:szCs w:val="28"/>
        </w:rPr>
      </w:pPr>
    </w:p>
    <w:p w14:paraId="59F4DFDF">
      <w:pPr>
        <w:widowControl/>
        <w:adjustRightInd w:val="0"/>
        <w:snapToGrid w:val="0"/>
        <w:spacing w:after="200"/>
        <w:jc w:val="center"/>
        <w:rPr>
          <w:rFonts w:eastAsia="华文新魏" w:cs="Times New Roman"/>
          <w:color w:val="auto"/>
          <w:kern w:val="0"/>
          <w:sz w:val="28"/>
          <w:szCs w:val="28"/>
        </w:rPr>
      </w:pPr>
    </w:p>
    <w:p w14:paraId="2328714F">
      <w:pPr>
        <w:widowControl/>
        <w:adjustRightInd w:val="0"/>
        <w:snapToGrid w:val="0"/>
        <w:spacing w:after="200"/>
        <w:jc w:val="center"/>
        <w:rPr>
          <w:rFonts w:eastAsia="华文新魏" w:cs="Times New Roman"/>
          <w:color w:val="auto"/>
          <w:kern w:val="0"/>
          <w:sz w:val="28"/>
          <w:szCs w:val="28"/>
        </w:rPr>
      </w:pPr>
    </w:p>
    <w:p w14:paraId="616D140E">
      <w:pPr>
        <w:widowControl/>
        <w:adjustRightInd w:val="0"/>
        <w:snapToGrid w:val="0"/>
        <w:spacing w:after="200"/>
        <w:jc w:val="center"/>
        <w:rPr>
          <w:rFonts w:eastAsia="华文新魏" w:cs="Times New Roman"/>
          <w:color w:val="auto"/>
          <w:kern w:val="0"/>
          <w:sz w:val="28"/>
          <w:szCs w:val="28"/>
        </w:rPr>
      </w:pPr>
    </w:p>
    <w:p w14:paraId="1BDE7DA8">
      <w:pPr>
        <w:widowControl/>
        <w:adjustRightInd w:val="0"/>
        <w:snapToGrid w:val="0"/>
        <w:spacing w:after="200"/>
        <w:jc w:val="center"/>
        <w:rPr>
          <w:rFonts w:eastAsia="华文新魏" w:cs="Times New Roman"/>
          <w:color w:val="auto"/>
          <w:kern w:val="0"/>
          <w:sz w:val="28"/>
          <w:szCs w:val="28"/>
        </w:rPr>
      </w:pPr>
    </w:p>
    <w:p w14:paraId="01AB08E8">
      <w:pPr>
        <w:widowControl/>
        <w:adjustRightInd w:val="0"/>
        <w:snapToGrid w:val="0"/>
        <w:spacing w:after="200"/>
        <w:jc w:val="center"/>
        <w:rPr>
          <w:rFonts w:eastAsia="华文新魏" w:cs="Times New Roman"/>
          <w:color w:val="auto"/>
          <w:kern w:val="0"/>
          <w:sz w:val="28"/>
          <w:szCs w:val="28"/>
        </w:rPr>
      </w:pPr>
    </w:p>
    <w:p w14:paraId="12E48B6C">
      <w:pPr>
        <w:widowControl/>
        <w:adjustRightInd w:val="0"/>
        <w:snapToGrid w:val="0"/>
        <w:spacing w:after="200"/>
        <w:jc w:val="center"/>
        <w:rPr>
          <w:rFonts w:hint="eastAsia" w:eastAsia="华文新魏" w:cs="Times New Roman"/>
          <w:color w:val="auto"/>
          <w:kern w:val="0"/>
          <w:sz w:val="28"/>
          <w:szCs w:val="28"/>
        </w:rPr>
      </w:pPr>
    </w:p>
    <w:p w14:paraId="1313AB7F">
      <w:pPr>
        <w:widowControl/>
        <w:adjustRightInd w:val="0"/>
        <w:snapToGrid w:val="0"/>
        <w:spacing w:after="200"/>
        <w:jc w:val="center"/>
        <w:rPr>
          <w:rFonts w:eastAsia="华文新魏" w:cs="Times New Roman"/>
          <w:color w:val="auto"/>
          <w:kern w:val="0"/>
          <w:sz w:val="28"/>
          <w:szCs w:val="28"/>
        </w:rPr>
      </w:pPr>
    </w:p>
    <w:p w14:paraId="06AA1543">
      <w:pPr>
        <w:widowControl/>
        <w:adjustRightInd w:val="0"/>
        <w:snapToGrid w:val="0"/>
        <w:spacing w:after="200"/>
        <w:jc w:val="center"/>
        <w:rPr>
          <w:rFonts w:hint="eastAsia" w:eastAsia="华文新魏" w:cs="Times New Roman"/>
          <w:color w:val="auto"/>
          <w:kern w:val="0"/>
          <w:sz w:val="28"/>
          <w:szCs w:val="28"/>
        </w:rPr>
      </w:pPr>
    </w:p>
    <w:p w14:paraId="67053A05">
      <w:pPr>
        <w:widowControl/>
        <w:adjustRightInd w:val="0"/>
        <w:snapToGrid w:val="0"/>
        <w:spacing w:after="200"/>
        <w:jc w:val="center"/>
        <w:rPr>
          <w:rFonts w:hint="eastAsia" w:eastAsia="华文新魏" w:cs="Times New Roman"/>
          <w:color w:val="auto"/>
          <w:kern w:val="0"/>
          <w:sz w:val="28"/>
          <w:szCs w:val="28"/>
        </w:rPr>
      </w:pPr>
    </w:p>
    <w:p w14:paraId="2457B474">
      <w:pPr>
        <w:widowControl/>
        <w:adjustRightInd w:val="0"/>
        <w:snapToGrid w:val="0"/>
        <w:spacing w:after="200"/>
        <w:jc w:val="center"/>
        <w:rPr>
          <w:rFonts w:eastAsia="华文新魏" w:cs="Times New Roman"/>
          <w:color w:val="auto"/>
          <w:kern w:val="0"/>
          <w:sz w:val="28"/>
          <w:szCs w:val="28"/>
        </w:rPr>
      </w:pPr>
      <w:r>
        <w:rPr>
          <w:rFonts w:hint="eastAsia" w:eastAsia="华文新魏" w:cs="Times New Roman"/>
          <w:color w:val="auto"/>
          <w:kern w:val="0"/>
          <w:sz w:val="28"/>
          <w:szCs w:val="28"/>
        </w:rPr>
        <w:t>建设单位：</w:t>
      </w:r>
      <w:r>
        <w:rPr>
          <w:rFonts w:hint="eastAsia" w:ascii="Times New Roman" w:hAnsi="Times New Roman" w:eastAsia="华文新魏" w:cs="Times New Roman"/>
          <w:color w:val="auto"/>
          <w:kern w:val="0"/>
          <w:sz w:val="28"/>
          <w:szCs w:val="28"/>
        </w:rPr>
        <w:t>河南</w:t>
      </w:r>
      <w:r>
        <w:rPr>
          <w:rFonts w:hint="eastAsia" w:ascii="Times New Roman" w:hAnsi="Times New Roman" w:eastAsia="华文新魏" w:cs="Times New Roman"/>
          <w:color w:val="auto"/>
          <w:kern w:val="0"/>
          <w:sz w:val="28"/>
          <w:szCs w:val="28"/>
          <w:lang w:val="en-US" w:eastAsia="zh-CN"/>
        </w:rPr>
        <w:t>省养乐奇生物科技有限责任公司</w:t>
      </w:r>
      <w:r>
        <w:rPr>
          <w:rFonts w:eastAsia="华文新魏" w:cs="Times New Roman"/>
          <w:color w:val="auto"/>
          <w:kern w:val="0"/>
          <w:sz w:val="28"/>
          <w:szCs w:val="28"/>
        </w:rPr>
        <w:t xml:space="preserve"> </w:t>
      </w:r>
      <w:r>
        <w:rPr>
          <w:rFonts w:hint="eastAsia" w:eastAsia="华文新魏" w:cs="Times New Roman"/>
          <w:color w:val="auto"/>
          <w:kern w:val="0"/>
          <w:sz w:val="28"/>
          <w:szCs w:val="28"/>
        </w:rPr>
        <w:t xml:space="preserve"> </w:t>
      </w:r>
      <w:r>
        <w:rPr>
          <w:rFonts w:eastAsia="华文新魏" w:cs="Times New Roman"/>
          <w:color w:val="auto"/>
          <w:kern w:val="0"/>
          <w:sz w:val="28"/>
          <w:szCs w:val="28"/>
        </w:rPr>
        <w:t xml:space="preserve">  </w:t>
      </w:r>
    </w:p>
    <w:p w14:paraId="53B27AE4">
      <w:pPr>
        <w:widowControl/>
        <w:adjustRightInd w:val="0"/>
        <w:snapToGrid w:val="0"/>
        <w:spacing w:after="200"/>
        <w:jc w:val="center"/>
        <w:rPr>
          <w:rFonts w:eastAsia="华文新魏" w:cs="Times New Roman"/>
          <w:color w:val="auto"/>
          <w:kern w:val="0"/>
          <w:sz w:val="28"/>
          <w:szCs w:val="28"/>
        </w:rPr>
      </w:pPr>
      <w:r>
        <w:rPr>
          <w:rFonts w:hint="eastAsia" w:eastAsia="华文新魏" w:cs="Times New Roman"/>
          <w:color w:val="auto"/>
          <w:kern w:val="0"/>
          <w:sz w:val="28"/>
          <w:szCs w:val="28"/>
        </w:rPr>
        <w:t>编制单位：</w:t>
      </w:r>
      <w:r>
        <w:rPr>
          <w:rFonts w:hint="eastAsia" w:ascii="Times New Roman" w:hAnsi="Times New Roman" w:eastAsia="华文新魏" w:cs="Times New Roman"/>
          <w:color w:val="auto"/>
          <w:kern w:val="0"/>
          <w:sz w:val="28"/>
          <w:szCs w:val="28"/>
        </w:rPr>
        <w:t>河南</w:t>
      </w:r>
      <w:r>
        <w:rPr>
          <w:rFonts w:hint="eastAsia" w:ascii="Times New Roman" w:hAnsi="Times New Roman" w:eastAsia="华文新魏" w:cs="Times New Roman"/>
          <w:color w:val="auto"/>
          <w:kern w:val="0"/>
          <w:sz w:val="28"/>
          <w:szCs w:val="28"/>
          <w:lang w:val="en-US" w:eastAsia="zh-CN"/>
        </w:rPr>
        <w:t>省养乐奇生物科技有限责任公司</w:t>
      </w:r>
      <w:r>
        <w:rPr>
          <w:rFonts w:eastAsia="华文新魏" w:cs="Times New Roman"/>
          <w:color w:val="auto"/>
          <w:kern w:val="0"/>
          <w:sz w:val="28"/>
          <w:szCs w:val="28"/>
        </w:rPr>
        <w:t xml:space="preserve">    </w:t>
      </w:r>
    </w:p>
    <w:p w14:paraId="02D291A5">
      <w:pPr>
        <w:widowControl/>
        <w:adjustRightInd w:val="0"/>
        <w:snapToGrid w:val="0"/>
        <w:spacing w:after="200"/>
        <w:jc w:val="center"/>
        <w:rPr>
          <w:rFonts w:eastAsia="华文新魏" w:cs="Times New Roman"/>
          <w:color w:val="auto"/>
          <w:kern w:val="0"/>
          <w:sz w:val="28"/>
          <w:szCs w:val="28"/>
        </w:rPr>
      </w:pPr>
      <w:r>
        <w:rPr>
          <w:rFonts w:eastAsia="华文新魏" w:cs="Times New Roman"/>
          <w:color w:val="auto"/>
          <w:kern w:val="0"/>
          <w:sz w:val="28"/>
          <w:szCs w:val="28"/>
        </w:rPr>
        <w:t>20</w:t>
      </w:r>
      <w:r>
        <w:rPr>
          <w:rFonts w:hint="eastAsia" w:eastAsia="华文新魏" w:cs="Times New Roman"/>
          <w:color w:val="auto"/>
          <w:kern w:val="0"/>
          <w:sz w:val="28"/>
          <w:szCs w:val="28"/>
        </w:rPr>
        <w:t>2</w:t>
      </w:r>
      <w:r>
        <w:rPr>
          <w:rFonts w:hint="eastAsia" w:eastAsia="华文新魏" w:cs="Times New Roman"/>
          <w:color w:val="auto"/>
          <w:kern w:val="0"/>
          <w:sz w:val="28"/>
          <w:szCs w:val="28"/>
          <w:lang w:val="en-US" w:eastAsia="zh-CN"/>
        </w:rPr>
        <w:t>6</w:t>
      </w:r>
      <w:r>
        <w:rPr>
          <w:rFonts w:hint="eastAsia" w:eastAsia="华文新魏" w:cs="Times New Roman"/>
          <w:color w:val="auto"/>
          <w:kern w:val="0"/>
          <w:sz w:val="28"/>
          <w:szCs w:val="28"/>
        </w:rPr>
        <w:t>年</w:t>
      </w:r>
      <w:r>
        <w:rPr>
          <w:rFonts w:hint="eastAsia" w:eastAsia="华文新魏" w:cs="Times New Roman"/>
          <w:color w:val="auto"/>
          <w:kern w:val="0"/>
          <w:sz w:val="28"/>
          <w:szCs w:val="28"/>
          <w:lang w:val="en-US" w:eastAsia="zh-CN"/>
        </w:rPr>
        <w:t>6</w:t>
      </w:r>
      <w:r>
        <w:rPr>
          <w:rFonts w:hint="eastAsia" w:eastAsia="华文新魏" w:cs="Times New Roman"/>
          <w:color w:val="auto"/>
          <w:kern w:val="0"/>
          <w:sz w:val="28"/>
          <w:szCs w:val="28"/>
        </w:rPr>
        <w:t>月</w:t>
      </w:r>
    </w:p>
    <w:p w14:paraId="632A285A">
      <w:pPr>
        <w:rPr>
          <w:color w:val="auto"/>
        </w:rPr>
      </w:pPr>
    </w:p>
    <w:tbl>
      <w:tblPr>
        <w:tblStyle w:val="19"/>
        <w:tblpPr w:leftFromText="180" w:rightFromText="180" w:vertAnchor="page" w:horzAnchor="page" w:tblpX="1783" w:tblpY="143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28"/>
        <w:gridCol w:w="5894"/>
      </w:tblGrid>
      <w:tr w14:paraId="4773C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23C2EAEF">
            <w:pPr>
              <w:keepNext w:val="0"/>
              <w:keepLines w:val="0"/>
              <w:pageBreakBefore w:val="0"/>
              <w:widowControl w:val="0"/>
              <w:kinsoku/>
              <w:wordWrap/>
              <w:overflowPunct/>
              <w:topLinePunct w:val="0"/>
              <w:autoSpaceDE/>
              <w:autoSpaceDN/>
              <w:bidi w:val="0"/>
              <w:adjustRightInd/>
              <w:snapToGrid w:val="0"/>
              <w:spacing w:before="157" w:beforeLines="50" w:after="157" w:afterLines="50" w:line="240" w:lineRule="auto"/>
              <w:ind w:left="0" w:leftChars="0" w:firstLine="0" w:firstLineChars="0"/>
              <w:jc w:val="center"/>
              <w:textAlignment w:val="auto"/>
              <w:rPr>
                <w:rFonts w:hint="eastAsia" w:ascii="仿宋_GB2312" w:eastAsia="仿宋_GB2312"/>
                <w:b/>
                <w:color w:val="auto"/>
                <w:sz w:val="28"/>
                <w:vertAlign w:val="baseline"/>
                <w:lang w:eastAsia="zh-CN"/>
              </w:rPr>
            </w:pPr>
            <w:r>
              <w:rPr>
                <w:rFonts w:hint="eastAsia" w:ascii="仿宋_GB2312" w:eastAsia="仿宋_GB2312"/>
                <w:b/>
                <w:color w:val="auto"/>
                <w:sz w:val="28"/>
              </w:rPr>
              <w:t>建设单位法人代表</w:t>
            </w:r>
            <w:r>
              <w:rPr>
                <w:rFonts w:hint="eastAsia" w:ascii="仿宋_GB2312" w:eastAsia="仿宋_GB2312"/>
                <w:b/>
                <w:color w:val="auto"/>
                <w:sz w:val="28"/>
                <w:lang w:eastAsia="zh-CN"/>
              </w:rPr>
              <w:t>：</w:t>
            </w:r>
          </w:p>
        </w:tc>
        <w:tc>
          <w:tcPr>
            <w:tcW w:w="5894" w:type="dxa"/>
            <w:tcBorders>
              <w:tl2br w:val="nil"/>
              <w:tr2bl w:val="nil"/>
            </w:tcBorders>
          </w:tcPr>
          <w:p w14:paraId="1C24A4F2">
            <w:pPr>
              <w:keepNext w:val="0"/>
              <w:keepLines w:val="0"/>
              <w:pageBreakBefore w:val="0"/>
              <w:widowControl w:val="0"/>
              <w:kinsoku/>
              <w:wordWrap/>
              <w:overflowPunct/>
              <w:topLinePunct w:val="0"/>
              <w:autoSpaceDE/>
              <w:autoSpaceDN/>
              <w:bidi w:val="0"/>
              <w:snapToGrid w:val="0"/>
              <w:spacing w:before="157" w:beforeLines="50" w:after="157" w:afterLines="50"/>
              <w:jc w:val="center"/>
              <w:textAlignment w:val="auto"/>
              <w:rPr>
                <w:rFonts w:hint="eastAsia" w:ascii="仿宋_GB2312" w:eastAsia="仿宋_GB2312"/>
                <w:b/>
                <w:color w:val="auto"/>
                <w:sz w:val="28"/>
                <w:vertAlign w:val="baseline"/>
              </w:rPr>
            </w:pPr>
            <w:r>
              <w:rPr>
                <w:rFonts w:hint="eastAsia" w:ascii="仿宋_GB2312" w:eastAsia="仿宋_GB2312"/>
                <w:color w:val="auto"/>
                <w:sz w:val="28"/>
              </w:rPr>
              <w:t>（签字）</w:t>
            </w:r>
          </w:p>
        </w:tc>
      </w:tr>
      <w:tr w14:paraId="566D5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3F13918F">
            <w:pPr>
              <w:keepNext w:val="0"/>
              <w:keepLines w:val="0"/>
              <w:pageBreakBefore w:val="0"/>
              <w:widowControl w:val="0"/>
              <w:kinsoku/>
              <w:wordWrap/>
              <w:overflowPunct/>
              <w:topLinePunct w:val="0"/>
              <w:autoSpaceDE/>
              <w:autoSpaceDN/>
              <w:bidi w:val="0"/>
              <w:adjustRightInd/>
              <w:snapToGrid w:val="0"/>
              <w:spacing w:before="157" w:beforeLines="50" w:after="157" w:afterLines="50" w:line="240" w:lineRule="auto"/>
              <w:ind w:left="0" w:leftChars="0" w:firstLine="0" w:firstLineChars="0"/>
              <w:jc w:val="center"/>
              <w:textAlignment w:val="auto"/>
              <w:rPr>
                <w:rFonts w:hint="eastAsia" w:ascii="仿宋_GB2312" w:eastAsia="仿宋_GB2312"/>
                <w:b/>
                <w:color w:val="auto"/>
                <w:sz w:val="28"/>
                <w:vertAlign w:val="baseline"/>
                <w:lang w:eastAsia="zh-CN"/>
              </w:rPr>
            </w:pPr>
            <w:r>
              <w:rPr>
                <w:rFonts w:hint="eastAsia" w:ascii="仿宋_GB2312" w:eastAsia="仿宋_GB2312"/>
                <w:b/>
                <w:color w:val="auto"/>
                <w:sz w:val="28"/>
              </w:rPr>
              <w:t>编制单位法人代表</w:t>
            </w:r>
            <w:r>
              <w:rPr>
                <w:rFonts w:hint="eastAsia" w:ascii="仿宋_GB2312" w:eastAsia="仿宋_GB2312"/>
                <w:b/>
                <w:color w:val="auto"/>
                <w:sz w:val="28"/>
                <w:lang w:eastAsia="zh-CN"/>
              </w:rPr>
              <w:t>：</w:t>
            </w:r>
          </w:p>
        </w:tc>
        <w:tc>
          <w:tcPr>
            <w:tcW w:w="5894" w:type="dxa"/>
            <w:tcBorders>
              <w:tl2br w:val="nil"/>
              <w:tr2bl w:val="nil"/>
            </w:tcBorders>
          </w:tcPr>
          <w:p w14:paraId="29248FC1">
            <w:pPr>
              <w:keepNext w:val="0"/>
              <w:keepLines w:val="0"/>
              <w:pageBreakBefore w:val="0"/>
              <w:widowControl w:val="0"/>
              <w:kinsoku/>
              <w:wordWrap/>
              <w:overflowPunct/>
              <w:topLinePunct w:val="0"/>
              <w:autoSpaceDE/>
              <w:autoSpaceDN/>
              <w:bidi w:val="0"/>
              <w:snapToGrid w:val="0"/>
              <w:spacing w:before="157" w:beforeLines="50" w:after="157" w:afterLines="50"/>
              <w:jc w:val="center"/>
              <w:textAlignment w:val="auto"/>
              <w:rPr>
                <w:rFonts w:hint="eastAsia" w:ascii="仿宋_GB2312" w:eastAsia="仿宋_GB2312"/>
                <w:b/>
                <w:color w:val="auto"/>
                <w:sz w:val="28"/>
                <w:vertAlign w:val="baseline"/>
              </w:rPr>
            </w:pPr>
            <w:r>
              <w:rPr>
                <w:rFonts w:hint="eastAsia" w:ascii="仿宋_GB2312" w:eastAsia="仿宋_GB2312"/>
                <w:color w:val="auto"/>
                <w:sz w:val="28"/>
              </w:rPr>
              <w:t>（签字）</w:t>
            </w:r>
          </w:p>
        </w:tc>
      </w:tr>
      <w:tr w14:paraId="019F3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2BE5CC42">
            <w:pPr>
              <w:keepNext w:val="0"/>
              <w:keepLines w:val="0"/>
              <w:pageBreakBefore w:val="0"/>
              <w:widowControl w:val="0"/>
              <w:kinsoku/>
              <w:wordWrap/>
              <w:overflowPunct/>
              <w:topLinePunct w:val="0"/>
              <w:autoSpaceDE/>
              <w:autoSpaceDN/>
              <w:bidi w:val="0"/>
              <w:adjustRightInd/>
              <w:snapToGrid w:val="0"/>
              <w:spacing w:before="157" w:beforeLines="50" w:after="157" w:afterLines="50" w:line="240" w:lineRule="auto"/>
              <w:ind w:left="0" w:leftChars="0" w:firstLine="0" w:firstLineChars="0"/>
              <w:jc w:val="center"/>
              <w:textAlignment w:val="auto"/>
              <w:rPr>
                <w:rFonts w:hint="eastAsia" w:ascii="仿宋_GB2312" w:eastAsia="仿宋_GB2312"/>
                <w:b/>
                <w:color w:val="auto"/>
                <w:spacing w:val="10"/>
                <w:w w:val="79"/>
                <w:sz w:val="28"/>
                <w:lang w:eastAsia="zh-CN"/>
              </w:rPr>
            </w:pPr>
            <w:r>
              <w:rPr>
                <w:rFonts w:hint="eastAsia" w:ascii="仿宋_GB2312" w:eastAsia="仿宋_GB2312"/>
                <w:b/>
                <w:color w:val="auto"/>
                <w:spacing w:val="10"/>
                <w:w w:val="79"/>
                <w:sz w:val="28"/>
              </w:rPr>
              <w:t>项目负责人</w:t>
            </w:r>
            <w:r>
              <w:rPr>
                <w:rFonts w:hint="eastAsia" w:ascii="仿宋_GB2312" w:eastAsia="仿宋_GB2312"/>
                <w:b/>
                <w:color w:val="auto"/>
                <w:spacing w:val="10"/>
                <w:w w:val="79"/>
                <w:sz w:val="28"/>
                <w:lang w:eastAsia="zh-CN"/>
              </w:rPr>
              <w:t>：</w:t>
            </w:r>
          </w:p>
        </w:tc>
        <w:tc>
          <w:tcPr>
            <w:tcW w:w="5894" w:type="dxa"/>
            <w:tcBorders>
              <w:tl2br w:val="nil"/>
              <w:tr2bl w:val="nil"/>
            </w:tcBorders>
          </w:tcPr>
          <w:p w14:paraId="1E0A6106">
            <w:pPr>
              <w:keepNext w:val="0"/>
              <w:keepLines w:val="0"/>
              <w:pageBreakBefore w:val="0"/>
              <w:widowControl w:val="0"/>
              <w:kinsoku/>
              <w:wordWrap/>
              <w:overflowPunct/>
              <w:topLinePunct w:val="0"/>
              <w:autoSpaceDE/>
              <w:autoSpaceDN/>
              <w:bidi w:val="0"/>
              <w:snapToGrid w:val="0"/>
              <w:spacing w:before="157" w:beforeLines="50" w:after="157" w:afterLines="50"/>
              <w:jc w:val="center"/>
              <w:textAlignment w:val="auto"/>
              <w:rPr>
                <w:rFonts w:hint="default" w:ascii="仿宋_GB2312" w:eastAsia="仿宋_GB2312"/>
                <w:b/>
                <w:color w:val="auto"/>
                <w:sz w:val="28"/>
                <w:highlight w:val="none"/>
                <w:vertAlign w:val="baseline"/>
                <w:lang w:val="en-US" w:eastAsia="zh-CN"/>
              </w:rPr>
            </w:pPr>
          </w:p>
        </w:tc>
      </w:tr>
      <w:tr w14:paraId="77A72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7C531AF7">
            <w:pPr>
              <w:keepNext w:val="0"/>
              <w:keepLines w:val="0"/>
              <w:pageBreakBefore w:val="0"/>
              <w:widowControl w:val="0"/>
              <w:kinsoku/>
              <w:wordWrap/>
              <w:overflowPunct/>
              <w:topLinePunct w:val="0"/>
              <w:autoSpaceDE/>
              <w:autoSpaceDN/>
              <w:bidi w:val="0"/>
              <w:adjustRightInd/>
              <w:snapToGrid w:val="0"/>
              <w:spacing w:before="157" w:beforeLines="50" w:after="157" w:afterLines="50" w:line="240" w:lineRule="auto"/>
              <w:ind w:left="0" w:leftChars="0" w:firstLine="0" w:firstLineChars="0"/>
              <w:jc w:val="center"/>
              <w:textAlignment w:val="auto"/>
              <w:rPr>
                <w:rFonts w:hint="eastAsia" w:ascii="仿宋_GB2312" w:eastAsia="仿宋_GB2312"/>
                <w:b/>
                <w:color w:val="auto"/>
                <w:spacing w:val="10"/>
                <w:w w:val="79"/>
                <w:sz w:val="28"/>
                <w:lang w:eastAsia="zh-CN"/>
              </w:rPr>
            </w:pPr>
            <w:r>
              <w:rPr>
                <w:rFonts w:hint="eastAsia" w:ascii="仿宋_GB2312" w:eastAsia="仿宋_GB2312"/>
                <w:b/>
                <w:color w:val="auto"/>
                <w:spacing w:val="10"/>
                <w:w w:val="79"/>
                <w:sz w:val="28"/>
              </w:rPr>
              <w:t>报告编写人</w:t>
            </w:r>
            <w:r>
              <w:rPr>
                <w:rFonts w:hint="eastAsia" w:ascii="仿宋_GB2312" w:eastAsia="仿宋_GB2312"/>
                <w:b/>
                <w:color w:val="auto"/>
                <w:spacing w:val="10"/>
                <w:w w:val="79"/>
                <w:sz w:val="28"/>
                <w:lang w:eastAsia="zh-CN"/>
              </w:rPr>
              <w:t>：</w:t>
            </w:r>
          </w:p>
        </w:tc>
        <w:tc>
          <w:tcPr>
            <w:tcW w:w="5894" w:type="dxa"/>
            <w:tcBorders>
              <w:tl2br w:val="nil"/>
              <w:tr2bl w:val="nil"/>
            </w:tcBorders>
          </w:tcPr>
          <w:p w14:paraId="32A34BCD">
            <w:pPr>
              <w:keepNext w:val="0"/>
              <w:keepLines w:val="0"/>
              <w:pageBreakBefore w:val="0"/>
              <w:widowControl w:val="0"/>
              <w:kinsoku/>
              <w:wordWrap/>
              <w:overflowPunct/>
              <w:topLinePunct w:val="0"/>
              <w:autoSpaceDE/>
              <w:autoSpaceDN/>
              <w:bidi w:val="0"/>
              <w:snapToGrid w:val="0"/>
              <w:spacing w:before="157" w:beforeLines="50" w:after="157" w:afterLines="50"/>
              <w:jc w:val="center"/>
              <w:textAlignment w:val="auto"/>
              <w:rPr>
                <w:rFonts w:hint="default" w:ascii="仿宋_GB2312" w:eastAsia="仿宋_GB2312"/>
                <w:b/>
                <w:color w:val="auto"/>
                <w:sz w:val="28"/>
                <w:highlight w:val="none"/>
                <w:vertAlign w:val="baseline"/>
                <w:lang w:val="en-US" w:eastAsia="zh-CN"/>
              </w:rPr>
            </w:pPr>
          </w:p>
        </w:tc>
      </w:tr>
    </w:tbl>
    <w:p w14:paraId="7AFF982D">
      <w:pPr>
        <w:spacing w:line="360" w:lineRule="auto"/>
        <w:rPr>
          <w:rFonts w:eastAsia="仿宋_GB2312"/>
          <w:color w:val="auto"/>
          <w:sz w:val="28"/>
        </w:rPr>
      </w:pPr>
    </w:p>
    <w:p w14:paraId="0FCE7F3A">
      <w:pPr>
        <w:spacing w:line="360" w:lineRule="auto"/>
        <w:rPr>
          <w:rFonts w:eastAsia="仿宋_GB2312"/>
          <w:color w:val="auto"/>
          <w:sz w:val="28"/>
        </w:rPr>
      </w:pPr>
    </w:p>
    <w:p w14:paraId="7FF393AE">
      <w:pPr>
        <w:spacing w:line="360" w:lineRule="auto"/>
        <w:rPr>
          <w:rFonts w:eastAsia="仿宋_GB2312"/>
          <w:color w:val="auto"/>
          <w:sz w:val="28"/>
        </w:rPr>
      </w:pPr>
    </w:p>
    <w:p w14:paraId="3E758295">
      <w:pPr>
        <w:spacing w:line="360" w:lineRule="auto"/>
        <w:rPr>
          <w:rFonts w:eastAsia="仿宋_GB2312"/>
          <w:color w:val="auto"/>
          <w:sz w:val="28"/>
        </w:rPr>
      </w:pPr>
    </w:p>
    <w:p w14:paraId="3D1F5815">
      <w:pPr>
        <w:spacing w:line="360" w:lineRule="auto"/>
        <w:rPr>
          <w:rFonts w:eastAsia="仿宋_GB2312"/>
          <w:color w:val="auto"/>
          <w:sz w:val="28"/>
        </w:rPr>
      </w:pPr>
    </w:p>
    <w:p w14:paraId="7683022E">
      <w:pPr>
        <w:spacing w:line="360" w:lineRule="auto"/>
        <w:rPr>
          <w:rFonts w:eastAsia="仿宋_GB2312"/>
          <w:color w:val="auto"/>
          <w:sz w:val="28"/>
          <w:highlight w:val="yellow"/>
        </w:rPr>
      </w:pPr>
    </w:p>
    <w:p w14:paraId="1AF795C6">
      <w:pPr>
        <w:spacing w:line="360" w:lineRule="auto"/>
        <w:rPr>
          <w:rFonts w:eastAsia="仿宋_GB2312"/>
          <w:color w:val="auto"/>
          <w:sz w:val="28"/>
          <w:highlight w:val="yellow"/>
        </w:rPr>
      </w:pPr>
    </w:p>
    <w:p w14:paraId="4D4AE61F">
      <w:pPr>
        <w:spacing w:line="360" w:lineRule="auto"/>
        <w:rPr>
          <w:rFonts w:eastAsia="仿宋_GB2312"/>
          <w:color w:val="auto"/>
          <w:sz w:val="28"/>
          <w:highlight w:val="yellow"/>
        </w:rPr>
      </w:pPr>
    </w:p>
    <w:p w14:paraId="05D953FE">
      <w:pPr>
        <w:spacing w:line="360" w:lineRule="auto"/>
        <w:rPr>
          <w:rFonts w:eastAsia="仿宋_GB2312"/>
          <w:color w:val="auto"/>
          <w:sz w:val="28"/>
          <w:highlight w:val="yellow"/>
        </w:rPr>
      </w:pPr>
    </w:p>
    <w:p w14:paraId="7B32063F">
      <w:pPr>
        <w:spacing w:line="360" w:lineRule="auto"/>
        <w:rPr>
          <w:rFonts w:eastAsia="仿宋_GB2312"/>
          <w:color w:val="auto"/>
          <w:sz w:val="28"/>
          <w:highlight w:val="yellow"/>
        </w:rPr>
      </w:pPr>
    </w:p>
    <w:p w14:paraId="682DF01E">
      <w:pPr>
        <w:spacing w:line="360" w:lineRule="auto"/>
        <w:rPr>
          <w:rFonts w:eastAsia="仿宋_GB2312"/>
          <w:color w:val="auto"/>
          <w:sz w:val="28"/>
          <w:highlight w:val="yellow"/>
        </w:rPr>
      </w:pPr>
    </w:p>
    <w:p w14:paraId="7F0ECFF0">
      <w:pPr>
        <w:spacing w:line="360" w:lineRule="auto"/>
        <w:rPr>
          <w:rFonts w:eastAsia="仿宋_GB2312"/>
          <w:color w:val="auto"/>
          <w:sz w:val="28"/>
          <w:highlight w:val="yellow"/>
        </w:rPr>
      </w:pPr>
    </w:p>
    <w:tbl>
      <w:tblPr>
        <w:tblStyle w:val="19"/>
        <w:tblW w:w="94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25"/>
        <w:gridCol w:w="3384"/>
        <w:gridCol w:w="1359"/>
        <w:gridCol w:w="3370"/>
      </w:tblGrid>
      <w:tr w14:paraId="6CD27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325" w:type="dxa"/>
            <w:vAlign w:val="center"/>
          </w:tcPr>
          <w:p w14:paraId="61F7C387">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lang w:val="en-US" w:eastAsia="zh-CN"/>
              </w:rPr>
            </w:pPr>
            <w:r>
              <w:rPr>
                <w:rFonts w:hint="eastAsia" w:ascii="Times New Roman" w:hAnsi="Times New Roman" w:eastAsia="华文仿宋" w:cs="Times New Roman"/>
                <w:b/>
                <w:bCs/>
                <w:color w:val="auto"/>
                <w:spacing w:val="-8"/>
                <w:sz w:val="24"/>
                <w:szCs w:val="24"/>
                <w:lang w:eastAsia="zh-CN"/>
              </w:rPr>
              <w:t>建设</w:t>
            </w:r>
            <w:r>
              <w:rPr>
                <w:rFonts w:hint="eastAsia" w:ascii="Times New Roman" w:hAnsi="Times New Roman" w:eastAsia="华文仿宋" w:cs="Times New Roman"/>
                <w:b/>
                <w:bCs/>
                <w:color w:val="auto"/>
                <w:spacing w:val="-8"/>
                <w:sz w:val="24"/>
                <w:szCs w:val="24"/>
              </w:rPr>
              <w:t>单位</w:t>
            </w:r>
            <w:r>
              <w:rPr>
                <w:rFonts w:hint="eastAsia" w:ascii="Times New Roman" w:hAnsi="Times New Roman" w:eastAsia="华文仿宋" w:cs="Times New Roman"/>
                <w:b/>
                <w:bCs/>
                <w:color w:val="auto"/>
                <w:spacing w:val="-8"/>
                <w:sz w:val="24"/>
                <w:szCs w:val="24"/>
                <w:lang w:eastAsia="zh-CN"/>
              </w:rPr>
              <w:t>：</w:t>
            </w:r>
          </w:p>
        </w:tc>
        <w:tc>
          <w:tcPr>
            <w:tcW w:w="3384" w:type="dxa"/>
            <w:vAlign w:val="center"/>
          </w:tcPr>
          <w:p w14:paraId="536E5513">
            <w:pPr>
              <w:keepNext w:val="0"/>
              <w:keepLines w:val="0"/>
              <w:pageBreakBefore w:val="0"/>
              <w:widowControl w:val="0"/>
              <w:tabs>
                <w:tab w:val="left" w:pos="710"/>
              </w:tabs>
              <w:kinsoku/>
              <w:wordWrap/>
              <w:overflowPunct/>
              <w:topLinePunct w:val="0"/>
              <w:autoSpaceDE/>
              <w:autoSpaceDN/>
              <w:bidi w:val="0"/>
              <w:adjustRightInd w:val="0"/>
              <w:snapToGrid w:val="0"/>
              <w:spacing w:after="0" w:afterLines="0" w:afterAutospacing="0" w:line="240" w:lineRule="auto"/>
              <w:jc w:val="both"/>
              <w:textAlignment w:val="auto"/>
              <w:rPr>
                <w:rFonts w:hint="eastAsia" w:ascii="Times New Roman" w:hAnsi="Times New Roman" w:eastAsia="华文仿宋" w:cs="Times New Roman"/>
                <w:b/>
                <w:bCs/>
                <w:color w:val="auto"/>
                <w:spacing w:val="-8"/>
                <w:sz w:val="24"/>
                <w:szCs w:val="24"/>
                <w:lang w:val="en-US" w:eastAsia="zh-CN"/>
              </w:rPr>
            </w:pPr>
            <w:r>
              <w:rPr>
                <w:rFonts w:hint="eastAsia" w:ascii="Times New Roman" w:hAnsi="Times New Roman" w:eastAsia="华文仿宋" w:cs="Times New Roman"/>
                <w:b/>
                <w:bCs/>
                <w:color w:val="auto"/>
                <w:spacing w:val="-8"/>
                <w:sz w:val="24"/>
                <w:szCs w:val="24"/>
              </w:rPr>
              <w:t>河南</w:t>
            </w:r>
            <w:r>
              <w:rPr>
                <w:rFonts w:hint="eastAsia" w:ascii="Times New Roman" w:hAnsi="Times New Roman" w:eastAsia="华文仿宋" w:cs="Times New Roman"/>
                <w:b/>
                <w:bCs/>
                <w:color w:val="auto"/>
                <w:spacing w:val="-8"/>
                <w:sz w:val="24"/>
                <w:szCs w:val="24"/>
                <w:lang w:val="en-US" w:eastAsia="zh-CN"/>
              </w:rPr>
              <w:t>省养乐奇生物科技有限责任公司</w:t>
            </w:r>
          </w:p>
        </w:tc>
        <w:tc>
          <w:tcPr>
            <w:tcW w:w="1359" w:type="dxa"/>
            <w:vAlign w:val="center"/>
          </w:tcPr>
          <w:p w14:paraId="7A2D8912">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lang w:val="en-US" w:eastAsia="zh-CN"/>
              </w:rPr>
            </w:pPr>
            <w:r>
              <w:rPr>
                <w:rFonts w:hint="eastAsia" w:ascii="Times New Roman" w:hAnsi="Times New Roman" w:eastAsia="华文仿宋" w:cs="Times New Roman"/>
                <w:b/>
                <w:bCs/>
                <w:color w:val="auto"/>
                <w:spacing w:val="-8"/>
                <w:sz w:val="24"/>
                <w:szCs w:val="24"/>
                <w:lang w:val="en-US" w:eastAsia="zh-CN"/>
              </w:rPr>
              <w:t>编制</w:t>
            </w:r>
            <w:r>
              <w:rPr>
                <w:rFonts w:hint="eastAsia" w:ascii="Times New Roman" w:hAnsi="Times New Roman" w:eastAsia="华文仿宋" w:cs="Times New Roman"/>
                <w:b/>
                <w:bCs/>
                <w:color w:val="auto"/>
                <w:spacing w:val="-8"/>
                <w:sz w:val="24"/>
                <w:szCs w:val="24"/>
                <w:lang w:eastAsia="zh-CN"/>
              </w:rPr>
              <w:t>单位：</w:t>
            </w:r>
          </w:p>
        </w:tc>
        <w:tc>
          <w:tcPr>
            <w:tcW w:w="3370" w:type="dxa"/>
            <w:vAlign w:val="center"/>
          </w:tcPr>
          <w:p w14:paraId="36386A22">
            <w:pPr>
              <w:keepNext w:val="0"/>
              <w:keepLines w:val="0"/>
              <w:pageBreakBefore w:val="0"/>
              <w:widowControl w:val="0"/>
              <w:tabs>
                <w:tab w:val="left" w:pos="710"/>
              </w:tabs>
              <w:kinsoku/>
              <w:wordWrap/>
              <w:overflowPunct/>
              <w:topLinePunct w:val="0"/>
              <w:autoSpaceDE/>
              <w:autoSpaceDN/>
              <w:bidi w:val="0"/>
              <w:adjustRightInd w:val="0"/>
              <w:snapToGrid w:val="0"/>
              <w:spacing w:after="0" w:afterLines="0" w:afterAutospacing="0" w:line="240" w:lineRule="auto"/>
              <w:jc w:val="both"/>
              <w:textAlignment w:val="auto"/>
              <w:rPr>
                <w:rFonts w:hint="eastAsia" w:ascii="Times New Roman" w:hAnsi="Times New Roman" w:eastAsia="华文仿宋" w:cs="Times New Roman"/>
                <w:b/>
                <w:bCs/>
                <w:color w:val="auto"/>
                <w:spacing w:val="-8"/>
                <w:sz w:val="24"/>
                <w:szCs w:val="24"/>
                <w:lang w:val="en-US" w:eastAsia="zh-CN"/>
              </w:rPr>
            </w:pPr>
            <w:r>
              <w:rPr>
                <w:rFonts w:hint="eastAsia" w:ascii="Times New Roman" w:hAnsi="Times New Roman" w:eastAsia="华文仿宋" w:cs="Times New Roman"/>
                <w:b/>
                <w:bCs/>
                <w:color w:val="auto"/>
                <w:spacing w:val="-8"/>
                <w:sz w:val="24"/>
                <w:szCs w:val="24"/>
              </w:rPr>
              <w:t>河南</w:t>
            </w:r>
            <w:r>
              <w:rPr>
                <w:rFonts w:hint="eastAsia" w:ascii="Times New Roman" w:hAnsi="Times New Roman" w:eastAsia="华文仿宋" w:cs="Times New Roman"/>
                <w:b/>
                <w:bCs/>
                <w:color w:val="auto"/>
                <w:spacing w:val="-8"/>
                <w:sz w:val="24"/>
                <w:szCs w:val="24"/>
                <w:lang w:val="en-US" w:eastAsia="zh-CN"/>
              </w:rPr>
              <w:t>省养乐奇生物科技有限责任公司</w:t>
            </w:r>
          </w:p>
        </w:tc>
      </w:tr>
      <w:tr w14:paraId="33F3D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325" w:type="dxa"/>
            <w:vAlign w:val="center"/>
          </w:tcPr>
          <w:p w14:paraId="3289E073">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lang w:val="en-US" w:eastAsia="zh-CN"/>
              </w:rPr>
            </w:pPr>
            <w:r>
              <w:rPr>
                <w:rFonts w:hint="eastAsia" w:ascii="Times New Roman" w:hAnsi="Times New Roman" w:eastAsia="华文仿宋" w:cs="Times New Roman"/>
                <w:b/>
                <w:bCs/>
                <w:color w:val="auto"/>
                <w:spacing w:val="-8"/>
                <w:sz w:val="24"/>
                <w:szCs w:val="24"/>
                <w:lang w:val="en-US" w:eastAsia="zh-CN"/>
              </w:rPr>
              <w:t>电话：</w:t>
            </w:r>
          </w:p>
        </w:tc>
        <w:tc>
          <w:tcPr>
            <w:tcW w:w="3384" w:type="dxa"/>
            <w:vAlign w:val="center"/>
          </w:tcPr>
          <w:p w14:paraId="60D843FC">
            <w:pPr>
              <w:keepNext w:val="0"/>
              <w:keepLines w:val="0"/>
              <w:pageBreakBefore w:val="0"/>
              <w:widowControl w:val="0"/>
              <w:tabs>
                <w:tab w:val="left" w:pos="710"/>
              </w:tabs>
              <w:kinsoku/>
              <w:wordWrap/>
              <w:overflowPunct/>
              <w:topLinePunct w:val="0"/>
              <w:autoSpaceDE/>
              <w:autoSpaceDN/>
              <w:bidi w:val="0"/>
              <w:adjustRightInd w:val="0"/>
              <w:snapToGrid w:val="0"/>
              <w:spacing w:after="0" w:afterLines="0" w:afterAutospacing="0" w:line="240" w:lineRule="auto"/>
              <w:jc w:val="left"/>
              <w:textAlignment w:val="auto"/>
              <w:rPr>
                <w:rFonts w:hint="eastAsia" w:ascii="Times New Roman" w:hAnsi="Times New Roman" w:eastAsia="华文仿宋" w:cs="Times New Roman"/>
                <w:b/>
                <w:bCs/>
                <w:color w:val="auto"/>
                <w:spacing w:val="-8"/>
                <w:sz w:val="24"/>
                <w:szCs w:val="24"/>
                <w:lang w:val="en-US" w:eastAsia="zh-CN"/>
              </w:rPr>
            </w:pPr>
            <w:r>
              <w:rPr>
                <w:rFonts w:hint="eastAsia" w:ascii="Times New Roman" w:hAnsi="Times New Roman" w:eastAsia="华文仿宋" w:cs="Times New Roman"/>
                <w:b/>
                <w:bCs/>
                <w:color w:val="auto"/>
                <w:spacing w:val="-8"/>
                <w:sz w:val="24"/>
                <w:szCs w:val="24"/>
                <w:lang w:val="en-US" w:eastAsia="zh-CN"/>
              </w:rPr>
              <w:t>15903881366</w:t>
            </w:r>
          </w:p>
        </w:tc>
        <w:tc>
          <w:tcPr>
            <w:tcW w:w="1359" w:type="dxa"/>
            <w:vAlign w:val="center"/>
          </w:tcPr>
          <w:p w14:paraId="7714A86E">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lang w:val="en-US" w:eastAsia="zh-CN"/>
              </w:rPr>
            </w:pPr>
            <w:r>
              <w:rPr>
                <w:rFonts w:hint="eastAsia" w:ascii="Times New Roman" w:hAnsi="Times New Roman" w:eastAsia="华文仿宋" w:cs="Times New Roman"/>
                <w:b/>
                <w:bCs/>
                <w:color w:val="auto"/>
                <w:spacing w:val="-8"/>
                <w:sz w:val="24"/>
                <w:szCs w:val="24"/>
                <w:lang w:val="en-US" w:eastAsia="zh-CN"/>
              </w:rPr>
              <w:t>电话：</w:t>
            </w:r>
          </w:p>
        </w:tc>
        <w:tc>
          <w:tcPr>
            <w:tcW w:w="3370" w:type="dxa"/>
            <w:vAlign w:val="center"/>
          </w:tcPr>
          <w:p w14:paraId="137AF40E">
            <w:pPr>
              <w:keepNext w:val="0"/>
              <w:keepLines w:val="0"/>
              <w:pageBreakBefore w:val="0"/>
              <w:widowControl w:val="0"/>
              <w:tabs>
                <w:tab w:val="left" w:pos="710"/>
              </w:tabs>
              <w:kinsoku/>
              <w:wordWrap/>
              <w:overflowPunct/>
              <w:topLinePunct w:val="0"/>
              <w:autoSpaceDE/>
              <w:autoSpaceDN/>
              <w:bidi w:val="0"/>
              <w:adjustRightInd w:val="0"/>
              <w:snapToGrid w:val="0"/>
              <w:spacing w:after="0" w:afterLines="0" w:afterAutospacing="0" w:line="240" w:lineRule="auto"/>
              <w:jc w:val="left"/>
              <w:textAlignment w:val="auto"/>
              <w:rPr>
                <w:rFonts w:hint="eastAsia" w:ascii="Times New Roman" w:hAnsi="Times New Roman" w:eastAsia="华文仿宋" w:cs="Times New Roman"/>
                <w:b/>
                <w:bCs/>
                <w:color w:val="auto"/>
                <w:spacing w:val="-8"/>
                <w:sz w:val="24"/>
                <w:szCs w:val="24"/>
                <w:lang w:val="en-US" w:eastAsia="zh-CN"/>
              </w:rPr>
            </w:pPr>
            <w:r>
              <w:rPr>
                <w:rFonts w:hint="eastAsia" w:ascii="Times New Roman" w:hAnsi="Times New Roman" w:eastAsia="华文仿宋" w:cs="Times New Roman"/>
                <w:b/>
                <w:bCs/>
                <w:color w:val="auto"/>
                <w:spacing w:val="-8"/>
                <w:sz w:val="24"/>
                <w:szCs w:val="24"/>
                <w:lang w:val="en-US" w:eastAsia="zh-CN"/>
              </w:rPr>
              <w:t>15903881366</w:t>
            </w:r>
          </w:p>
        </w:tc>
      </w:tr>
      <w:tr w14:paraId="09A42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325" w:type="dxa"/>
            <w:vAlign w:val="center"/>
          </w:tcPr>
          <w:p w14:paraId="5E561B20">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lang w:val="en-US" w:eastAsia="zh-CN"/>
              </w:rPr>
            </w:pPr>
            <w:r>
              <w:rPr>
                <w:rFonts w:hint="eastAsia" w:ascii="Times New Roman" w:hAnsi="Times New Roman" w:eastAsia="华文仿宋" w:cs="Times New Roman"/>
                <w:b/>
                <w:bCs/>
                <w:color w:val="auto"/>
                <w:spacing w:val="-8"/>
                <w:sz w:val="24"/>
                <w:szCs w:val="24"/>
              </w:rPr>
              <w:t>邮编：</w:t>
            </w:r>
          </w:p>
        </w:tc>
        <w:tc>
          <w:tcPr>
            <w:tcW w:w="3384" w:type="dxa"/>
            <w:vAlign w:val="center"/>
          </w:tcPr>
          <w:p w14:paraId="1BD9FBFF">
            <w:pPr>
              <w:keepNext w:val="0"/>
              <w:keepLines w:val="0"/>
              <w:pageBreakBefore w:val="0"/>
              <w:widowControl w:val="0"/>
              <w:tabs>
                <w:tab w:val="left" w:pos="710"/>
              </w:tabs>
              <w:kinsoku/>
              <w:wordWrap/>
              <w:overflowPunct/>
              <w:topLinePunct w:val="0"/>
              <w:autoSpaceDE/>
              <w:autoSpaceDN/>
              <w:bidi w:val="0"/>
              <w:adjustRightInd w:val="0"/>
              <w:snapToGrid w:val="0"/>
              <w:spacing w:after="0" w:afterLines="0" w:afterAutospacing="0" w:line="240" w:lineRule="auto"/>
              <w:jc w:val="left"/>
              <w:textAlignment w:val="auto"/>
              <w:rPr>
                <w:rFonts w:hint="default" w:ascii="Times New Roman" w:hAnsi="Times New Roman" w:eastAsia="华文仿宋" w:cs="Times New Roman"/>
                <w:b/>
                <w:bCs/>
                <w:color w:val="auto"/>
                <w:spacing w:val="-8"/>
                <w:sz w:val="24"/>
                <w:szCs w:val="24"/>
                <w:lang w:val="en-US" w:eastAsia="zh-CN"/>
              </w:rPr>
            </w:pPr>
            <w:r>
              <w:rPr>
                <w:rFonts w:hint="eastAsia" w:ascii="Times New Roman" w:hAnsi="Times New Roman" w:eastAsia="华文仿宋" w:cs="Times New Roman"/>
                <w:b/>
                <w:bCs/>
                <w:color w:val="auto"/>
                <w:spacing w:val="-8"/>
                <w:sz w:val="24"/>
                <w:szCs w:val="24"/>
                <w:lang w:val="en-US" w:eastAsia="zh-CN"/>
              </w:rPr>
              <w:t>453200</w:t>
            </w:r>
          </w:p>
        </w:tc>
        <w:tc>
          <w:tcPr>
            <w:tcW w:w="1359" w:type="dxa"/>
            <w:vAlign w:val="center"/>
          </w:tcPr>
          <w:p w14:paraId="5F2C76D0">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lang w:val="en-US" w:eastAsia="zh-CN"/>
              </w:rPr>
            </w:pPr>
            <w:r>
              <w:rPr>
                <w:rFonts w:hint="eastAsia" w:ascii="Times New Roman" w:hAnsi="Times New Roman" w:eastAsia="华文仿宋" w:cs="Times New Roman"/>
                <w:b/>
                <w:bCs/>
                <w:color w:val="auto"/>
                <w:spacing w:val="-8"/>
                <w:sz w:val="24"/>
                <w:szCs w:val="24"/>
                <w:lang w:eastAsia="zh-CN"/>
              </w:rPr>
              <w:t>邮编：</w:t>
            </w:r>
          </w:p>
        </w:tc>
        <w:tc>
          <w:tcPr>
            <w:tcW w:w="3370" w:type="dxa"/>
            <w:vAlign w:val="center"/>
          </w:tcPr>
          <w:p w14:paraId="3D3339BF">
            <w:pPr>
              <w:keepNext w:val="0"/>
              <w:keepLines w:val="0"/>
              <w:pageBreakBefore w:val="0"/>
              <w:widowControl w:val="0"/>
              <w:tabs>
                <w:tab w:val="left" w:pos="710"/>
              </w:tabs>
              <w:kinsoku/>
              <w:wordWrap/>
              <w:overflowPunct/>
              <w:topLinePunct w:val="0"/>
              <w:autoSpaceDE/>
              <w:autoSpaceDN/>
              <w:bidi w:val="0"/>
              <w:adjustRightInd w:val="0"/>
              <w:snapToGrid w:val="0"/>
              <w:spacing w:after="0" w:afterLines="0" w:afterAutospacing="0" w:line="240" w:lineRule="auto"/>
              <w:jc w:val="left"/>
              <w:textAlignment w:val="auto"/>
              <w:rPr>
                <w:rFonts w:hint="eastAsia" w:ascii="Times New Roman" w:hAnsi="Times New Roman" w:eastAsia="华文仿宋" w:cs="Times New Roman"/>
                <w:b/>
                <w:bCs/>
                <w:color w:val="auto"/>
                <w:spacing w:val="-8"/>
                <w:sz w:val="24"/>
                <w:szCs w:val="24"/>
                <w:lang w:val="en-US" w:eastAsia="zh-CN"/>
              </w:rPr>
            </w:pPr>
            <w:r>
              <w:rPr>
                <w:rFonts w:hint="eastAsia" w:ascii="Times New Roman" w:hAnsi="Times New Roman" w:eastAsia="华文仿宋" w:cs="Times New Roman"/>
                <w:b/>
                <w:bCs/>
                <w:color w:val="auto"/>
                <w:spacing w:val="-8"/>
                <w:sz w:val="24"/>
                <w:szCs w:val="24"/>
                <w:lang w:val="en-US" w:eastAsia="zh-CN"/>
              </w:rPr>
              <w:t>453200</w:t>
            </w:r>
          </w:p>
        </w:tc>
      </w:tr>
      <w:tr w14:paraId="3D652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325" w:type="dxa"/>
            <w:vAlign w:val="center"/>
          </w:tcPr>
          <w:p w14:paraId="4C3032EC">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lang w:val="en-US" w:eastAsia="zh-CN"/>
              </w:rPr>
            </w:pPr>
            <w:r>
              <w:rPr>
                <w:rFonts w:hint="eastAsia" w:ascii="Times New Roman" w:hAnsi="Times New Roman" w:eastAsia="华文仿宋" w:cs="Times New Roman"/>
                <w:b/>
                <w:bCs/>
                <w:color w:val="auto"/>
                <w:spacing w:val="-8"/>
                <w:sz w:val="24"/>
                <w:szCs w:val="24"/>
              </w:rPr>
              <w:t>地址：</w:t>
            </w:r>
          </w:p>
        </w:tc>
        <w:tc>
          <w:tcPr>
            <w:tcW w:w="3384" w:type="dxa"/>
            <w:vAlign w:val="center"/>
          </w:tcPr>
          <w:p w14:paraId="1C53AE11">
            <w:pPr>
              <w:keepNext w:val="0"/>
              <w:keepLines w:val="0"/>
              <w:pageBreakBefore w:val="0"/>
              <w:widowControl w:val="0"/>
              <w:tabs>
                <w:tab w:val="left" w:pos="710"/>
              </w:tabs>
              <w:kinsoku/>
              <w:wordWrap/>
              <w:overflowPunct/>
              <w:topLinePunct w:val="0"/>
              <w:autoSpaceDE/>
              <w:autoSpaceDN/>
              <w:bidi w:val="0"/>
              <w:adjustRightInd w:val="0"/>
              <w:snapToGrid w:val="0"/>
              <w:spacing w:after="0" w:afterLines="0" w:afterAutospacing="0" w:line="240" w:lineRule="auto"/>
              <w:jc w:val="both"/>
              <w:textAlignment w:val="auto"/>
              <w:rPr>
                <w:rFonts w:hint="eastAsia" w:ascii="Times New Roman" w:hAnsi="Times New Roman" w:eastAsia="华文仿宋" w:cs="Times New Roman"/>
                <w:b/>
                <w:bCs/>
                <w:color w:val="auto"/>
                <w:spacing w:val="-8"/>
                <w:sz w:val="24"/>
                <w:szCs w:val="24"/>
                <w:lang w:val="en-US" w:eastAsia="zh-CN"/>
              </w:rPr>
            </w:pPr>
            <w:r>
              <w:rPr>
                <w:rFonts w:hint="eastAsia" w:ascii="Times New Roman" w:hAnsi="Times New Roman" w:eastAsia="华文仿宋" w:cs="Times New Roman"/>
                <w:b/>
                <w:bCs/>
                <w:color w:val="auto"/>
                <w:spacing w:val="-8"/>
                <w:sz w:val="24"/>
                <w:szCs w:val="24"/>
                <w:lang w:val="en-US" w:eastAsia="zh-CN"/>
              </w:rPr>
              <w:t>新乡市延津县先进制造业开发区南区创业园</w:t>
            </w:r>
          </w:p>
        </w:tc>
        <w:tc>
          <w:tcPr>
            <w:tcW w:w="1359" w:type="dxa"/>
            <w:vAlign w:val="center"/>
          </w:tcPr>
          <w:p w14:paraId="078EAEA7">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auto"/>
                <w:spacing w:val="-8"/>
                <w:sz w:val="24"/>
                <w:szCs w:val="24"/>
                <w:lang w:val="en-US" w:eastAsia="zh-CN"/>
              </w:rPr>
            </w:pPr>
            <w:r>
              <w:rPr>
                <w:rFonts w:hint="eastAsia" w:ascii="Times New Roman" w:hAnsi="Times New Roman" w:eastAsia="华文仿宋" w:cs="Times New Roman"/>
                <w:b/>
                <w:bCs/>
                <w:color w:val="auto"/>
                <w:spacing w:val="-8"/>
                <w:sz w:val="24"/>
                <w:szCs w:val="24"/>
                <w:lang w:eastAsia="zh-CN"/>
              </w:rPr>
              <w:t>地址：</w:t>
            </w:r>
          </w:p>
        </w:tc>
        <w:tc>
          <w:tcPr>
            <w:tcW w:w="3370" w:type="dxa"/>
            <w:vAlign w:val="center"/>
          </w:tcPr>
          <w:p w14:paraId="1BA603FD">
            <w:pPr>
              <w:keepNext w:val="0"/>
              <w:keepLines w:val="0"/>
              <w:pageBreakBefore w:val="0"/>
              <w:widowControl w:val="0"/>
              <w:tabs>
                <w:tab w:val="left" w:pos="710"/>
              </w:tabs>
              <w:kinsoku/>
              <w:wordWrap/>
              <w:overflowPunct/>
              <w:topLinePunct w:val="0"/>
              <w:autoSpaceDE/>
              <w:autoSpaceDN/>
              <w:bidi w:val="0"/>
              <w:adjustRightInd w:val="0"/>
              <w:snapToGrid w:val="0"/>
              <w:spacing w:after="0" w:afterLines="0" w:afterAutospacing="0" w:line="240" w:lineRule="auto"/>
              <w:jc w:val="both"/>
              <w:textAlignment w:val="auto"/>
              <w:rPr>
                <w:rFonts w:hint="eastAsia" w:ascii="Times New Roman" w:hAnsi="Times New Roman" w:eastAsia="华文仿宋" w:cs="Times New Roman"/>
                <w:b/>
                <w:bCs/>
                <w:color w:val="auto"/>
                <w:spacing w:val="-8"/>
                <w:sz w:val="24"/>
                <w:szCs w:val="24"/>
                <w:lang w:val="en-US" w:eastAsia="zh-CN"/>
              </w:rPr>
            </w:pPr>
            <w:r>
              <w:rPr>
                <w:rFonts w:hint="eastAsia" w:ascii="Times New Roman" w:hAnsi="Times New Roman" w:eastAsia="华文仿宋" w:cs="Times New Roman"/>
                <w:b/>
                <w:bCs/>
                <w:color w:val="auto"/>
                <w:spacing w:val="-8"/>
                <w:sz w:val="24"/>
                <w:szCs w:val="24"/>
                <w:lang w:val="en-US" w:eastAsia="zh-CN"/>
              </w:rPr>
              <w:t>新乡市延津县先进制造业开发区南区创业园</w:t>
            </w:r>
          </w:p>
        </w:tc>
      </w:tr>
    </w:tbl>
    <w:p w14:paraId="23DA9BA0">
      <w:pPr>
        <w:spacing w:line="360" w:lineRule="auto"/>
        <w:ind w:left="480" w:hanging="432" w:hangingChars="200"/>
        <w:rPr>
          <w:color w:val="auto"/>
          <w:spacing w:val="-12"/>
          <w:sz w:val="24"/>
          <w:szCs w:val="24"/>
        </w:rPr>
        <w:sectPr>
          <w:footerReference r:id="rId4"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15FF4F2E">
      <w:pPr>
        <w:spacing w:after="0" w:line="440" w:lineRule="exact"/>
        <w:rPr>
          <w:rFonts w:eastAsia="仿宋_GB2312"/>
          <w:b/>
          <w:color w:val="auto"/>
          <w:sz w:val="21"/>
          <w:szCs w:val="21"/>
        </w:rPr>
      </w:pPr>
      <w:r>
        <w:rPr>
          <w:rFonts w:eastAsia="仿宋_GB2312"/>
          <w:b/>
          <w:color w:val="auto"/>
          <w:sz w:val="21"/>
          <w:szCs w:val="21"/>
        </w:rPr>
        <w:t>表一</w:t>
      </w:r>
    </w:p>
    <w:tbl>
      <w:tblPr>
        <w:tblStyle w:val="18"/>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2551"/>
        <w:gridCol w:w="1985"/>
        <w:gridCol w:w="1117"/>
        <w:gridCol w:w="840"/>
        <w:gridCol w:w="704"/>
      </w:tblGrid>
      <w:tr w14:paraId="6C71A1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7E8D50BA">
            <w:pPr>
              <w:spacing w:after="0"/>
              <w:jc w:val="center"/>
              <w:rPr>
                <w:rFonts w:eastAsia="宋体"/>
                <w:color w:val="auto"/>
                <w:sz w:val="24"/>
                <w:szCs w:val="24"/>
                <w:highlight w:val="none"/>
              </w:rPr>
            </w:pPr>
            <w:r>
              <w:rPr>
                <w:rFonts w:eastAsia="宋体"/>
                <w:color w:val="auto"/>
                <w:sz w:val="24"/>
                <w:szCs w:val="24"/>
                <w:highlight w:val="none"/>
              </w:rPr>
              <w:t>建设项目名称</w:t>
            </w:r>
          </w:p>
        </w:tc>
        <w:tc>
          <w:tcPr>
            <w:tcW w:w="7197" w:type="dxa"/>
            <w:gridSpan w:val="5"/>
            <w:vAlign w:val="center"/>
          </w:tcPr>
          <w:p w14:paraId="0E5EF88B">
            <w:pPr>
              <w:spacing w:after="0"/>
              <w:jc w:val="center"/>
              <w:rPr>
                <w:rFonts w:hint="eastAsia"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lang w:val="en-US" w:eastAsia="zh-CN"/>
              </w:rPr>
              <w:t>年产</w:t>
            </w:r>
            <w:r>
              <w:rPr>
                <w:rFonts w:hint="default" w:ascii="Times New Roman" w:hAnsi="Times New Roman" w:cs="Times New Roman" w:eastAsiaTheme="minorEastAsia"/>
                <w:color w:val="auto"/>
                <w:sz w:val="24"/>
                <w:szCs w:val="24"/>
                <w:highlight w:val="none"/>
                <w:lang w:val="en-US" w:eastAsia="zh-CN"/>
              </w:rPr>
              <w:t>6000</w:t>
            </w:r>
            <w:r>
              <w:rPr>
                <w:rFonts w:hint="eastAsia" w:cs="Times New Roman" w:asciiTheme="minorEastAsia" w:hAnsiTheme="minorEastAsia" w:eastAsiaTheme="minorEastAsia"/>
                <w:color w:val="auto"/>
                <w:sz w:val="24"/>
                <w:szCs w:val="24"/>
                <w:highlight w:val="none"/>
                <w:lang w:val="en-US" w:eastAsia="zh-CN"/>
              </w:rPr>
              <w:t>万只塑料瓶项目（一期）</w:t>
            </w:r>
          </w:p>
        </w:tc>
      </w:tr>
      <w:tr w14:paraId="0196E7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5E4C628A">
            <w:pPr>
              <w:spacing w:after="0"/>
              <w:jc w:val="center"/>
              <w:rPr>
                <w:rFonts w:eastAsia="宋体"/>
                <w:color w:val="auto"/>
                <w:sz w:val="24"/>
                <w:szCs w:val="24"/>
                <w:highlight w:val="none"/>
              </w:rPr>
            </w:pPr>
            <w:r>
              <w:rPr>
                <w:rFonts w:eastAsia="宋体"/>
                <w:color w:val="auto"/>
                <w:sz w:val="24"/>
                <w:szCs w:val="24"/>
                <w:highlight w:val="none"/>
              </w:rPr>
              <w:t>建设单位名称</w:t>
            </w:r>
          </w:p>
        </w:tc>
        <w:tc>
          <w:tcPr>
            <w:tcW w:w="7197" w:type="dxa"/>
            <w:gridSpan w:val="5"/>
            <w:vAlign w:val="center"/>
          </w:tcPr>
          <w:p w14:paraId="336D4258">
            <w:pPr>
              <w:spacing w:after="0"/>
              <w:jc w:val="center"/>
              <w:rPr>
                <w:rFonts w:eastAsia="宋体"/>
                <w:color w:val="auto"/>
                <w:sz w:val="24"/>
                <w:szCs w:val="24"/>
                <w:highlight w:val="none"/>
              </w:rPr>
            </w:pPr>
            <w:r>
              <w:rPr>
                <w:rFonts w:hint="eastAsia" w:cs="Times New Roman" w:asciiTheme="minorEastAsia" w:hAnsiTheme="minorEastAsia" w:eastAsiaTheme="minorEastAsia"/>
                <w:color w:val="auto"/>
                <w:sz w:val="24"/>
                <w:szCs w:val="24"/>
                <w:highlight w:val="none"/>
              </w:rPr>
              <w:t>河南</w:t>
            </w:r>
            <w:r>
              <w:rPr>
                <w:rFonts w:hint="eastAsia" w:cs="Times New Roman" w:asciiTheme="minorEastAsia" w:hAnsiTheme="minorEastAsia" w:eastAsiaTheme="minorEastAsia"/>
                <w:color w:val="auto"/>
                <w:sz w:val="24"/>
                <w:szCs w:val="24"/>
                <w:highlight w:val="none"/>
                <w:lang w:val="en-US" w:eastAsia="zh-CN"/>
              </w:rPr>
              <w:t>省养乐奇生物科技有限责任公司</w:t>
            </w:r>
          </w:p>
        </w:tc>
      </w:tr>
      <w:tr w14:paraId="4823B4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1532BF26">
            <w:pPr>
              <w:spacing w:after="0"/>
              <w:jc w:val="center"/>
              <w:rPr>
                <w:rFonts w:eastAsia="宋体"/>
                <w:color w:val="auto"/>
                <w:sz w:val="24"/>
                <w:szCs w:val="24"/>
                <w:highlight w:val="none"/>
              </w:rPr>
            </w:pPr>
            <w:r>
              <w:rPr>
                <w:rFonts w:eastAsia="宋体"/>
                <w:color w:val="auto"/>
                <w:sz w:val="24"/>
                <w:szCs w:val="24"/>
                <w:highlight w:val="none"/>
              </w:rPr>
              <w:t>建设项目性质</w:t>
            </w:r>
          </w:p>
        </w:tc>
        <w:tc>
          <w:tcPr>
            <w:tcW w:w="7197" w:type="dxa"/>
            <w:gridSpan w:val="5"/>
            <w:vAlign w:val="center"/>
          </w:tcPr>
          <w:p w14:paraId="56DBC50F">
            <w:pPr>
              <w:spacing w:after="0"/>
              <w:jc w:val="center"/>
              <w:rPr>
                <w:rFonts w:eastAsia="宋体"/>
                <w:color w:val="auto"/>
                <w:sz w:val="24"/>
                <w:szCs w:val="24"/>
                <w:highlight w:val="none"/>
              </w:rPr>
            </w:pPr>
            <w:r>
              <w:rPr>
                <w:rFonts w:eastAsia="宋体"/>
                <w:color w:val="auto"/>
                <w:sz w:val="24"/>
                <w:szCs w:val="24"/>
                <w:highlight w:val="none"/>
              </w:rPr>
              <w:t>新建</w:t>
            </w:r>
            <w:r>
              <w:rPr>
                <w:rFonts w:eastAsia="宋体"/>
                <w:color w:val="auto"/>
                <w:sz w:val="24"/>
                <w:szCs w:val="24"/>
                <w:highlight w:val="none"/>
              </w:rPr>
              <w:sym w:font="Wingdings 2" w:char="F050"/>
            </w:r>
            <w:r>
              <w:rPr>
                <w:rFonts w:eastAsia="宋体"/>
                <w:color w:val="auto"/>
                <w:sz w:val="24"/>
                <w:szCs w:val="24"/>
                <w:highlight w:val="none"/>
              </w:rPr>
              <w:t xml:space="preserve">   扩建   技改   迁建</w:t>
            </w:r>
          </w:p>
        </w:tc>
      </w:tr>
      <w:tr w14:paraId="38B8E8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1CDF684C">
            <w:pPr>
              <w:spacing w:after="0"/>
              <w:jc w:val="center"/>
              <w:rPr>
                <w:rFonts w:eastAsia="宋体"/>
                <w:color w:val="auto"/>
                <w:sz w:val="24"/>
                <w:szCs w:val="24"/>
                <w:highlight w:val="none"/>
              </w:rPr>
            </w:pPr>
            <w:r>
              <w:rPr>
                <w:rFonts w:eastAsia="宋体"/>
                <w:color w:val="auto"/>
                <w:sz w:val="24"/>
                <w:szCs w:val="24"/>
                <w:highlight w:val="none"/>
              </w:rPr>
              <w:t>建设地点</w:t>
            </w:r>
          </w:p>
        </w:tc>
        <w:tc>
          <w:tcPr>
            <w:tcW w:w="7197" w:type="dxa"/>
            <w:gridSpan w:val="5"/>
            <w:vAlign w:val="center"/>
          </w:tcPr>
          <w:p w14:paraId="41B0DA71">
            <w:pPr>
              <w:spacing w:after="0"/>
              <w:jc w:val="center"/>
              <w:rPr>
                <w:rFonts w:eastAsia="宋体"/>
                <w:color w:val="auto"/>
                <w:sz w:val="24"/>
                <w:szCs w:val="24"/>
                <w:highlight w:val="none"/>
              </w:rPr>
            </w:pPr>
            <w:r>
              <w:rPr>
                <w:rFonts w:hint="eastAsia" w:cs="Times New Roman" w:asciiTheme="minorEastAsia" w:hAnsiTheme="minorEastAsia" w:eastAsiaTheme="minorEastAsia"/>
                <w:color w:val="auto"/>
                <w:sz w:val="24"/>
                <w:szCs w:val="24"/>
                <w:highlight w:val="none"/>
                <w:lang w:val="en-US" w:eastAsia="zh-CN"/>
              </w:rPr>
              <w:t>新乡市延津县先进制造业开发区南区创业园</w:t>
            </w:r>
          </w:p>
        </w:tc>
      </w:tr>
      <w:tr w14:paraId="4E482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28C34DEE">
            <w:pPr>
              <w:spacing w:after="0"/>
              <w:jc w:val="center"/>
              <w:rPr>
                <w:rFonts w:eastAsia="宋体"/>
                <w:color w:val="auto"/>
                <w:sz w:val="24"/>
                <w:szCs w:val="24"/>
                <w:highlight w:val="none"/>
              </w:rPr>
            </w:pPr>
            <w:r>
              <w:rPr>
                <w:rFonts w:eastAsia="宋体"/>
                <w:color w:val="auto"/>
                <w:sz w:val="24"/>
                <w:szCs w:val="24"/>
                <w:highlight w:val="none"/>
              </w:rPr>
              <w:t>主要产品名称</w:t>
            </w:r>
          </w:p>
        </w:tc>
        <w:tc>
          <w:tcPr>
            <w:tcW w:w="7197" w:type="dxa"/>
            <w:gridSpan w:val="5"/>
            <w:vAlign w:val="center"/>
          </w:tcPr>
          <w:p w14:paraId="67915A75">
            <w:pPr>
              <w:spacing w:after="0"/>
              <w:jc w:val="center"/>
              <w:rPr>
                <w:rFonts w:hint="eastAsia" w:eastAsia="宋体"/>
                <w:color w:val="auto"/>
                <w:sz w:val="24"/>
                <w:szCs w:val="24"/>
                <w:highlight w:val="none"/>
                <w:lang w:val="en-US" w:eastAsia="zh-CN"/>
              </w:rPr>
            </w:pPr>
            <w:r>
              <w:rPr>
                <w:rFonts w:hint="eastAsia" w:eastAsia="宋体"/>
                <w:color w:val="auto"/>
                <w:sz w:val="24"/>
                <w:szCs w:val="24"/>
                <w:highlight w:val="none"/>
              </w:rPr>
              <w:t>塑料</w:t>
            </w:r>
            <w:r>
              <w:rPr>
                <w:rFonts w:hint="eastAsia" w:eastAsia="宋体"/>
                <w:color w:val="auto"/>
                <w:sz w:val="24"/>
                <w:szCs w:val="24"/>
                <w:highlight w:val="none"/>
                <w:lang w:val="en-US" w:eastAsia="zh-CN"/>
              </w:rPr>
              <w:t>瓶</w:t>
            </w:r>
          </w:p>
        </w:tc>
      </w:tr>
      <w:tr w14:paraId="357E62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401E702C">
            <w:pPr>
              <w:spacing w:after="0"/>
              <w:jc w:val="center"/>
              <w:rPr>
                <w:rFonts w:eastAsia="宋体"/>
                <w:color w:val="auto"/>
                <w:sz w:val="24"/>
                <w:szCs w:val="24"/>
                <w:highlight w:val="none"/>
              </w:rPr>
            </w:pPr>
            <w:r>
              <w:rPr>
                <w:rFonts w:eastAsia="宋体"/>
                <w:color w:val="auto"/>
                <w:sz w:val="24"/>
                <w:szCs w:val="24"/>
                <w:highlight w:val="none"/>
              </w:rPr>
              <w:t>设计生产能力</w:t>
            </w:r>
          </w:p>
        </w:tc>
        <w:tc>
          <w:tcPr>
            <w:tcW w:w="7197" w:type="dxa"/>
            <w:gridSpan w:val="5"/>
            <w:vAlign w:val="center"/>
          </w:tcPr>
          <w:p w14:paraId="6AC227D1">
            <w:pPr>
              <w:pStyle w:val="6"/>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eastAsia="宋体"/>
                <w:color w:val="auto"/>
                <w:sz w:val="24"/>
                <w:szCs w:val="24"/>
                <w:highlight w:val="none"/>
                <w:lang w:eastAsia="zh-CN"/>
              </w:rPr>
            </w:pPr>
            <w:r>
              <w:rPr>
                <w:rFonts w:hint="eastAsia" w:eastAsia="宋体"/>
                <w:color w:val="auto"/>
                <w:sz w:val="24"/>
                <w:szCs w:val="24"/>
                <w:highlight w:val="none"/>
              </w:rPr>
              <w:t>塑料</w:t>
            </w:r>
            <w:r>
              <w:rPr>
                <w:rFonts w:hint="eastAsia" w:eastAsia="宋体"/>
                <w:color w:val="auto"/>
                <w:sz w:val="24"/>
                <w:szCs w:val="24"/>
                <w:highlight w:val="none"/>
                <w:lang w:val="en-US" w:eastAsia="zh-CN"/>
              </w:rPr>
              <w:t>瓶</w:t>
            </w:r>
            <w:r>
              <w:rPr>
                <w:rFonts w:hint="eastAsia" w:ascii="Times New Roman" w:hAnsi="Times New Roman" w:eastAsia="宋体" w:cs="Times New Roman"/>
                <w:color w:val="auto"/>
                <w:sz w:val="24"/>
                <w:szCs w:val="24"/>
                <w:highlight w:val="none"/>
                <w:lang w:val="en-US" w:eastAsia="zh-CN" w:bidi="ar-SA"/>
              </w:rPr>
              <w:t>6000万只/</w:t>
            </w:r>
            <w:r>
              <w:rPr>
                <w:rFonts w:hint="eastAsia" w:eastAsia="宋体"/>
                <w:color w:val="auto"/>
                <w:sz w:val="24"/>
                <w:szCs w:val="24"/>
                <w:highlight w:val="none"/>
              </w:rPr>
              <w:t>年</w:t>
            </w:r>
            <w:r>
              <w:rPr>
                <w:rFonts w:hint="eastAsia" w:eastAsia="宋体"/>
                <w:color w:val="auto"/>
                <w:sz w:val="24"/>
                <w:szCs w:val="24"/>
                <w:highlight w:val="none"/>
                <w:lang w:eastAsia="zh-CN"/>
              </w:rPr>
              <w:t>（</w:t>
            </w:r>
            <w:r>
              <w:rPr>
                <w:rFonts w:hint="eastAsia" w:eastAsia="宋体" w:cs="Times New Roman"/>
                <w:color w:val="auto"/>
                <w:sz w:val="24"/>
                <w:szCs w:val="24"/>
                <w:highlight w:val="none"/>
                <w:lang w:val="en-US" w:eastAsia="zh-CN" w:bidi="ar-SA"/>
              </w:rPr>
              <w:t>一期仅建设吹瓶生产线，原料为外购瓶胚</w:t>
            </w:r>
            <w:r>
              <w:rPr>
                <w:rFonts w:hint="eastAsia" w:eastAsia="宋体"/>
                <w:color w:val="auto"/>
                <w:sz w:val="24"/>
                <w:szCs w:val="24"/>
                <w:highlight w:val="none"/>
                <w:lang w:eastAsia="zh-CN"/>
              </w:rPr>
              <w:t>）</w:t>
            </w:r>
          </w:p>
        </w:tc>
      </w:tr>
      <w:tr w14:paraId="62911E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4CA7F9CB">
            <w:pPr>
              <w:spacing w:after="0"/>
              <w:jc w:val="center"/>
              <w:rPr>
                <w:rFonts w:eastAsia="宋体"/>
                <w:color w:val="auto"/>
                <w:sz w:val="24"/>
                <w:szCs w:val="24"/>
                <w:highlight w:val="none"/>
              </w:rPr>
            </w:pPr>
            <w:r>
              <w:rPr>
                <w:rFonts w:eastAsia="宋体"/>
                <w:color w:val="auto"/>
                <w:sz w:val="24"/>
                <w:szCs w:val="24"/>
                <w:highlight w:val="none"/>
              </w:rPr>
              <w:t>实际生产能力</w:t>
            </w:r>
          </w:p>
        </w:tc>
        <w:tc>
          <w:tcPr>
            <w:tcW w:w="7197" w:type="dxa"/>
            <w:gridSpan w:val="5"/>
            <w:vAlign w:val="center"/>
          </w:tcPr>
          <w:p w14:paraId="6326CCF1">
            <w:pPr>
              <w:spacing w:after="0"/>
              <w:jc w:val="center"/>
              <w:rPr>
                <w:rFonts w:eastAsia="宋体"/>
                <w:color w:val="auto"/>
                <w:sz w:val="24"/>
                <w:szCs w:val="24"/>
                <w:highlight w:val="none"/>
              </w:rPr>
            </w:pPr>
            <w:r>
              <w:rPr>
                <w:rFonts w:hint="eastAsia" w:eastAsia="宋体"/>
                <w:color w:val="auto"/>
                <w:sz w:val="24"/>
                <w:szCs w:val="24"/>
                <w:highlight w:val="none"/>
              </w:rPr>
              <w:t>塑料</w:t>
            </w:r>
            <w:r>
              <w:rPr>
                <w:rFonts w:hint="eastAsia" w:eastAsia="宋体"/>
                <w:color w:val="auto"/>
                <w:sz w:val="24"/>
                <w:szCs w:val="24"/>
                <w:highlight w:val="none"/>
                <w:lang w:val="en-US" w:eastAsia="zh-CN"/>
              </w:rPr>
              <w:t>瓶</w:t>
            </w:r>
            <w:r>
              <w:rPr>
                <w:rFonts w:hint="eastAsia" w:ascii="Times New Roman" w:hAnsi="Times New Roman" w:eastAsia="宋体" w:cs="Times New Roman"/>
                <w:color w:val="auto"/>
                <w:sz w:val="24"/>
                <w:szCs w:val="24"/>
                <w:highlight w:val="none"/>
                <w:lang w:val="en-US" w:eastAsia="zh-CN" w:bidi="ar-SA"/>
              </w:rPr>
              <w:t>6000万只/</w:t>
            </w:r>
            <w:r>
              <w:rPr>
                <w:rFonts w:hint="eastAsia" w:eastAsia="宋体"/>
                <w:color w:val="auto"/>
                <w:sz w:val="24"/>
                <w:szCs w:val="24"/>
                <w:highlight w:val="none"/>
              </w:rPr>
              <w:t>年（</w:t>
            </w:r>
            <w:r>
              <w:rPr>
                <w:rFonts w:hint="eastAsia" w:eastAsia="宋体" w:cs="Times New Roman"/>
                <w:color w:val="auto"/>
                <w:sz w:val="24"/>
                <w:szCs w:val="24"/>
                <w:highlight w:val="none"/>
                <w:lang w:val="en-US" w:eastAsia="zh-CN" w:bidi="ar-SA"/>
              </w:rPr>
              <w:t>一期仅建设吹瓶生产线，原料为外购瓶胚</w:t>
            </w:r>
            <w:r>
              <w:rPr>
                <w:rFonts w:hint="eastAsia" w:eastAsia="宋体"/>
                <w:color w:val="auto"/>
                <w:sz w:val="24"/>
                <w:szCs w:val="24"/>
                <w:highlight w:val="none"/>
              </w:rPr>
              <w:t>）</w:t>
            </w:r>
          </w:p>
        </w:tc>
      </w:tr>
      <w:tr w14:paraId="1BB7D0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744B21DB">
            <w:pPr>
              <w:spacing w:after="0"/>
              <w:jc w:val="center"/>
              <w:rPr>
                <w:rFonts w:eastAsia="宋体"/>
                <w:color w:val="auto"/>
                <w:sz w:val="24"/>
                <w:szCs w:val="24"/>
                <w:highlight w:val="none"/>
              </w:rPr>
            </w:pPr>
            <w:bookmarkStart w:id="0" w:name="_Hlk122936088"/>
            <w:r>
              <w:rPr>
                <w:rFonts w:eastAsia="宋体"/>
                <w:color w:val="auto"/>
                <w:sz w:val="24"/>
                <w:szCs w:val="24"/>
                <w:highlight w:val="none"/>
              </w:rPr>
              <w:t>建设项目</w:t>
            </w:r>
          </w:p>
          <w:p w14:paraId="015ED236">
            <w:pPr>
              <w:spacing w:after="0"/>
              <w:jc w:val="center"/>
              <w:rPr>
                <w:rFonts w:eastAsia="宋体"/>
                <w:color w:val="auto"/>
                <w:sz w:val="24"/>
                <w:szCs w:val="24"/>
                <w:highlight w:val="none"/>
              </w:rPr>
            </w:pPr>
            <w:r>
              <w:rPr>
                <w:rFonts w:eastAsia="宋体"/>
                <w:color w:val="auto"/>
                <w:sz w:val="24"/>
                <w:szCs w:val="24"/>
                <w:highlight w:val="none"/>
              </w:rPr>
              <w:t>环评时间</w:t>
            </w:r>
            <w:bookmarkEnd w:id="0"/>
          </w:p>
        </w:tc>
        <w:tc>
          <w:tcPr>
            <w:tcW w:w="2551" w:type="dxa"/>
            <w:vAlign w:val="center"/>
          </w:tcPr>
          <w:p w14:paraId="2DB31AA4">
            <w:pPr>
              <w:spacing w:after="0"/>
              <w:jc w:val="center"/>
              <w:rPr>
                <w:rFonts w:hint="default" w:eastAsia="宋体"/>
                <w:color w:val="auto"/>
                <w:sz w:val="24"/>
                <w:szCs w:val="24"/>
                <w:highlight w:val="none"/>
                <w:lang w:val="en-US" w:eastAsia="zh-CN"/>
              </w:rPr>
            </w:pPr>
            <w:r>
              <w:rPr>
                <w:rFonts w:hint="eastAsia" w:eastAsia="宋体"/>
                <w:color w:val="auto"/>
                <w:sz w:val="24"/>
                <w:szCs w:val="24"/>
                <w:highlight w:val="none"/>
                <w:lang w:val="en-US" w:eastAsia="zh-CN"/>
              </w:rPr>
              <w:t>2026.2.26</w:t>
            </w:r>
          </w:p>
        </w:tc>
        <w:tc>
          <w:tcPr>
            <w:tcW w:w="1985" w:type="dxa"/>
            <w:vAlign w:val="center"/>
          </w:tcPr>
          <w:p w14:paraId="4B11C1D2">
            <w:pPr>
              <w:spacing w:after="0"/>
              <w:jc w:val="center"/>
              <w:rPr>
                <w:rFonts w:eastAsia="宋体"/>
                <w:color w:val="auto"/>
                <w:sz w:val="24"/>
                <w:szCs w:val="24"/>
                <w:highlight w:val="none"/>
              </w:rPr>
            </w:pPr>
            <w:bookmarkStart w:id="1" w:name="_Hlk122936107"/>
            <w:r>
              <w:rPr>
                <w:rFonts w:eastAsia="宋体"/>
                <w:color w:val="auto"/>
                <w:sz w:val="24"/>
                <w:szCs w:val="24"/>
                <w:highlight w:val="none"/>
              </w:rPr>
              <w:t>开工建设时间</w:t>
            </w:r>
            <w:bookmarkEnd w:id="1"/>
          </w:p>
        </w:tc>
        <w:tc>
          <w:tcPr>
            <w:tcW w:w="2661" w:type="dxa"/>
            <w:gridSpan w:val="3"/>
            <w:vAlign w:val="center"/>
          </w:tcPr>
          <w:p w14:paraId="03457C22">
            <w:pPr>
              <w:spacing w:after="0"/>
              <w:jc w:val="center"/>
              <w:rPr>
                <w:rFonts w:hint="default" w:eastAsia="宋体"/>
                <w:color w:val="auto"/>
                <w:sz w:val="24"/>
                <w:szCs w:val="24"/>
                <w:highlight w:val="none"/>
                <w:lang w:val="en-US" w:eastAsia="zh-CN"/>
              </w:rPr>
            </w:pPr>
            <w:r>
              <w:rPr>
                <w:rFonts w:hint="eastAsia" w:eastAsia="宋体"/>
                <w:color w:val="auto"/>
                <w:sz w:val="24"/>
                <w:szCs w:val="24"/>
                <w:highlight w:val="none"/>
                <w:lang w:val="en-US" w:eastAsia="zh-CN"/>
              </w:rPr>
              <w:t>2026.3.1</w:t>
            </w:r>
          </w:p>
        </w:tc>
      </w:tr>
      <w:tr w14:paraId="268C8C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727" w:type="dxa"/>
            <w:vAlign w:val="center"/>
          </w:tcPr>
          <w:p w14:paraId="75BD5EC0">
            <w:pPr>
              <w:spacing w:after="0"/>
              <w:jc w:val="center"/>
              <w:rPr>
                <w:rFonts w:eastAsia="宋体"/>
                <w:color w:val="auto"/>
                <w:sz w:val="24"/>
                <w:szCs w:val="24"/>
                <w:highlight w:val="none"/>
              </w:rPr>
            </w:pPr>
            <w:bookmarkStart w:id="2" w:name="_Hlk122936114"/>
            <w:r>
              <w:rPr>
                <w:rFonts w:eastAsia="宋体"/>
                <w:color w:val="auto"/>
                <w:sz w:val="24"/>
                <w:szCs w:val="24"/>
                <w:highlight w:val="none"/>
              </w:rPr>
              <w:t>调试时间</w:t>
            </w:r>
            <w:bookmarkEnd w:id="2"/>
          </w:p>
        </w:tc>
        <w:tc>
          <w:tcPr>
            <w:tcW w:w="2551" w:type="dxa"/>
            <w:vAlign w:val="center"/>
          </w:tcPr>
          <w:p w14:paraId="7CE8D65F">
            <w:pPr>
              <w:spacing w:after="0"/>
              <w:jc w:val="center"/>
              <w:rPr>
                <w:rFonts w:hint="default" w:eastAsia="宋体"/>
                <w:color w:val="auto"/>
                <w:sz w:val="24"/>
                <w:szCs w:val="24"/>
                <w:highlight w:val="none"/>
                <w:lang w:val="en-US" w:eastAsia="zh-CN"/>
              </w:rPr>
            </w:pPr>
            <w:r>
              <w:rPr>
                <w:rFonts w:eastAsia="宋体"/>
                <w:color w:val="auto"/>
                <w:sz w:val="24"/>
                <w:szCs w:val="24"/>
                <w:highlight w:val="none"/>
              </w:rPr>
              <w:t>20</w:t>
            </w:r>
            <w:r>
              <w:rPr>
                <w:rFonts w:hint="eastAsia" w:eastAsia="宋体"/>
                <w:color w:val="auto"/>
                <w:sz w:val="24"/>
                <w:szCs w:val="24"/>
                <w:highlight w:val="none"/>
                <w:lang w:val="en-US" w:eastAsia="zh-CN"/>
              </w:rPr>
              <w:t>26.5.1</w:t>
            </w:r>
            <w:r>
              <w:rPr>
                <w:rFonts w:eastAsia="宋体"/>
                <w:color w:val="auto"/>
                <w:sz w:val="24"/>
                <w:szCs w:val="24"/>
                <w:highlight w:val="none"/>
              </w:rPr>
              <w:t>~202</w:t>
            </w:r>
            <w:r>
              <w:rPr>
                <w:rFonts w:hint="eastAsia" w:eastAsia="宋体"/>
                <w:color w:val="auto"/>
                <w:sz w:val="24"/>
                <w:szCs w:val="24"/>
                <w:highlight w:val="none"/>
                <w:lang w:val="en-US" w:eastAsia="zh-CN"/>
              </w:rPr>
              <w:t>6</w:t>
            </w:r>
            <w:r>
              <w:rPr>
                <w:rFonts w:eastAsia="宋体"/>
                <w:color w:val="auto"/>
                <w:sz w:val="24"/>
                <w:szCs w:val="24"/>
                <w:highlight w:val="none"/>
              </w:rPr>
              <w:t>.</w:t>
            </w:r>
            <w:r>
              <w:rPr>
                <w:rFonts w:hint="eastAsia" w:eastAsia="宋体"/>
                <w:color w:val="auto"/>
                <w:sz w:val="24"/>
                <w:szCs w:val="24"/>
                <w:highlight w:val="none"/>
                <w:lang w:val="en-US" w:eastAsia="zh-CN"/>
              </w:rPr>
              <w:t>5.23</w:t>
            </w:r>
          </w:p>
        </w:tc>
        <w:tc>
          <w:tcPr>
            <w:tcW w:w="1985" w:type="dxa"/>
            <w:vAlign w:val="center"/>
          </w:tcPr>
          <w:p w14:paraId="0B74E6A3">
            <w:pPr>
              <w:spacing w:after="0"/>
              <w:jc w:val="center"/>
              <w:rPr>
                <w:rFonts w:eastAsia="宋体"/>
                <w:color w:val="auto"/>
                <w:sz w:val="24"/>
                <w:szCs w:val="24"/>
                <w:highlight w:val="none"/>
              </w:rPr>
            </w:pPr>
            <w:r>
              <w:rPr>
                <w:rFonts w:eastAsia="宋体"/>
                <w:color w:val="auto"/>
                <w:sz w:val="24"/>
                <w:szCs w:val="24"/>
                <w:highlight w:val="none"/>
              </w:rPr>
              <w:t>验收现场</w:t>
            </w:r>
          </w:p>
          <w:p w14:paraId="1EC0B2E4">
            <w:pPr>
              <w:spacing w:after="0"/>
              <w:jc w:val="center"/>
              <w:rPr>
                <w:rFonts w:eastAsia="宋体"/>
                <w:color w:val="auto"/>
                <w:sz w:val="24"/>
                <w:szCs w:val="24"/>
                <w:highlight w:val="none"/>
              </w:rPr>
            </w:pPr>
            <w:r>
              <w:rPr>
                <w:rFonts w:eastAsia="宋体"/>
                <w:color w:val="auto"/>
                <w:sz w:val="24"/>
                <w:szCs w:val="24"/>
                <w:highlight w:val="none"/>
              </w:rPr>
              <w:t>监测时间</w:t>
            </w:r>
          </w:p>
        </w:tc>
        <w:tc>
          <w:tcPr>
            <w:tcW w:w="2661" w:type="dxa"/>
            <w:gridSpan w:val="3"/>
            <w:vAlign w:val="center"/>
          </w:tcPr>
          <w:p w14:paraId="619B86BB">
            <w:pPr>
              <w:spacing w:after="0"/>
              <w:jc w:val="center"/>
              <w:rPr>
                <w:rFonts w:hint="default" w:eastAsia="宋体"/>
                <w:color w:val="auto"/>
                <w:sz w:val="24"/>
                <w:szCs w:val="24"/>
                <w:highlight w:val="none"/>
                <w:lang w:val="en-US" w:eastAsia="zh-CN"/>
              </w:rPr>
            </w:pPr>
            <w:r>
              <w:rPr>
                <w:rFonts w:eastAsia="宋体"/>
                <w:color w:val="auto"/>
                <w:sz w:val="24"/>
                <w:szCs w:val="24"/>
                <w:highlight w:val="none"/>
              </w:rPr>
              <w:t>202</w:t>
            </w:r>
            <w:r>
              <w:rPr>
                <w:rFonts w:hint="eastAsia" w:eastAsia="宋体"/>
                <w:color w:val="auto"/>
                <w:sz w:val="24"/>
                <w:szCs w:val="24"/>
                <w:highlight w:val="none"/>
                <w:lang w:val="en-US" w:eastAsia="zh-CN"/>
              </w:rPr>
              <w:t>6</w:t>
            </w:r>
            <w:r>
              <w:rPr>
                <w:rFonts w:eastAsia="宋体"/>
                <w:color w:val="auto"/>
                <w:sz w:val="24"/>
                <w:szCs w:val="24"/>
                <w:highlight w:val="none"/>
              </w:rPr>
              <w:t>.</w:t>
            </w:r>
            <w:r>
              <w:rPr>
                <w:rFonts w:hint="eastAsia" w:eastAsia="宋体"/>
                <w:color w:val="auto"/>
                <w:sz w:val="24"/>
                <w:szCs w:val="24"/>
                <w:highlight w:val="none"/>
                <w:lang w:val="en-US" w:eastAsia="zh-CN"/>
              </w:rPr>
              <w:t>5.22</w:t>
            </w:r>
            <w:r>
              <w:rPr>
                <w:rFonts w:eastAsia="宋体"/>
                <w:color w:val="auto"/>
                <w:sz w:val="24"/>
                <w:szCs w:val="24"/>
                <w:highlight w:val="none"/>
              </w:rPr>
              <w:t>~202</w:t>
            </w:r>
            <w:r>
              <w:rPr>
                <w:rFonts w:hint="eastAsia" w:eastAsia="宋体"/>
                <w:color w:val="auto"/>
                <w:sz w:val="24"/>
                <w:szCs w:val="24"/>
                <w:highlight w:val="none"/>
                <w:lang w:val="en-US" w:eastAsia="zh-CN"/>
              </w:rPr>
              <w:t>6</w:t>
            </w:r>
            <w:r>
              <w:rPr>
                <w:rFonts w:eastAsia="宋体"/>
                <w:color w:val="auto"/>
                <w:sz w:val="24"/>
                <w:szCs w:val="24"/>
                <w:highlight w:val="none"/>
              </w:rPr>
              <w:t>.</w:t>
            </w:r>
            <w:r>
              <w:rPr>
                <w:rFonts w:hint="eastAsia" w:eastAsia="宋体"/>
                <w:color w:val="auto"/>
                <w:sz w:val="24"/>
                <w:szCs w:val="24"/>
                <w:highlight w:val="none"/>
                <w:lang w:val="en-US" w:eastAsia="zh-CN"/>
              </w:rPr>
              <w:t>5.23</w:t>
            </w:r>
          </w:p>
        </w:tc>
      </w:tr>
      <w:tr w14:paraId="6B4F5B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727" w:type="dxa"/>
            <w:vAlign w:val="center"/>
          </w:tcPr>
          <w:p w14:paraId="78FF7869">
            <w:pPr>
              <w:spacing w:after="0"/>
              <w:jc w:val="center"/>
              <w:rPr>
                <w:rFonts w:eastAsia="宋体"/>
                <w:color w:val="auto"/>
                <w:sz w:val="24"/>
                <w:szCs w:val="24"/>
                <w:highlight w:val="none"/>
              </w:rPr>
            </w:pPr>
            <w:r>
              <w:rPr>
                <w:rFonts w:eastAsia="宋体"/>
                <w:color w:val="auto"/>
                <w:sz w:val="24"/>
                <w:szCs w:val="24"/>
                <w:highlight w:val="none"/>
              </w:rPr>
              <w:t>环评报告表</w:t>
            </w:r>
          </w:p>
          <w:p w14:paraId="7BBB40DD">
            <w:pPr>
              <w:spacing w:after="0"/>
              <w:jc w:val="center"/>
              <w:rPr>
                <w:rFonts w:eastAsia="宋体"/>
                <w:color w:val="auto"/>
                <w:sz w:val="24"/>
                <w:szCs w:val="24"/>
                <w:highlight w:val="none"/>
              </w:rPr>
            </w:pPr>
            <w:r>
              <w:rPr>
                <w:rFonts w:eastAsia="宋体"/>
                <w:color w:val="auto"/>
                <w:sz w:val="24"/>
                <w:szCs w:val="24"/>
                <w:highlight w:val="none"/>
              </w:rPr>
              <w:t>审批部门</w:t>
            </w:r>
          </w:p>
        </w:tc>
        <w:tc>
          <w:tcPr>
            <w:tcW w:w="2551" w:type="dxa"/>
            <w:vAlign w:val="center"/>
          </w:tcPr>
          <w:p w14:paraId="59B44DB4">
            <w:pPr>
              <w:spacing w:after="0"/>
              <w:jc w:val="center"/>
              <w:rPr>
                <w:rFonts w:eastAsia="宋体"/>
                <w:color w:val="auto"/>
                <w:sz w:val="24"/>
                <w:szCs w:val="24"/>
                <w:highlight w:val="none"/>
              </w:rPr>
            </w:pPr>
            <w:r>
              <w:rPr>
                <w:rFonts w:hint="eastAsia" w:eastAsia="宋体"/>
                <w:color w:val="auto"/>
                <w:sz w:val="24"/>
                <w:szCs w:val="24"/>
                <w:highlight w:val="none"/>
              </w:rPr>
              <w:t>新乡市生态环境局</w:t>
            </w:r>
          </w:p>
        </w:tc>
        <w:tc>
          <w:tcPr>
            <w:tcW w:w="1985" w:type="dxa"/>
            <w:vAlign w:val="center"/>
          </w:tcPr>
          <w:p w14:paraId="7515D01F">
            <w:pPr>
              <w:spacing w:after="0"/>
              <w:jc w:val="center"/>
              <w:rPr>
                <w:rFonts w:eastAsia="宋体"/>
                <w:color w:val="auto"/>
                <w:sz w:val="24"/>
                <w:szCs w:val="24"/>
                <w:highlight w:val="none"/>
              </w:rPr>
            </w:pPr>
            <w:r>
              <w:rPr>
                <w:rFonts w:eastAsia="宋体"/>
                <w:color w:val="auto"/>
                <w:sz w:val="24"/>
                <w:szCs w:val="24"/>
                <w:highlight w:val="none"/>
              </w:rPr>
              <w:t>环评报告表</w:t>
            </w:r>
          </w:p>
          <w:p w14:paraId="60DE3E61">
            <w:pPr>
              <w:spacing w:after="0"/>
              <w:jc w:val="center"/>
              <w:rPr>
                <w:rFonts w:eastAsia="宋体"/>
                <w:color w:val="auto"/>
                <w:sz w:val="24"/>
                <w:szCs w:val="24"/>
                <w:highlight w:val="none"/>
              </w:rPr>
            </w:pPr>
            <w:r>
              <w:rPr>
                <w:rFonts w:eastAsia="宋体"/>
                <w:color w:val="auto"/>
                <w:sz w:val="24"/>
                <w:szCs w:val="24"/>
                <w:highlight w:val="none"/>
              </w:rPr>
              <w:t>编制单位</w:t>
            </w:r>
          </w:p>
        </w:tc>
        <w:tc>
          <w:tcPr>
            <w:tcW w:w="2661" w:type="dxa"/>
            <w:gridSpan w:val="3"/>
            <w:vAlign w:val="center"/>
          </w:tcPr>
          <w:p w14:paraId="490BF8AA">
            <w:pPr>
              <w:spacing w:after="0"/>
              <w:jc w:val="center"/>
              <w:rPr>
                <w:rFonts w:eastAsia="宋体"/>
                <w:color w:val="auto"/>
                <w:sz w:val="24"/>
                <w:szCs w:val="24"/>
                <w:highlight w:val="none"/>
              </w:rPr>
            </w:pPr>
            <w:r>
              <w:rPr>
                <w:rFonts w:hint="eastAsia" w:eastAsia="宋体"/>
                <w:color w:val="auto"/>
                <w:sz w:val="24"/>
                <w:szCs w:val="24"/>
                <w:highlight w:val="none"/>
              </w:rPr>
              <w:t>河南蓝天环境工程有限公司</w:t>
            </w:r>
          </w:p>
        </w:tc>
      </w:tr>
      <w:tr w14:paraId="614F7C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727" w:type="dxa"/>
            <w:vAlign w:val="center"/>
          </w:tcPr>
          <w:p w14:paraId="5E645AD5">
            <w:pPr>
              <w:spacing w:after="0"/>
              <w:jc w:val="center"/>
              <w:rPr>
                <w:rFonts w:eastAsia="宋体"/>
                <w:color w:val="auto"/>
                <w:sz w:val="24"/>
                <w:szCs w:val="24"/>
                <w:highlight w:val="none"/>
              </w:rPr>
            </w:pPr>
            <w:r>
              <w:rPr>
                <w:rFonts w:eastAsia="宋体"/>
                <w:color w:val="auto"/>
                <w:sz w:val="24"/>
                <w:szCs w:val="24"/>
                <w:highlight w:val="none"/>
              </w:rPr>
              <w:t>环保设施</w:t>
            </w:r>
          </w:p>
          <w:p w14:paraId="4AFD933E">
            <w:pPr>
              <w:spacing w:after="0"/>
              <w:jc w:val="center"/>
              <w:rPr>
                <w:rFonts w:eastAsia="宋体"/>
                <w:color w:val="auto"/>
                <w:sz w:val="24"/>
                <w:szCs w:val="24"/>
                <w:highlight w:val="none"/>
              </w:rPr>
            </w:pPr>
            <w:r>
              <w:rPr>
                <w:rFonts w:eastAsia="宋体"/>
                <w:color w:val="auto"/>
                <w:sz w:val="24"/>
                <w:szCs w:val="24"/>
                <w:highlight w:val="none"/>
              </w:rPr>
              <w:t>设计单位</w:t>
            </w:r>
          </w:p>
        </w:tc>
        <w:tc>
          <w:tcPr>
            <w:tcW w:w="2551" w:type="dxa"/>
            <w:vAlign w:val="center"/>
          </w:tcPr>
          <w:p w14:paraId="7D0680A5">
            <w:pPr>
              <w:spacing w:after="0"/>
              <w:jc w:val="center"/>
              <w:rPr>
                <w:rFonts w:eastAsia="宋体"/>
                <w:color w:val="auto"/>
                <w:sz w:val="24"/>
                <w:szCs w:val="24"/>
                <w:highlight w:val="none"/>
              </w:rPr>
            </w:pPr>
            <w:r>
              <w:rPr>
                <w:rFonts w:hint="eastAsia" w:eastAsia="宋体"/>
                <w:color w:val="auto"/>
                <w:sz w:val="24"/>
                <w:szCs w:val="24"/>
                <w:highlight w:val="none"/>
              </w:rPr>
              <w:t>河南垚兴环境科技有限公司</w:t>
            </w:r>
          </w:p>
        </w:tc>
        <w:tc>
          <w:tcPr>
            <w:tcW w:w="1985" w:type="dxa"/>
            <w:vAlign w:val="center"/>
          </w:tcPr>
          <w:p w14:paraId="7D8232F2">
            <w:pPr>
              <w:spacing w:after="0"/>
              <w:jc w:val="center"/>
              <w:rPr>
                <w:rFonts w:eastAsia="宋体"/>
                <w:color w:val="auto"/>
                <w:sz w:val="24"/>
                <w:szCs w:val="24"/>
                <w:highlight w:val="none"/>
              </w:rPr>
            </w:pPr>
            <w:r>
              <w:rPr>
                <w:rFonts w:eastAsia="宋体"/>
                <w:color w:val="auto"/>
                <w:sz w:val="24"/>
                <w:szCs w:val="24"/>
                <w:highlight w:val="none"/>
              </w:rPr>
              <w:t>环保设施</w:t>
            </w:r>
          </w:p>
          <w:p w14:paraId="06E97B9B">
            <w:pPr>
              <w:spacing w:after="0"/>
              <w:jc w:val="center"/>
              <w:rPr>
                <w:rFonts w:eastAsia="宋体"/>
                <w:color w:val="auto"/>
                <w:sz w:val="24"/>
                <w:szCs w:val="24"/>
                <w:highlight w:val="none"/>
              </w:rPr>
            </w:pPr>
            <w:r>
              <w:rPr>
                <w:rFonts w:eastAsia="宋体"/>
                <w:color w:val="auto"/>
                <w:sz w:val="24"/>
                <w:szCs w:val="24"/>
                <w:highlight w:val="none"/>
              </w:rPr>
              <w:t>施工单位</w:t>
            </w:r>
          </w:p>
        </w:tc>
        <w:tc>
          <w:tcPr>
            <w:tcW w:w="2661" w:type="dxa"/>
            <w:gridSpan w:val="3"/>
            <w:vAlign w:val="center"/>
          </w:tcPr>
          <w:p w14:paraId="4637AF5E">
            <w:pPr>
              <w:spacing w:after="0"/>
              <w:jc w:val="center"/>
              <w:rPr>
                <w:rFonts w:eastAsia="宋体"/>
                <w:color w:val="auto"/>
                <w:sz w:val="24"/>
                <w:szCs w:val="24"/>
                <w:highlight w:val="none"/>
              </w:rPr>
            </w:pPr>
            <w:r>
              <w:rPr>
                <w:rFonts w:hint="eastAsia" w:eastAsia="宋体"/>
                <w:color w:val="auto"/>
                <w:sz w:val="24"/>
                <w:szCs w:val="24"/>
                <w:highlight w:val="none"/>
              </w:rPr>
              <w:t>河南垚兴环境科技有限公司</w:t>
            </w:r>
          </w:p>
        </w:tc>
      </w:tr>
      <w:tr w14:paraId="797FA4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416CA093">
            <w:pPr>
              <w:spacing w:after="0"/>
              <w:jc w:val="center"/>
              <w:rPr>
                <w:rFonts w:eastAsia="宋体"/>
                <w:color w:val="auto"/>
                <w:sz w:val="24"/>
                <w:szCs w:val="24"/>
                <w:highlight w:val="none"/>
              </w:rPr>
            </w:pPr>
            <w:r>
              <w:rPr>
                <w:rFonts w:eastAsia="宋体"/>
                <w:color w:val="auto"/>
                <w:sz w:val="24"/>
                <w:szCs w:val="24"/>
                <w:highlight w:val="none"/>
              </w:rPr>
              <w:t>投资总概算</w:t>
            </w:r>
          </w:p>
        </w:tc>
        <w:tc>
          <w:tcPr>
            <w:tcW w:w="2551" w:type="dxa"/>
            <w:vAlign w:val="center"/>
          </w:tcPr>
          <w:p w14:paraId="7F5905CF">
            <w:pPr>
              <w:spacing w:after="0"/>
              <w:jc w:val="center"/>
              <w:rPr>
                <w:rFonts w:eastAsia="宋体"/>
                <w:color w:val="auto"/>
                <w:sz w:val="24"/>
                <w:szCs w:val="24"/>
                <w:highlight w:val="none"/>
              </w:rPr>
            </w:pPr>
            <w:r>
              <w:rPr>
                <w:rFonts w:hint="eastAsia" w:eastAsia="宋体"/>
                <w:color w:val="auto"/>
                <w:sz w:val="24"/>
                <w:szCs w:val="24"/>
                <w:highlight w:val="none"/>
                <w:lang w:val="en-US" w:eastAsia="zh-CN"/>
              </w:rPr>
              <w:t>1</w:t>
            </w:r>
            <w:r>
              <w:rPr>
                <w:rFonts w:eastAsia="宋体"/>
                <w:color w:val="auto"/>
                <w:sz w:val="24"/>
                <w:szCs w:val="24"/>
                <w:highlight w:val="none"/>
              </w:rPr>
              <w:t>000</w:t>
            </w:r>
            <w:r>
              <w:rPr>
                <w:rFonts w:hint="eastAsia" w:eastAsia="宋体"/>
                <w:color w:val="auto"/>
                <w:sz w:val="24"/>
                <w:szCs w:val="24"/>
                <w:highlight w:val="none"/>
              </w:rPr>
              <w:t>万</w:t>
            </w:r>
            <w:r>
              <w:rPr>
                <w:rFonts w:hint="eastAsia" w:eastAsia="宋体"/>
                <w:color w:val="auto"/>
                <w:sz w:val="24"/>
                <w:szCs w:val="24"/>
                <w:highlight w:val="none"/>
                <w:lang w:eastAsia="zh-CN"/>
              </w:rPr>
              <w:t>（</w:t>
            </w:r>
            <w:r>
              <w:rPr>
                <w:rFonts w:hint="eastAsia" w:eastAsia="宋体"/>
                <w:color w:val="auto"/>
                <w:sz w:val="24"/>
                <w:szCs w:val="24"/>
                <w:highlight w:val="none"/>
                <w:lang w:val="en-US" w:eastAsia="zh-CN"/>
              </w:rPr>
              <w:t>全厂</w:t>
            </w:r>
            <w:r>
              <w:rPr>
                <w:rFonts w:hint="eastAsia" w:eastAsia="宋体"/>
                <w:color w:val="auto"/>
                <w:sz w:val="24"/>
                <w:szCs w:val="24"/>
                <w:highlight w:val="none"/>
                <w:lang w:eastAsia="zh-CN"/>
              </w:rPr>
              <w:t>）</w:t>
            </w:r>
          </w:p>
        </w:tc>
        <w:tc>
          <w:tcPr>
            <w:tcW w:w="1985" w:type="dxa"/>
            <w:vAlign w:val="center"/>
          </w:tcPr>
          <w:p w14:paraId="1540D14F">
            <w:pPr>
              <w:spacing w:after="0"/>
              <w:jc w:val="center"/>
              <w:rPr>
                <w:rFonts w:eastAsia="宋体"/>
                <w:color w:val="auto"/>
                <w:sz w:val="24"/>
                <w:szCs w:val="24"/>
                <w:highlight w:val="none"/>
              </w:rPr>
            </w:pPr>
            <w:r>
              <w:rPr>
                <w:rFonts w:eastAsia="宋体"/>
                <w:color w:val="auto"/>
                <w:sz w:val="24"/>
                <w:szCs w:val="24"/>
                <w:highlight w:val="none"/>
              </w:rPr>
              <w:t>环保投资总概算</w:t>
            </w:r>
          </w:p>
        </w:tc>
        <w:tc>
          <w:tcPr>
            <w:tcW w:w="1117" w:type="dxa"/>
            <w:vAlign w:val="center"/>
          </w:tcPr>
          <w:p w14:paraId="72AA87F5">
            <w:pPr>
              <w:spacing w:after="0"/>
              <w:jc w:val="center"/>
              <w:rPr>
                <w:rFonts w:eastAsia="宋体"/>
                <w:color w:val="auto"/>
                <w:sz w:val="24"/>
                <w:szCs w:val="24"/>
                <w:highlight w:val="none"/>
              </w:rPr>
            </w:pPr>
            <w:r>
              <w:rPr>
                <w:rFonts w:hint="eastAsia" w:eastAsia="宋体"/>
                <w:color w:val="auto"/>
                <w:sz w:val="24"/>
                <w:szCs w:val="24"/>
                <w:highlight w:val="none"/>
                <w:lang w:val="en-US" w:eastAsia="zh-CN"/>
              </w:rPr>
              <w:t>30</w:t>
            </w:r>
            <w:r>
              <w:rPr>
                <w:rFonts w:hint="eastAsia" w:eastAsia="宋体"/>
                <w:color w:val="auto"/>
                <w:sz w:val="24"/>
                <w:szCs w:val="24"/>
                <w:highlight w:val="none"/>
              </w:rPr>
              <w:t>万</w:t>
            </w:r>
            <w:r>
              <w:rPr>
                <w:rFonts w:hint="eastAsia" w:eastAsia="宋体"/>
                <w:color w:val="auto"/>
                <w:sz w:val="24"/>
                <w:szCs w:val="24"/>
                <w:highlight w:val="none"/>
                <w:lang w:eastAsia="zh-CN"/>
              </w:rPr>
              <w:t>（</w:t>
            </w:r>
            <w:r>
              <w:rPr>
                <w:rFonts w:hint="eastAsia" w:eastAsia="宋体"/>
                <w:color w:val="auto"/>
                <w:sz w:val="24"/>
                <w:szCs w:val="24"/>
                <w:highlight w:val="none"/>
                <w:lang w:val="en-US" w:eastAsia="zh-CN"/>
              </w:rPr>
              <w:t>全厂</w:t>
            </w:r>
            <w:r>
              <w:rPr>
                <w:rFonts w:hint="eastAsia" w:eastAsia="宋体"/>
                <w:color w:val="auto"/>
                <w:sz w:val="24"/>
                <w:szCs w:val="24"/>
                <w:highlight w:val="none"/>
                <w:lang w:eastAsia="zh-CN"/>
              </w:rPr>
              <w:t>）</w:t>
            </w:r>
          </w:p>
        </w:tc>
        <w:tc>
          <w:tcPr>
            <w:tcW w:w="840" w:type="dxa"/>
            <w:vAlign w:val="center"/>
          </w:tcPr>
          <w:p w14:paraId="132EAE0E">
            <w:pPr>
              <w:spacing w:after="0"/>
              <w:jc w:val="center"/>
              <w:rPr>
                <w:rFonts w:eastAsia="宋体"/>
                <w:color w:val="auto"/>
                <w:sz w:val="24"/>
                <w:szCs w:val="24"/>
                <w:highlight w:val="none"/>
              </w:rPr>
            </w:pPr>
            <w:r>
              <w:rPr>
                <w:rFonts w:eastAsia="宋体"/>
                <w:color w:val="auto"/>
                <w:sz w:val="24"/>
                <w:szCs w:val="24"/>
                <w:highlight w:val="none"/>
              </w:rPr>
              <w:t>比例</w:t>
            </w:r>
          </w:p>
        </w:tc>
        <w:tc>
          <w:tcPr>
            <w:tcW w:w="704" w:type="dxa"/>
            <w:vAlign w:val="center"/>
          </w:tcPr>
          <w:p w14:paraId="00D7FFDE">
            <w:pPr>
              <w:spacing w:after="0"/>
              <w:jc w:val="center"/>
              <w:rPr>
                <w:rFonts w:eastAsia="宋体"/>
                <w:color w:val="auto"/>
                <w:sz w:val="24"/>
                <w:szCs w:val="24"/>
                <w:highlight w:val="none"/>
              </w:rPr>
            </w:pPr>
            <w:r>
              <w:rPr>
                <w:rFonts w:hint="eastAsia" w:eastAsia="宋体"/>
                <w:color w:val="auto"/>
                <w:sz w:val="24"/>
                <w:szCs w:val="24"/>
                <w:highlight w:val="none"/>
                <w:lang w:val="en-US" w:eastAsia="zh-CN"/>
              </w:rPr>
              <w:t>3</w:t>
            </w:r>
            <w:r>
              <w:rPr>
                <w:rFonts w:eastAsia="宋体"/>
                <w:color w:val="auto"/>
                <w:sz w:val="24"/>
                <w:szCs w:val="24"/>
                <w:highlight w:val="none"/>
              </w:rPr>
              <w:t>%</w:t>
            </w:r>
          </w:p>
        </w:tc>
      </w:tr>
      <w:tr w14:paraId="33690F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30DBFBE0">
            <w:pPr>
              <w:spacing w:after="0"/>
              <w:jc w:val="center"/>
              <w:rPr>
                <w:rFonts w:eastAsia="宋体"/>
                <w:color w:val="auto"/>
                <w:sz w:val="24"/>
                <w:szCs w:val="24"/>
                <w:highlight w:val="none"/>
              </w:rPr>
            </w:pPr>
            <w:bookmarkStart w:id="3" w:name="_Hlk122936127"/>
            <w:r>
              <w:rPr>
                <w:rFonts w:eastAsia="宋体"/>
                <w:color w:val="auto"/>
                <w:sz w:val="24"/>
                <w:szCs w:val="24"/>
                <w:highlight w:val="none"/>
              </w:rPr>
              <w:t>实际总概算</w:t>
            </w:r>
            <w:bookmarkEnd w:id="3"/>
          </w:p>
        </w:tc>
        <w:tc>
          <w:tcPr>
            <w:tcW w:w="2551" w:type="dxa"/>
            <w:vAlign w:val="center"/>
          </w:tcPr>
          <w:p w14:paraId="025A8CBB">
            <w:pPr>
              <w:spacing w:after="0"/>
              <w:jc w:val="center"/>
              <w:rPr>
                <w:rFonts w:eastAsia="宋体"/>
                <w:color w:val="auto"/>
                <w:sz w:val="24"/>
                <w:szCs w:val="24"/>
                <w:highlight w:val="none"/>
              </w:rPr>
            </w:pPr>
            <w:r>
              <w:rPr>
                <w:rFonts w:hint="eastAsia" w:eastAsia="宋体"/>
                <w:color w:val="auto"/>
                <w:sz w:val="24"/>
                <w:szCs w:val="24"/>
                <w:highlight w:val="none"/>
                <w:lang w:val="en-US" w:eastAsia="zh-CN"/>
              </w:rPr>
              <w:t>700</w:t>
            </w:r>
            <w:r>
              <w:rPr>
                <w:rFonts w:hint="eastAsia" w:eastAsia="宋体"/>
                <w:color w:val="auto"/>
                <w:sz w:val="24"/>
                <w:szCs w:val="24"/>
                <w:highlight w:val="none"/>
              </w:rPr>
              <w:t>万（</w:t>
            </w:r>
            <w:r>
              <w:rPr>
                <w:rFonts w:hint="eastAsia" w:eastAsia="宋体"/>
                <w:color w:val="auto"/>
                <w:sz w:val="24"/>
                <w:szCs w:val="24"/>
                <w:highlight w:val="none"/>
                <w:lang w:val="en-US" w:eastAsia="zh-CN"/>
              </w:rPr>
              <w:t>一</w:t>
            </w:r>
            <w:r>
              <w:rPr>
                <w:rFonts w:hint="eastAsia" w:eastAsia="宋体"/>
                <w:color w:val="auto"/>
                <w:sz w:val="24"/>
                <w:szCs w:val="24"/>
                <w:highlight w:val="none"/>
              </w:rPr>
              <w:t>期）</w:t>
            </w:r>
          </w:p>
        </w:tc>
        <w:tc>
          <w:tcPr>
            <w:tcW w:w="1985" w:type="dxa"/>
            <w:vAlign w:val="center"/>
          </w:tcPr>
          <w:p w14:paraId="66D598EE">
            <w:pPr>
              <w:spacing w:after="0"/>
              <w:jc w:val="center"/>
              <w:rPr>
                <w:rFonts w:eastAsia="宋体"/>
                <w:color w:val="auto"/>
                <w:sz w:val="24"/>
                <w:szCs w:val="24"/>
                <w:highlight w:val="none"/>
              </w:rPr>
            </w:pPr>
            <w:bookmarkStart w:id="4" w:name="_Hlk122936133"/>
            <w:r>
              <w:rPr>
                <w:rFonts w:eastAsia="宋体"/>
                <w:color w:val="auto"/>
                <w:sz w:val="24"/>
                <w:szCs w:val="24"/>
                <w:highlight w:val="none"/>
              </w:rPr>
              <w:t>环保投资</w:t>
            </w:r>
            <w:bookmarkEnd w:id="4"/>
          </w:p>
        </w:tc>
        <w:tc>
          <w:tcPr>
            <w:tcW w:w="1117" w:type="dxa"/>
            <w:vAlign w:val="center"/>
          </w:tcPr>
          <w:p w14:paraId="57A506E6">
            <w:pPr>
              <w:spacing w:after="0"/>
              <w:jc w:val="center"/>
              <w:rPr>
                <w:rFonts w:hint="eastAsia" w:eastAsia="宋体"/>
                <w:color w:val="auto"/>
                <w:sz w:val="24"/>
                <w:szCs w:val="24"/>
                <w:highlight w:val="none"/>
              </w:rPr>
            </w:pPr>
            <w:r>
              <w:rPr>
                <w:rFonts w:hint="eastAsia" w:eastAsia="宋体"/>
                <w:color w:val="auto"/>
                <w:sz w:val="24"/>
                <w:szCs w:val="24"/>
                <w:highlight w:val="none"/>
                <w:lang w:val="en-US" w:eastAsia="zh-CN"/>
              </w:rPr>
              <w:t>30</w:t>
            </w:r>
            <w:r>
              <w:rPr>
                <w:rFonts w:hint="eastAsia" w:eastAsia="宋体"/>
                <w:color w:val="auto"/>
                <w:sz w:val="24"/>
                <w:szCs w:val="24"/>
                <w:highlight w:val="none"/>
              </w:rPr>
              <w:t>万</w:t>
            </w:r>
          </w:p>
          <w:p w14:paraId="2B58C8BE">
            <w:pPr>
              <w:spacing w:after="0"/>
              <w:jc w:val="center"/>
              <w:rPr>
                <w:rFonts w:eastAsia="宋体"/>
                <w:color w:val="auto"/>
                <w:sz w:val="24"/>
                <w:szCs w:val="24"/>
                <w:highlight w:val="none"/>
              </w:rPr>
            </w:pPr>
            <w:r>
              <w:rPr>
                <w:rFonts w:hint="eastAsia" w:eastAsia="宋体"/>
                <w:color w:val="auto"/>
                <w:sz w:val="24"/>
                <w:szCs w:val="24"/>
                <w:highlight w:val="none"/>
              </w:rPr>
              <w:t>（</w:t>
            </w:r>
            <w:r>
              <w:rPr>
                <w:rFonts w:hint="eastAsia" w:eastAsia="宋体"/>
                <w:color w:val="auto"/>
                <w:sz w:val="24"/>
                <w:szCs w:val="24"/>
                <w:highlight w:val="none"/>
                <w:lang w:val="en-US" w:eastAsia="zh-CN"/>
              </w:rPr>
              <w:t>一</w:t>
            </w:r>
            <w:r>
              <w:rPr>
                <w:rFonts w:hint="eastAsia" w:eastAsia="宋体"/>
                <w:color w:val="auto"/>
                <w:sz w:val="24"/>
                <w:szCs w:val="24"/>
                <w:highlight w:val="none"/>
              </w:rPr>
              <w:t>期）</w:t>
            </w:r>
          </w:p>
        </w:tc>
        <w:tc>
          <w:tcPr>
            <w:tcW w:w="840" w:type="dxa"/>
            <w:vAlign w:val="center"/>
          </w:tcPr>
          <w:p w14:paraId="0819E92F">
            <w:pPr>
              <w:spacing w:after="0"/>
              <w:jc w:val="center"/>
              <w:rPr>
                <w:rFonts w:eastAsia="宋体"/>
                <w:color w:val="auto"/>
                <w:sz w:val="24"/>
                <w:szCs w:val="24"/>
                <w:highlight w:val="none"/>
              </w:rPr>
            </w:pPr>
            <w:r>
              <w:rPr>
                <w:rFonts w:eastAsia="宋体"/>
                <w:color w:val="auto"/>
                <w:sz w:val="24"/>
                <w:szCs w:val="24"/>
                <w:highlight w:val="none"/>
              </w:rPr>
              <w:t>比例</w:t>
            </w:r>
          </w:p>
        </w:tc>
        <w:tc>
          <w:tcPr>
            <w:tcW w:w="704" w:type="dxa"/>
            <w:vAlign w:val="center"/>
          </w:tcPr>
          <w:p w14:paraId="6513607A">
            <w:pPr>
              <w:spacing w:after="0"/>
              <w:jc w:val="center"/>
              <w:rPr>
                <w:rFonts w:eastAsia="宋体"/>
                <w:color w:val="auto"/>
                <w:sz w:val="24"/>
                <w:szCs w:val="24"/>
                <w:highlight w:val="none"/>
              </w:rPr>
            </w:pPr>
            <w:r>
              <w:rPr>
                <w:rFonts w:hint="eastAsia" w:eastAsia="宋体"/>
                <w:color w:val="auto"/>
                <w:sz w:val="24"/>
                <w:szCs w:val="24"/>
                <w:highlight w:val="none"/>
                <w:lang w:val="en-US" w:eastAsia="zh-CN"/>
              </w:rPr>
              <w:t>4</w:t>
            </w:r>
            <w:r>
              <w:rPr>
                <w:rFonts w:eastAsia="宋体"/>
                <w:color w:val="auto"/>
                <w:sz w:val="24"/>
                <w:szCs w:val="24"/>
                <w:highlight w:val="none"/>
              </w:rPr>
              <w:t>%</w:t>
            </w:r>
          </w:p>
        </w:tc>
      </w:tr>
      <w:tr w14:paraId="063697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727" w:type="dxa"/>
            <w:vAlign w:val="center"/>
          </w:tcPr>
          <w:p w14:paraId="6078DA10">
            <w:pPr>
              <w:spacing w:after="0"/>
              <w:jc w:val="center"/>
              <w:rPr>
                <w:rFonts w:eastAsia="宋体"/>
                <w:color w:val="auto"/>
                <w:sz w:val="24"/>
                <w:szCs w:val="24"/>
                <w:highlight w:val="none"/>
              </w:rPr>
            </w:pPr>
            <w:r>
              <w:rPr>
                <w:rFonts w:eastAsia="宋体"/>
                <w:color w:val="auto"/>
                <w:sz w:val="24"/>
                <w:szCs w:val="24"/>
                <w:highlight w:val="none"/>
              </w:rPr>
              <w:t>验收监测依据</w:t>
            </w:r>
          </w:p>
        </w:tc>
        <w:tc>
          <w:tcPr>
            <w:tcW w:w="7197" w:type="dxa"/>
            <w:gridSpan w:val="5"/>
            <w:vAlign w:val="center"/>
          </w:tcPr>
          <w:p w14:paraId="17527D0B">
            <w:pPr>
              <w:spacing w:after="0" w:line="460" w:lineRule="exact"/>
              <w:jc w:val="both"/>
              <w:rPr>
                <w:rFonts w:eastAsia="宋体"/>
                <w:color w:val="auto"/>
                <w:sz w:val="24"/>
                <w:szCs w:val="24"/>
                <w:highlight w:val="none"/>
              </w:rPr>
            </w:pPr>
            <w:r>
              <w:rPr>
                <w:rFonts w:eastAsia="宋体"/>
                <w:color w:val="auto"/>
                <w:sz w:val="24"/>
                <w:szCs w:val="24"/>
                <w:highlight w:val="none"/>
              </w:rPr>
              <w:t>1.《中华人民共和国环境保护法》(主席令2014年第9号)；</w:t>
            </w:r>
          </w:p>
          <w:p w14:paraId="5293D1AE">
            <w:pPr>
              <w:spacing w:after="0" w:line="460" w:lineRule="exact"/>
              <w:jc w:val="both"/>
              <w:rPr>
                <w:rFonts w:eastAsia="宋体"/>
                <w:color w:val="auto"/>
                <w:sz w:val="24"/>
                <w:szCs w:val="24"/>
                <w:highlight w:val="none"/>
              </w:rPr>
            </w:pPr>
            <w:r>
              <w:rPr>
                <w:rFonts w:eastAsia="宋体"/>
                <w:color w:val="auto"/>
                <w:sz w:val="24"/>
                <w:szCs w:val="24"/>
                <w:highlight w:val="none"/>
              </w:rPr>
              <w:t>2.《中华人民共和国环境影响评价法》（2018修正版）；</w:t>
            </w:r>
          </w:p>
          <w:p w14:paraId="0BDFF361">
            <w:pPr>
              <w:spacing w:after="0" w:line="460" w:lineRule="exact"/>
              <w:jc w:val="both"/>
              <w:rPr>
                <w:rFonts w:eastAsia="宋体"/>
                <w:color w:val="auto"/>
                <w:sz w:val="24"/>
                <w:szCs w:val="24"/>
                <w:highlight w:val="none"/>
              </w:rPr>
            </w:pPr>
            <w:r>
              <w:rPr>
                <w:rFonts w:eastAsia="宋体"/>
                <w:color w:val="auto"/>
                <w:sz w:val="24"/>
                <w:szCs w:val="24"/>
                <w:highlight w:val="none"/>
              </w:rPr>
              <w:t>3.《建设项目环境保护管理条例》（国务院令第253号）；</w:t>
            </w:r>
          </w:p>
          <w:p w14:paraId="29888AAF">
            <w:pPr>
              <w:spacing w:after="0" w:line="460" w:lineRule="exact"/>
              <w:jc w:val="both"/>
              <w:rPr>
                <w:rFonts w:eastAsia="宋体"/>
                <w:color w:val="auto"/>
                <w:sz w:val="24"/>
                <w:szCs w:val="24"/>
                <w:highlight w:val="none"/>
              </w:rPr>
            </w:pPr>
            <w:r>
              <w:rPr>
                <w:rFonts w:eastAsia="宋体"/>
                <w:color w:val="auto"/>
                <w:sz w:val="24"/>
                <w:szCs w:val="24"/>
                <w:highlight w:val="none"/>
              </w:rPr>
              <w:t>4.《河南省建设项目环境保护条例》（2016年修正版）；</w:t>
            </w:r>
          </w:p>
          <w:p w14:paraId="763D291F">
            <w:pPr>
              <w:spacing w:after="0" w:line="460" w:lineRule="exact"/>
              <w:jc w:val="both"/>
              <w:rPr>
                <w:rFonts w:eastAsia="宋体"/>
                <w:color w:val="auto"/>
                <w:sz w:val="24"/>
                <w:szCs w:val="24"/>
                <w:highlight w:val="none"/>
              </w:rPr>
            </w:pPr>
            <w:r>
              <w:rPr>
                <w:rFonts w:eastAsia="宋体"/>
                <w:color w:val="auto"/>
                <w:sz w:val="24"/>
                <w:szCs w:val="24"/>
                <w:highlight w:val="none"/>
              </w:rPr>
              <w:t>5.《关于印发建设项目竣工环境保护验收现场检查及审查要点的通知》（环办〔2015〕113号）；</w:t>
            </w:r>
          </w:p>
          <w:p w14:paraId="235F8A64">
            <w:pPr>
              <w:spacing w:after="0" w:line="460" w:lineRule="exact"/>
              <w:jc w:val="both"/>
              <w:rPr>
                <w:rFonts w:eastAsia="宋体"/>
                <w:color w:val="auto"/>
                <w:sz w:val="24"/>
                <w:szCs w:val="24"/>
                <w:highlight w:val="none"/>
              </w:rPr>
            </w:pPr>
            <w:r>
              <w:rPr>
                <w:rFonts w:eastAsia="宋体"/>
                <w:color w:val="auto"/>
                <w:sz w:val="24"/>
                <w:szCs w:val="24"/>
                <w:highlight w:val="none"/>
              </w:rPr>
              <w:t>6.《建设项目竣工环境保护验收暂行办法》（国环规环评〔2017〕4号，2017.11.22）；</w:t>
            </w:r>
          </w:p>
          <w:p w14:paraId="234CE92F">
            <w:pPr>
              <w:spacing w:after="0" w:line="460" w:lineRule="exact"/>
              <w:jc w:val="both"/>
              <w:rPr>
                <w:rFonts w:eastAsia="宋体"/>
                <w:color w:val="auto"/>
                <w:sz w:val="24"/>
                <w:szCs w:val="24"/>
                <w:highlight w:val="none"/>
              </w:rPr>
            </w:pPr>
            <w:r>
              <w:rPr>
                <w:rFonts w:eastAsia="宋体"/>
                <w:color w:val="auto"/>
                <w:sz w:val="24"/>
                <w:szCs w:val="24"/>
                <w:highlight w:val="none"/>
              </w:rPr>
              <w:t>7.《建设项目竣工环境保护验收技术指南污染影响类》（生态环境部，2018.5.16）；</w:t>
            </w:r>
          </w:p>
          <w:p w14:paraId="589A7528">
            <w:pPr>
              <w:spacing w:after="0" w:line="460" w:lineRule="exact"/>
              <w:jc w:val="both"/>
              <w:rPr>
                <w:rFonts w:eastAsia="宋体"/>
                <w:color w:val="auto"/>
                <w:sz w:val="24"/>
                <w:szCs w:val="24"/>
                <w:highlight w:val="none"/>
              </w:rPr>
            </w:pPr>
            <w:r>
              <w:rPr>
                <w:rFonts w:eastAsia="宋体"/>
                <w:color w:val="auto"/>
                <w:sz w:val="24"/>
                <w:szCs w:val="24"/>
                <w:highlight w:val="none"/>
              </w:rPr>
              <w:t>8.</w:t>
            </w:r>
            <w:r>
              <w:rPr>
                <w:rFonts w:hint="eastAsia" w:eastAsia="宋体"/>
                <w:color w:val="auto"/>
                <w:sz w:val="24"/>
                <w:szCs w:val="24"/>
                <w:highlight w:val="none"/>
              </w:rPr>
              <w:t>关于印发《污染影响类建设项目重大变动清单（试行）》的通知（生态环境部，环办环评函（2020）688号，2020.12.13）</w:t>
            </w:r>
            <w:r>
              <w:rPr>
                <w:rFonts w:eastAsia="宋体"/>
                <w:color w:val="auto"/>
                <w:sz w:val="24"/>
                <w:szCs w:val="24"/>
                <w:highlight w:val="none"/>
              </w:rPr>
              <w:t>；</w:t>
            </w:r>
          </w:p>
          <w:p w14:paraId="388D6B81">
            <w:pPr>
              <w:spacing w:after="0" w:line="460" w:lineRule="exact"/>
              <w:jc w:val="both"/>
              <w:rPr>
                <w:rFonts w:eastAsia="宋体"/>
                <w:color w:val="auto"/>
                <w:sz w:val="24"/>
                <w:szCs w:val="24"/>
                <w:highlight w:val="none"/>
              </w:rPr>
            </w:pPr>
            <w:r>
              <w:rPr>
                <w:rFonts w:eastAsia="宋体"/>
                <w:color w:val="auto"/>
                <w:sz w:val="24"/>
                <w:szCs w:val="24"/>
                <w:highlight w:val="none"/>
              </w:rPr>
              <w:t>9.《排污单位自行监测技术指南</w:t>
            </w:r>
            <w:r>
              <w:rPr>
                <w:rFonts w:hint="eastAsia" w:eastAsia="宋体"/>
                <w:color w:val="auto"/>
                <w:sz w:val="24"/>
                <w:szCs w:val="24"/>
                <w:highlight w:val="none"/>
                <w:lang w:val="en-US" w:eastAsia="zh-CN"/>
              </w:rPr>
              <w:t xml:space="preserve"> </w:t>
            </w:r>
            <w:r>
              <w:rPr>
                <w:rFonts w:eastAsia="宋体"/>
                <w:color w:val="auto"/>
                <w:sz w:val="24"/>
                <w:szCs w:val="24"/>
                <w:highlight w:val="none"/>
              </w:rPr>
              <w:t>橡胶和</w:t>
            </w:r>
            <w:r>
              <w:rPr>
                <w:rFonts w:hint="eastAsia" w:eastAsia="宋体"/>
                <w:color w:val="auto"/>
                <w:sz w:val="24"/>
                <w:szCs w:val="24"/>
                <w:highlight w:val="none"/>
              </w:rPr>
              <w:t>塑料制品</w:t>
            </w:r>
            <w:r>
              <w:rPr>
                <w:rFonts w:eastAsia="宋体"/>
                <w:color w:val="auto"/>
                <w:sz w:val="24"/>
                <w:szCs w:val="24"/>
                <w:highlight w:val="none"/>
              </w:rPr>
              <w:t>》（HJ</w:t>
            </w:r>
            <w:r>
              <w:rPr>
                <w:rFonts w:hint="eastAsia" w:eastAsia="宋体"/>
                <w:color w:val="auto"/>
                <w:sz w:val="24"/>
                <w:szCs w:val="24"/>
                <w:highlight w:val="none"/>
                <w:lang w:val="en-US" w:eastAsia="zh-CN"/>
              </w:rPr>
              <w:t xml:space="preserve"> 1207</w:t>
            </w:r>
            <w:r>
              <w:rPr>
                <w:rFonts w:eastAsia="宋体"/>
                <w:color w:val="auto"/>
                <w:sz w:val="24"/>
                <w:szCs w:val="24"/>
                <w:highlight w:val="none"/>
              </w:rPr>
              <w:t>-20</w:t>
            </w:r>
            <w:r>
              <w:rPr>
                <w:rFonts w:hint="eastAsia" w:eastAsia="宋体"/>
                <w:color w:val="auto"/>
                <w:sz w:val="24"/>
                <w:szCs w:val="24"/>
                <w:highlight w:val="none"/>
                <w:lang w:val="en-US" w:eastAsia="zh-CN"/>
              </w:rPr>
              <w:t>21</w:t>
            </w:r>
            <w:r>
              <w:rPr>
                <w:rFonts w:eastAsia="宋体"/>
                <w:color w:val="auto"/>
                <w:sz w:val="24"/>
                <w:szCs w:val="24"/>
                <w:highlight w:val="none"/>
              </w:rPr>
              <w:t>）；</w:t>
            </w:r>
          </w:p>
          <w:p w14:paraId="246203E4">
            <w:pPr>
              <w:keepNext w:val="0"/>
              <w:keepLines w:val="0"/>
              <w:pageBreakBefore w:val="0"/>
              <w:widowControl/>
              <w:kinsoku/>
              <w:wordWrap/>
              <w:overflowPunct/>
              <w:topLinePunct w:val="0"/>
              <w:autoSpaceDE/>
              <w:autoSpaceDN/>
              <w:bidi w:val="0"/>
              <w:adjustRightInd w:val="0"/>
              <w:snapToGrid w:val="0"/>
              <w:spacing w:after="0" w:line="460" w:lineRule="exact"/>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10.</w:t>
            </w:r>
            <w:bookmarkStart w:id="5" w:name="_Hlk122942503"/>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河南</w:t>
            </w:r>
            <w:r>
              <w:rPr>
                <w:rFonts w:hint="default" w:ascii="Times New Roman" w:hAnsi="Times New Roman" w:eastAsia="宋体" w:cs="Times New Roman"/>
                <w:color w:val="auto"/>
                <w:sz w:val="24"/>
                <w:szCs w:val="24"/>
                <w:lang w:val="en-US" w:eastAsia="zh-CN"/>
              </w:rPr>
              <w:t>省养乐奇生物科技有限责任公司</w:t>
            </w:r>
            <w:r>
              <w:rPr>
                <w:rFonts w:hint="default" w:ascii="Times New Roman" w:hAnsi="Times New Roman" w:eastAsia="宋体" w:cs="Times New Roman"/>
                <w:color w:val="auto"/>
                <w:sz w:val="24"/>
                <w:szCs w:val="24"/>
                <w:highlight w:val="none"/>
              </w:rPr>
              <w:t>年产</w:t>
            </w:r>
            <w:r>
              <w:rPr>
                <w:rFonts w:hint="default" w:ascii="Times New Roman" w:hAnsi="Times New Roman" w:eastAsia="宋体" w:cs="Times New Roman"/>
                <w:color w:val="auto"/>
                <w:sz w:val="24"/>
                <w:szCs w:val="24"/>
                <w:highlight w:val="none"/>
                <w:lang w:val="en-US" w:eastAsia="zh-CN"/>
              </w:rPr>
              <w:t>6000</w:t>
            </w:r>
            <w:r>
              <w:rPr>
                <w:rFonts w:hint="default" w:ascii="Times New Roman" w:hAnsi="Times New Roman" w:eastAsia="宋体" w:cs="Times New Roman"/>
                <w:color w:val="auto"/>
                <w:sz w:val="24"/>
                <w:szCs w:val="24"/>
                <w:highlight w:val="none"/>
              </w:rPr>
              <w:t>万只塑料</w:t>
            </w:r>
            <w:r>
              <w:rPr>
                <w:rFonts w:hint="default" w:ascii="Times New Roman" w:hAnsi="Times New Roman" w:eastAsia="宋体" w:cs="Times New Roman"/>
                <w:color w:val="auto"/>
                <w:sz w:val="24"/>
                <w:szCs w:val="24"/>
                <w:highlight w:val="none"/>
                <w:lang w:val="en-US" w:eastAsia="zh-CN"/>
              </w:rPr>
              <w:t>瓶</w:t>
            </w:r>
            <w:r>
              <w:rPr>
                <w:rFonts w:hint="default" w:ascii="Times New Roman" w:hAnsi="Times New Roman" w:eastAsia="宋体" w:cs="Times New Roman"/>
                <w:color w:val="auto"/>
                <w:sz w:val="24"/>
                <w:szCs w:val="24"/>
                <w:highlight w:val="none"/>
              </w:rPr>
              <w:t>项目环境影响报告表》</w:t>
            </w:r>
            <w:bookmarkEnd w:id="5"/>
            <w:r>
              <w:rPr>
                <w:rFonts w:hint="default" w:ascii="Times New Roman" w:hAnsi="Times New Roman" w:eastAsia="宋体" w:cs="Times New Roman"/>
                <w:color w:val="auto"/>
                <w:sz w:val="24"/>
                <w:szCs w:val="24"/>
                <w:highlight w:val="none"/>
              </w:rPr>
              <w:t>，河南蓝天环境工程有限公司，202</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p>
          <w:p w14:paraId="5F3BF501">
            <w:pPr>
              <w:keepNext w:val="0"/>
              <w:keepLines w:val="0"/>
              <w:pageBreakBefore w:val="0"/>
              <w:widowControl/>
              <w:kinsoku/>
              <w:wordWrap/>
              <w:overflowPunct/>
              <w:topLinePunct w:val="0"/>
              <w:autoSpaceDE/>
              <w:autoSpaceDN/>
              <w:bidi w:val="0"/>
              <w:adjustRightInd w:val="0"/>
              <w:snapToGrid w:val="0"/>
              <w:spacing w:after="0" w:line="460" w:lineRule="exact"/>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11.《</w:t>
            </w:r>
            <w:r>
              <w:rPr>
                <w:rFonts w:hint="default" w:ascii="Times New Roman" w:hAnsi="Times New Roman" w:eastAsia="宋体" w:cs="Times New Roman"/>
                <w:color w:val="auto"/>
                <w:sz w:val="24"/>
                <w:szCs w:val="24"/>
              </w:rPr>
              <w:t>河南</w:t>
            </w:r>
            <w:r>
              <w:rPr>
                <w:rFonts w:hint="default" w:ascii="Times New Roman" w:hAnsi="Times New Roman" w:eastAsia="宋体" w:cs="Times New Roman"/>
                <w:color w:val="auto"/>
                <w:sz w:val="24"/>
                <w:szCs w:val="24"/>
                <w:lang w:val="en-US" w:eastAsia="zh-CN"/>
              </w:rPr>
              <w:t>省养乐奇生物科技有限责任公司</w:t>
            </w:r>
            <w:r>
              <w:rPr>
                <w:rFonts w:hint="default" w:ascii="Times New Roman" w:hAnsi="Times New Roman" w:eastAsia="宋体" w:cs="Times New Roman"/>
                <w:color w:val="auto"/>
                <w:sz w:val="24"/>
                <w:szCs w:val="24"/>
                <w:highlight w:val="none"/>
              </w:rPr>
              <w:t>年产</w:t>
            </w:r>
            <w:r>
              <w:rPr>
                <w:rFonts w:hint="default" w:ascii="Times New Roman" w:hAnsi="Times New Roman" w:eastAsia="宋体" w:cs="Times New Roman"/>
                <w:color w:val="auto"/>
                <w:sz w:val="24"/>
                <w:szCs w:val="24"/>
                <w:highlight w:val="none"/>
                <w:lang w:val="en-US" w:eastAsia="zh-CN"/>
              </w:rPr>
              <w:t>6000</w:t>
            </w:r>
            <w:r>
              <w:rPr>
                <w:rFonts w:hint="default" w:ascii="Times New Roman" w:hAnsi="Times New Roman" w:eastAsia="宋体" w:cs="Times New Roman"/>
                <w:color w:val="auto"/>
                <w:sz w:val="24"/>
                <w:szCs w:val="24"/>
                <w:highlight w:val="none"/>
              </w:rPr>
              <w:t>万只塑料</w:t>
            </w:r>
            <w:r>
              <w:rPr>
                <w:rFonts w:hint="default" w:ascii="Times New Roman" w:hAnsi="Times New Roman" w:eastAsia="宋体" w:cs="Times New Roman"/>
                <w:color w:val="auto"/>
                <w:sz w:val="24"/>
                <w:szCs w:val="24"/>
                <w:highlight w:val="none"/>
                <w:lang w:val="en-US" w:eastAsia="zh-CN"/>
              </w:rPr>
              <w:t>瓶</w:t>
            </w:r>
            <w:r>
              <w:rPr>
                <w:rFonts w:hint="default" w:ascii="Times New Roman" w:hAnsi="Times New Roman" w:eastAsia="宋体" w:cs="Times New Roman"/>
                <w:color w:val="auto"/>
                <w:sz w:val="24"/>
                <w:szCs w:val="24"/>
                <w:highlight w:val="none"/>
              </w:rPr>
              <w:t>项目环境影响评价报告表》的批复（</w:t>
            </w:r>
            <w:r>
              <w:rPr>
                <w:rFonts w:hint="default" w:ascii="Times New Roman" w:hAnsi="Times New Roman" w:eastAsia="宋体" w:cs="Times New Roman"/>
                <w:color w:val="auto"/>
                <w:sz w:val="24"/>
                <w:szCs w:val="24"/>
                <w:highlight w:val="none"/>
                <w:lang w:val="en-US" w:eastAsia="zh-CN"/>
              </w:rPr>
              <w:t>新环表</w:t>
            </w:r>
            <w:r>
              <w:rPr>
                <w:rFonts w:hint="default" w:ascii="Times New Roman" w:hAnsi="Times New Roman" w:eastAsia="宋体" w:cs="Times New Roman"/>
                <w:color w:val="auto"/>
                <w:sz w:val="24"/>
                <w:szCs w:val="24"/>
                <w:highlight w:val="none"/>
              </w:rPr>
              <w:t>审[202</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号），新乡市生态环境局，202</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26</w:t>
            </w:r>
            <w:r>
              <w:rPr>
                <w:rFonts w:hint="default" w:ascii="Times New Roman" w:hAnsi="Times New Roman" w:eastAsia="宋体" w:cs="Times New Roman"/>
                <w:color w:val="auto"/>
                <w:sz w:val="24"/>
                <w:szCs w:val="24"/>
                <w:highlight w:val="none"/>
              </w:rPr>
              <w:t>；</w:t>
            </w:r>
          </w:p>
          <w:p w14:paraId="24D6A25E">
            <w:pPr>
              <w:pStyle w:val="17"/>
              <w:keepNext w:val="0"/>
              <w:keepLines w:val="0"/>
              <w:pageBreakBefore w:val="0"/>
              <w:widowControl/>
              <w:kinsoku/>
              <w:wordWrap/>
              <w:overflowPunct/>
              <w:topLinePunct w:val="0"/>
              <w:autoSpaceDE/>
              <w:autoSpaceDN/>
              <w:bidi w:val="0"/>
              <w:adjustRightInd w:val="0"/>
              <w:snapToGrid w:val="0"/>
              <w:spacing w:after="0" w:line="460" w:lineRule="exact"/>
              <w:ind w:left="0" w:leftChars="0"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12.《</w:t>
            </w:r>
            <w:r>
              <w:rPr>
                <w:rFonts w:hint="default" w:ascii="Times New Roman" w:hAnsi="Times New Roman" w:eastAsia="宋体" w:cs="Times New Roman"/>
                <w:color w:val="auto"/>
                <w:sz w:val="24"/>
                <w:szCs w:val="24"/>
              </w:rPr>
              <w:t>河南</w:t>
            </w:r>
            <w:r>
              <w:rPr>
                <w:rFonts w:hint="default" w:ascii="Times New Roman" w:hAnsi="Times New Roman" w:eastAsia="宋体" w:cs="Times New Roman"/>
                <w:color w:val="auto"/>
                <w:sz w:val="24"/>
                <w:szCs w:val="24"/>
                <w:lang w:val="en-US" w:eastAsia="zh-CN"/>
              </w:rPr>
              <w:t>省养乐奇生物科技有限责任公司</w:t>
            </w:r>
            <w:r>
              <w:rPr>
                <w:rFonts w:hint="default" w:ascii="Times New Roman" w:hAnsi="Times New Roman" w:eastAsia="宋体" w:cs="Times New Roman"/>
                <w:color w:val="auto"/>
                <w:sz w:val="24"/>
                <w:szCs w:val="24"/>
                <w:highlight w:val="none"/>
              </w:rPr>
              <w:t>年产</w:t>
            </w:r>
            <w:r>
              <w:rPr>
                <w:rFonts w:hint="default" w:ascii="Times New Roman" w:hAnsi="Times New Roman" w:eastAsia="宋体" w:cs="Times New Roman"/>
                <w:color w:val="auto"/>
                <w:sz w:val="24"/>
                <w:szCs w:val="24"/>
                <w:highlight w:val="none"/>
                <w:lang w:val="en-US" w:eastAsia="zh-CN"/>
              </w:rPr>
              <w:t>6000</w:t>
            </w:r>
            <w:r>
              <w:rPr>
                <w:rFonts w:hint="default" w:ascii="Times New Roman" w:hAnsi="Times New Roman" w:eastAsia="宋体" w:cs="Times New Roman"/>
                <w:color w:val="auto"/>
                <w:sz w:val="24"/>
                <w:szCs w:val="24"/>
                <w:highlight w:val="none"/>
              </w:rPr>
              <w:t>万只塑料</w:t>
            </w:r>
            <w:r>
              <w:rPr>
                <w:rFonts w:hint="default" w:ascii="Times New Roman" w:hAnsi="Times New Roman" w:eastAsia="宋体" w:cs="Times New Roman"/>
                <w:color w:val="auto"/>
                <w:sz w:val="24"/>
                <w:szCs w:val="24"/>
                <w:highlight w:val="none"/>
                <w:lang w:val="en-US" w:eastAsia="zh-CN"/>
              </w:rPr>
              <w:t>瓶</w:t>
            </w:r>
            <w:r>
              <w:rPr>
                <w:rFonts w:hint="default" w:ascii="Times New Roman" w:hAnsi="Times New Roman" w:eastAsia="宋体" w:cs="Times New Roman"/>
                <w:color w:val="auto"/>
                <w:sz w:val="24"/>
                <w:szCs w:val="24"/>
                <w:highlight w:val="none"/>
              </w:rPr>
              <w:t>项目竣工环境保护验收监测报告》，</w:t>
            </w:r>
            <w:r>
              <w:rPr>
                <w:rFonts w:hint="default" w:ascii="Times New Roman" w:hAnsi="Times New Roman" w:eastAsia="宋体" w:cs="Times New Roman"/>
                <w:color w:val="auto"/>
                <w:sz w:val="24"/>
                <w:szCs w:val="24"/>
                <w:lang w:val="en-US" w:eastAsia="zh-CN"/>
              </w:rPr>
              <w:t>河南环碳检测技术有限公司</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HT202605251</w:t>
            </w: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06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09</w:t>
            </w:r>
            <w:r>
              <w:rPr>
                <w:rFonts w:hint="default" w:ascii="Times New Roman" w:hAnsi="Times New Roman" w:eastAsia="宋体" w:cs="Times New Roman"/>
                <w:color w:val="auto"/>
                <w:sz w:val="24"/>
                <w:szCs w:val="24"/>
                <w:highlight w:val="none"/>
              </w:rPr>
              <w:t>；</w:t>
            </w:r>
          </w:p>
          <w:p w14:paraId="72DB7DE1">
            <w:pPr>
              <w:keepNext w:val="0"/>
              <w:keepLines w:val="0"/>
              <w:pageBreakBefore w:val="0"/>
              <w:widowControl/>
              <w:kinsoku/>
              <w:wordWrap/>
              <w:overflowPunct/>
              <w:topLinePunct w:val="0"/>
              <w:autoSpaceDE/>
              <w:autoSpaceDN/>
              <w:bidi w:val="0"/>
              <w:adjustRightInd w:val="0"/>
              <w:snapToGrid w:val="0"/>
              <w:spacing w:after="0" w:line="460" w:lineRule="exact"/>
              <w:jc w:val="both"/>
              <w:textAlignment w:val="auto"/>
              <w:rPr>
                <w:rFonts w:hint="default" w:eastAsia="宋体"/>
                <w:color w:val="auto"/>
                <w:sz w:val="24"/>
                <w:szCs w:val="24"/>
                <w:highlight w:val="none"/>
                <w:lang w:val="en-US" w:eastAsia="zh-CN"/>
              </w:rPr>
            </w:pP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.排污单位名称：</w:t>
            </w:r>
            <w:r>
              <w:rPr>
                <w:rFonts w:hint="default" w:ascii="Times New Roman" w:hAnsi="Times New Roman" w:eastAsia="宋体" w:cs="Times New Roman"/>
                <w:color w:val="auto"/>
                <w:sz w:val="24"/>
                <w:szCs w:val="24"/>
              </w:rPr>
              <w:t>河南</w:t>
            </w:r>
            <w:r>
              <w:rPr>
                <w:rFonts w:hint="default" w:ascii="Times New Roman" w:hAnsi="Times New Roman" w:eastAsia="宋体" w:cs="Times New Roman"/>
                <w:color w:val="auto"/>
                <w:sz w:val="24"/>
                <w:szCs w:val="24"/>
                <w:lang w:val="en-US" w:eastAsia="zh-CN"/>
              </w:rPr>
              <w:t>省养乐奇生物科技有限责任公司</w:t>
            </w:r>
            <w:r>
              <w:rPr>
                <w:rFonts w:hint="default" w:ascii="Times New Roman" w:hAnsi="Times New Roman" w:eastAsia="宋体" w:cs="Times New Roman"/>
                <w:color w:val="auto"/>
                <w:sz w:val="24"/>
                <w:szCs w:val="24"/>
                <w:highlight w:val="none"/>
              </w:rPr>
              <w:t>；管理分类：登记管理；</w:t>
            </w:r>
            <w:r>
              <w:rPr>
                <w:rFonts w:hint="default" w:ascii="Times New Roman" w:hAnsi="Times New Roman" w:eastAsia="宋体" w:cs="Times New Roman"/>
                <w:color w:val="auto"/>
                <w:sz w:val="24"/>
                <w:szCs w:val="24"/>
                <w:highlight w:val="none"/>
                <w:lang w:val="pt-BR"/>
              </w:rPr>
              <w:t>固定污染源排污登记编号</w:t>
            </w:r>
            <w:r>
              <w:rPr>
                <w:rFonts w:hint="default" w:ascii="Times New Roman" w:hAnsi="Times New Roman" w:eastAsia="宋体" w:cs="Times New Roman"/>
                <w:color w:val="auto"/>
                <w:sz w:val="24"/>
                <w:szCs w:val="24"/>
                <w:highlight w:val="none"/>
              </w:rPr>
              <w:t>：914107</w:t>
            </w:r>
            <w:r>
              <w:rPr>
                <w:rFonts w:hint="default" w:ascii="Times New Roman" w:hAnsi="Times New Roman" w:eastAsia="宋体" w:cs="Times New Roman"/>
                <w:color w:val="auto"/>
                <w:sz w:val="24"/>
                <w:szCs w:val="24"/>
                <w:highlight w:val="none"/>
                <w:lang w:val="en-US" w:eastAsia="zh-CN"/>
              </w:rPr>
              <w:t>26</w:t>
            </w:r>
            <w:r>
              <w:rPr>
                <w:rFonts w:hint="default" w:ascii="Times New Roman" w:hAnsi="Times New Roman" w:eastAsia="宋体" w:cs="Times New Roman"/>
                <w:color w:val="auto"/>
                <w:sz w:val="24"/>
                <w:szCs w:val="24"/>
                <w:highlight w:val="none"/>
              </w:rPr>
              <w:t>MA</w:t>
            </w:r>
            <w:r>
              <w:rPr>
                <w:rFonts w:hint="default" w:ascii="Times New Roman" w:hAnsi="Times New Roman" w:eastAsia="宋体" w:cs="Times New Roman"/>
                <w:color w:val="auto"/>
                <w:sz w:val="24"/>
                <w:szCs w:val="24"/>
                <w:highlight w:val="none"/>
                <w:lang w:val="en-US" w:eastAsia="zh-CN"/>
              </w:rPr>
              <w:t>EPXFEEX6001W</w:t>
            </w:r>
            <w:r>
              <w:rPr>
                <w:rFonts w:hint="default" w:ascii="Times New Roman" w:hAnsi="Times New Roman" w:eastAsia="宋体" w:cs="Times New Roman"/>
                <w:color w:val="auto"/>
                <w:sz w:val="24"/>
                <w:szCs w:val="24"/>
                <w:highlight w:val="none"/>
              </w:rPr>
              <w:t>；</w:t>
            </w:r>
            <w:bookmarkStart w:id="6" w:name="_Hlk182385832"/>
            <w:r>
              <w:rPr>
                <w:rFonts w:hint="default" w:ascii="Times New Roman" w:hAnsi="Times New Roman" w:eastAsia="宋体" w:cs="Times New Roman"/>
                <w:color w:val="auto"/>
                <w:sz w:val="24"/>
                <w:szCs w:val="24"/>
                <w:highlight w:val="none"/>
                <w:lang w:val="en-US" w:eastAsia="zh-CN"/>
              </w:rPr>
              <w:t>首次申领时间：2026年4月29日，最近一次变更时间：2026年5</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rPr>
              <w:t>日</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有效期：202</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rPr>
              <w:t>日至20</w:t>
            </w:r>
            <w:r>
              <w:rPr>
                <w:rFonts w:hint="default" w:ascii="Times New Roman" w:hAnsi="Times New Roman" w:eastAsia="宋体" w:cs="Times New Roman"/>
                <w:color w:val="auto"/>
                <w:sz w:val="24"/>
                <w:szCs w:val="24"/>
                <w:highlight w:val="none"/>
                <w:lang w:val="en-US" w:eastAsia="zh-CN"/>
              </w:rPr>
              <w:t>31</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日</w:t>
            </w:r>
            <w:bookmarkEnd w:id="6"/>
            <w:r>
              <w:rPr>
                <w:rFonts w:hint="default" w:ascii="Times New Roman" w:hAnsi="Times New Roman" w:eastAsia="宋体" w:cs="Times New Roman"/>
                <w:color w:val="auto"/>
                <w:sz w:val="24"/>
                <w:szCs w:val="24"/>
                <w:highlight w:val="none"/>
              </w:rPr>
              <w:t>。</w:t>
            </w:r>
          </w:p>
        </w:tc>
      </w:tr>
      <w:tr w14:paraId="6AEDB9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7" w:type="dxa"/>
            <w:vAlign w:val="center"/>
          </w:tcPr>
          <w:p w14:paraId="776E4A96">
            <w:pPr>
              <w:spacing w:after="0"/>
              <w:jc w:val="center"/>
              <w:rPr>
                <w:rFonts w:eastAsia="宋体"/>
                <w:color w:val="auto"/>
                <w:sz w:val="24"/>
                <w:szCs w:val="24"/>
                <w:highlight w:val="none"/>
              </w:rPr>
            </w:pPr>
            <w:r>
              <w:rPr>
                <w:rFonts w:eastAsia="宋体"/>
                <w:color w:val="auto"/>
                <w:sz w:val="24"/>
                <w:szCs w:val="24"/>
                <w:highlight w:val="none"/>
              </w:rPr>
              <w:t>验收监测评价标准、标号、级别、限值</w:t>
            </w:r>
          </w:p>
        </w:tc>
        <w:tc>
          <w:tcPr>
            <w:tcW w:w="7197" w:type="dxa"/>
            <w:gridSpan w:val="5"/>
            <w:vAlign w:val="center"/>
          </w:tcPr>
          <w:p w14:paraId="0E0A4BD2">
            <w:pPr>
              <w:widowControl w:val="0"/>
              <w:adjustRightInd/>
              <w:snapToGrid/>
              <w:spacing w:after="0" w:line="440" w:lineRule="exact"/>
              <w:ind w:firstLine="482" w:firstLineChars="200"/>
              <w:textAlignment w:val="baseline"/>
              <w:rPr>
                <w:rFonts w:hint="eastAsia" w:eastAsia="宋体"/>
                <w:b/>
                <w:color w:val="auto"/>
                <w:kern w:val="2"/>
                <w:sz w:val="24"/>
                <w:szCs w:val="20"/>
                <w:highlight w:val="none"/>
                <w:lang w:eastAsia="zh-CN"/>
              </w:rPr>
            </w:pPr>
            <w:r>
              <w:rPr>
                <w:rFonts w:hint="eastAsia" w:eastAsia="宋体"/>
                <w:b/>
                <w:color w:val="auto"/>
                <w:kern w:val="2"/>
                <w:sz w:val="24"/>
                <w:szCs w:val="20"/>
                <w:highlight w:val="none"/>
              </w:rPr>
              <w:t>1、</w:t>
            </w:r>
            <w:r>
              <w:rPr>
                <w:rFonts w:eastAsia="宋体"/>
                <w:b/>
                <w:color w:val="auto"/>
                <w:kern w:val="2"/>
                <w:sz w:val="24"/>
                <w:szCs w:val="20"/>
                <w:highlight w:val="none"/>
              </w:rPr>
              <w:t>废</w:t>
            </w:r>
            <w:r>
              <w:rPr>
                <w:rFonts w:hint="eastAsia" w:eastAsia="宋体"/>
                <w:b/>
                <w:color w:val="auto"/>
                <w:kern w:val="2"/>
                <w:sz w:val="24"/>
                <w:szCs w:val="20"/>
                <w:highlight w:val="none"/>
                <w:lang w:val="en-US" w:eastAsia="zh-CN"/>
              </w:rPr>
              <w:t>水</w:t>
            </w:r>
          </w:p>
          <w:p w14:paraId="15882B61">
            <w:pPr>
              <w:spacing w:after="0" w:line="480" w:lineRule="exact"/>
              <w:ind w:firstLine="480" w:firstLineChars="200"/>
              <w:textAlignment w:val="baseline"/>
              <w:rPr>
                <w:rFonts w:hint="eastAsia" w:eastAsia="宋体"/>
                <w:b/>
                <w:color w:val="auto"/>
                <w:kern w:val="2"/>
                <w:sz w:val="24"/>
                <w:szCs w:val="20"/>
                <w:highlight w:val="none"/>
              </w:rPr>
            </w:pPr>
            <w:r>
              <w:rPr>
                <w:rFonts w:eastAsia="黑体"/>
                <w:color w:val="auto"/>
                <w:sz w:val="24"/>
                <w:szCs w:val="21"/>
                <w:highlight w:val="none"/>
              </w:rPr>
              <w:t>表</w:t>
            </w:r>
            <w:r>
              <w:rPr>
                <w:rFonts w:hint="eastAsia" w:eastAsia="黑体"/>
                <w:color w:val="auto"/>
                <w:sz w:val="24"/>
                <w:szCs w:val="21"/>
                <w:highlight w:val="none"/>
                <w:lang w:val="en-US" w:eastAsia="zh-CN"/>
              </w:rPr>
              <w:t>1</w:t>
            </w:r>
            <w:r>
              <w:rPr>
                <w:rFonts w:eastAsia="黑体"/>
                <w:color w:val="auto"/>
                <w:sz w:val="24"/>
                <w:szCs w:val="21"/>
                <w:highlight w:val="none"/>
              </w:rPr>
              <w:t xml:space="preserve">                 废</w:t>
            </w:r>
            <w:r>
              <w:rPr>
                <w:rFonts w:hint="eastAsia" w:eastAsia="黑体"/>
                <w:color w:val="auto"/>
                <w:sz w:val="24"/>
                <w:szCs w:val="21"/>
                <w:highlight w:val="none"/>
                <w:lang w:val="en-US" w:eastAsia="zh-CN"/>
              </w:rPr>
              <w:t>水</w:t>
            </w:r>
            <w:r>
              <w:rPr>
                <w:rFonts w:eastAsia="黑体"/>
                <w:color w:val="auto"/>
                <w:sz w:val="24"/>
                <w:szCs w:val="21"/>
                <w:highlight w:val="none"/>
              </w:rPr>
              <w:t>排放标准</w:t>
            </w:r>
          </w:p>
          <w:tbl>
            <w:tblPr>
              <w:tblStyle w:val="18"/>
              <w:tblW w:w="4999"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35"/>
              <w:gridCol w:w="2502"/>
              <w:gridCol w:w="2160"/>
              <w:gridCol w:w="1283"/>
            </w:tblGrid>
            <w:tr w14:paraId="0EEC9A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41" w:type="pct"/>
                  <w:tcBorders>
                    <w:bottom w:val="single" w:color="auto" w:sz="4" w:space="0"/>
                  </w:tcBorders>
                  <w:vAlign w:val="center"/>
                </w:tcPr>
                <w:p w14:paraId="302A1102">
                  <w:pPr>
                    <w:widowControl w:val="0"/>
                    <w:adjustRightInd/>
                    <w:snapToGrid/>
                    <w:spacing w:after="0"/>
                    <w:jc w:val="center"/>
                    <w:rPr>
                      <w:rFonts w:eastAsia="宋体"/>
                      <w:b/>
                      <w:color w:val="auto"/>
                      <w:kern w:val="2"/>
                      <w:sz w:val="21"/>
                      <w:szCs w:val="21"/>
                      <w:highlight w:val="none"/>
                    </w:rPr>
                  </w:pPr>
                  <w:r>
                    <w:rPr>
                      <w:rFonts w:eastAsia="宋体"/>
                      <w:b/>
                      <w:color w:val="auto"/>
                      <w:kern w:val="2"/>
                      <w:sz w:val="21"/>
                      <w:szCs w:val="21"/>
                      <w:highlight w:val="none"/>
                    </w:rPr>
                    <w:t>污染因素</w:t>
                  </w:r>
                </w:p>
              </w:tc>
              <w:tc>
                <w:tcPr>
                  <w:tcW w:w="1792" w:type="pct"/>
                  <w:tcBorders>
                    <w:top w:val="single" w:color="auto" w:sz="8" w:space="0"/>
                    <w:bottom w:val="single" w:color="auto" w:sz="4" w:space="0"/>
                  </w:tcBorders>
                  <w:vAlign w:val="center"/>
                </w:tcPr>
                <w:p w14:paraId="689F41FC">
                  <w:pPr>
                    <w:widowControl w:val="0"/>
                    <w:adjustRightInd/>
                    <w:snapToGrid/>
                    <w:spacing w:after="0"/>
                    <w:jc w:val="center"/>
                    <w:rPr>
                      <w:rFonts w:eastAsia="宋体"/>
                      <w:b/>
                      <w:color w:val="auto"/>
                      <w:kern w:val="2"/>
                      <w:sz w:val="21"/>
                      <w:szCs w:val="21"/>
                      <w:highlight w:val="none"/>
                    </w:rPr>
                  </w:pPr>
                  <w:r>
                    <w:rPr>
                      <w:rFonts w:eastAsia="宋体"/>
                      <w:b/>
                      <w:color w:val="auto"/>
                      <w:kern w:val="2"/>
                      <w:sz w:val="21"/>
                      <w:szCs w:val="21"/>
                      <w:highlight w:val="none"/>
                    </w:rPr>
                    <w:t>标准名称及级(类)别</w:t>
                  </w:r>
                </w:p>
              </w:tc>
              <w:tc>
                <w:tcPr>
                  <w:tcW w:w="2466" w:type="pct"/>
                  <w:gridSpan w:val="2"/>
                  <w:tcBorders>
                    <w:bottom w:val="single" w:color="auto" w:sz="4" w:space="0"/>
                  </w:tcBorders>
                  <w:vAlign w:val="center"/>
                </w:tcPr>
                <w:p w14:paraId="65F16656">
                  <w:pPr>
                    <w:widowControl w:val="0"/>
                    <w:tabs>
                      <w:tab w:val="left" w:pos="1332"/>
                    </w:tabs>
                    <w:adjustRightInd/>
                    <w:snapToGrid/>
                    <w:spacing w:after="0"/>
                    <w:jc w:val="center"/>
                    <w:rPr>
                      <w:rFonts w:eastAsia="宋体"/>
                      <w:b/>
                      <w:color w:val="auto"/>
                      <w:kern w:val="2"/>
                      <w:sz w:val="21"/>
                      <w:szCs w:val="21"/>
                      <w:highlight w:val="none"/>
                    </w:rPr>
                  </w:pPr>
                  <w:r>
                    <w:rPr>
                      <w:rFonts w:eastAsia="宋体"/>
                      <w:b/>
                      <w:color w:val="auto"/>
                      <w:kern w:val="2"/>
                      <w:sz w:val="21"/>
                      <w:szCs w:val="21"/>
                      <w:highlight w:val="none"/>
                    </w:rPr>
                    <w:t>标准限值</w:t>
                  </w:r>
                </w:p>
              </w:tc>
            </w:tr>
            <w:tr w14:paraId="49079A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41" w:type="pct"/>
                  <w:vMerge w:val="restart"/>
                  <w:vAlign w:val="center"/>
                </w:tcPr>
                <w:p w14:paraId="615C5ED3">
                  <w:pPr>
                    <w:widowControl w:val="0"/>
                    <w:spacing w:after="0"/>
                    <w:jc w:val="center"/>
                    <w:rPr>
                      <w:rFonts w:hint="default" w:eastAsia="宋体"/>
                      <w:color w:val="auto"/>
                      <w:kern w:val="2"/>
                      <w:sz w:val="21"/>
                      <w:szCs w:val="21"/>
                      <w:highlight w:val="none"/>
                      <w:lang w:val="en-US" w:eastAsia="zh-CN"/>
                    </w:rPr>
                  </w:pPr>
                  <w:r>
                    <w:rPr>
                      <w:rFonts w:hint="eastAsia" w:eastAsia="宋体"/>
                      <w:color w:val="auto"/>
                      <w:kern w:val="2"/>
                      <w:sz w:val="21"/>
                      <w:szCs w:val="21"/>
                      <w:highlight w:val="none"/>
                      <w:lang w:val="en-US" w:eastAsia="zh-CN"/>
                    </w:rPr>
                    <w:t>废水</w:t>
                  </w:r>
                </w:p>
              </w:tc>
              <w:tc>
                <w:tcPr>
                  <w:tcW w:w="1792" w:type="pct"/>
                  <w:vMerge w:val="restart"/>
                  <w:tcBorders>
                    <w:top w:val="single" w:color="auto" w:sz="4" w:space="0"/>
                  </w:tcBorders>
                  <w:vAlign w:val="center"/>
                </w:tcPr>
                <w:p w14:paraId="7A40AA06">
                  <w:pPr>
                    <w:pStyle w:val="67"/>
                    <w:rPr>
                      <w:rFonts w:eastAsia="宋体"/>
                      <w:color w:val="auto"/>
                      <w:sz w:val="21"/>
                      <w:szCs w:val="21"/>
                      <w:highlight w:val="none"/>
                    </w:rPr>
                  </w:pPr>
                  <w:r>
                    <w:rPr>
                      <w:color w:val="auto"/>
                      <w:highlight w:val="none"/>
                    </w:rPr>
                    <w:t>延津县第一污水处理厂收水标准</w:t>
                  </w:r>
                </w:p>
              </w:tc>
              <w:tc>
                <w:tcPr>
                  <w:tcW w:w="1547" w:type="pct"/>
                  <w:vAlign w:val="center"/>
                </w:tcPr>
                <w:p w14:paraId="6625542D">
                  <w:pPr>
                    <w:pStyle w:val="67"/>
                    <w:rPr>
                      <w:rFonts w:eastAsia="宋体"/>
                      <w:color w:val="auto"/>
                      <w:sz w:val="21"/>
                      <w:szCs w:val="21"/>
                      <w:highlight w:val="none"/>
                    </w:rPr>
                  </w:pPr>
                  <w:r>
                    <w:rPr>
                      <w:color w:val="auto"/>
                      <w:kern w:val="0"/>
                      <w:highlight w:val="none"/>
                    </w:rPr>
                    <w:t>SS</w:t>
                  </w:r>
                </w:p>
              </w:tc>
              <w:tc>
                <w:tcPr>
                  <w:tcW w:w="919" w:type="pct"/>
                  <w:tcBorders>
                    <w:top w:val="single" w:color="auto" w:sz="4" w:space="0"/>
                    <w:bottom w:val="single" w:color="auto" w:sz="4" w:space="0"/>
                  </w:tcBorders>
                  <w:vAlign w:val="center"/>
                </w:tcPr>
                <w:p w14:paraId="22BF3CC0">
                  <w:pPr>
                    <w:pStyle w:val="67"/>
                    <w:rPr>
                      <w:rFonts w:eastAsia="宋体"/>
                      <w:color w:val="auto"/>
                      <w:sz w:val="21"/>
                      <w:szCs w:val="21"/>
                      <w:highlight w:val="none"/>
                    </w:rPr>
                  </w:pPr>
                  <w:r>
                    <w:rPr>
                      <w:color w:val="auto"/>
                      <w:highlight w:val="none"/>
                    </w:rPr>
                    <w:t>200mg/L</w:t>
                  </w:r>
                </w:p>
              </w:tc>
            </w:tr>
            <w:tr w14:paraId="6DD347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41" w:type="pct"/>
                  <w:vMerge w:val="continue"/>
                  <w:vAlign w:val="center"/>
                </w:tcPr>
                <w:p w14:paraId="1CCF977E">
                  <w:pPr>
                    <w:widowControl w:val="0"/>
                    <w:spacing w:after="0"/>
                    <w:jc w:val="center"/>
                    <w:rPr>
                      <w:rFonts w:eastAsia="宋体"/>
                      <w:color w:val="auto"/>
                      <w:kern w:val="2"/>
                      <w:sz w:val="21"/>
                      <w:szCs w:val="21"/>
                      <w:highlight w:val="none"/>
                    </w:rPr>
                  </w:pPr>
                </w:p>
              </w:tc>
              <w:tc>
                <w:tcPr>
                  <w:tcW w:w="1792" w:type="pct"/>
                  <w:vMerge w:val="continue"/>
                  <w:vAlign w:val="center"/>
                </w:tcPr>
                <w:p w14:paraId="094C2BA7">
                  <w:pPr>
                    <w:spacing w:after="0"/>
                    <w:jc w:val="center"/>
                    <w:rPr>
                      <w:rFonts w:eastAsia="宋体"/>
                      <w:color w:val="auto"/>
                      <w:sz w:val="21"/>
                      <w:szCs w:val="21"/>
                      <w:highlight w:val="none"/>
                    </w:rPr>
                  </w:pPr>
                </w:p>
              </w:tc>
              <w:tc>
                <w:tcPr>
                  <w:tcW w:w="1547" w:type="pct"/>
                  <w:vAlign w:val="center"/>
                </w:tcPr>
                <w:p w14:paraId="39780B46">
                  <w:pPr>
                    <w:pStyle w:val="67"/>
                    <w:rPr>
                      <w:rFonts w:eastAsia="宋体"/>
                      <w:color w:val="auto"/>
                      <w:sz w:val="21"/>
                      <w:szCs w:val="21"/>
                      <w:highlight w:val="none"/>
                    </w:rPr>
                  </w:pPr>
                  <w:r>
                    <w:rPr>
                      <w:color w:val="auto"/>
                      <w:kern w:val="0"/>
                      <w:highlight w:val="none"/>
                    </w:rPr>
                    <w:t>COD</w:t>
                  </w:r>
                </w:p>
              </w:tc>
              <w:tc>
                <w:tcPr>
                  <w:tcW w:w="919" w:type="pct"/>
                  <w:tcBorders>
                    <w:top w:val="single" w:color="auto" w:sz="4" w:space="0"/>
                    <w:bottom w:val="single" w:color="auto" w:sz="4" w:space="0"/>
                  </w:tcBorders>
                  <w:vAlign w:val="center"/>
                </w:tcPr>
                <w:p w14:paraId="10076522">
                  <w:pPr>
                    <w:pStyle w:val="67"/>
                    <w:rPr>
                      <w:rFonts w:eastAsia="宋体"/>
                      <w:color w:val="auto"/>
                      <w:sz w:val="21"/>
                      <w:szCs w:val="21"/>
                      <w:highlight w:val="none"/>
                    </w:rPr>
                  </w:pPr>
                  <w:r>
                    <w:rPr>
                      <w:color w:val="auto"/>
                      <w:highlight w:val="none"/>
                    </w:rPr>
                    <w:t>350mg/L</w:t>
                  </w:r>
                </w:p>
              </w:tc>
            </w:tr>
            <w:tr w14:paraId="4882AC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41" w:type="pct"/>
                  <w:vMerge w:val="continue"/>
                  <w:vAlign w:val="center"/>
                </w:tcPr>
                <w:p w14:paraId="3F277415">
                  <w:pPr>
                    <w:widowControl w:val="0"/>
                    <w:spacing w:after="0"/>
                    <w:jc w:val="center"/>
                    <w:rPr>
                      <w:rFonts w:eastAsia="宋体"/>
                      <w:color w:val="auto"/>
                      <w:kern w:val="2"/>
                      <w:sz w:val="21"/>
                      <w:szCs w:val="21"/>
                      <w:highlight w:val="none"/>
                    </w:rPr>
                  </w:pPr>
                </w:p>
              </w:tc>
              <w:tc>
                <w:tcPr>
                  <w:tcW w:w="1792" w:type="pct"/>
                  <w:vMerge w:val="continue"/>
                  <w:vAlign w:val="center"/>
                </w:tcPr>
                <w:p w14:paraId="58A1B542">
                  <w:pPr>
                    <w:spacing w:after="0"/>
                    <w:jc w:val="center"/>
                    <w:rPr>
                      <w:rFonts w:eastAsia="宋体"/>
                      <w:color w:val="auto"/>
                      <w:sz w:val="21"/>
                      <w:szCs w:val="21"/>
                      <w:highlight w:val="none"/>
                    </w:rPr>
                  </w:pPr>
                </w:p>
              </w:tc>
              <w:tc>
                <w:tcPr>
                  <w:tcW w:w="1547" w:type="pct"/>
                  <w:vAlign w:val="center"/>
                </w:tcPr>
                <w:p w14:paraId="69A7DD8D">
                  <w:pPr>
                    <w:pStyle w:val="67"/>
                    <w:rPr>
                      <w:rFonts w:hint="eastAsia" w:eastAsia="宋体" w:cs="Calibri"/>
                      <w:color w:val="auto"/>
                      <w:sz w:val="21"/>
                      <w:szCs w:val="21"/>
                      <w:highlight w:val="none"/>
                    </w:rPr>
                  </w:pPr>
                  <w:r>
                    <w:rPr>
                      <w:color w:val="auto"/>
                      <w:kern w:val="0"/>
                      <w:highlight w:val="none"/>
                    </w:rPr>
                    <w:t>BOD</w:t>
                  </w:r>
                  <w:r>
                    <w:rPr>
                      <w:color w:val="auto"/>
                      <w:kern w:val="0"/>
                      <w:highlight w:val="none"/>
                      <w:vertAlign w:val="subscript"/>
                    </w:rPr>
                    <w:t>5</w:t>
                  </w:r>
                </w:p>
              </w:tc>
              <w:tc>
                <w:tcPr>
                  <w:tcW w:w="919" w:type="pct"/>
                  <w:tcBorders>
                    <w:top w:val="single" w:color="auto" w:sz="4" w:space="0"/>
                    <w:bottom w:val="single" w:color="auto" w:sz="4" w:space="0"/>
                  </w:tcBorders>
                  <w:vAlign w:val="center"/>
                </w:tcPr>
                <w:p w14:paraId="0A6B2DA3">
                  <w:pPr>
                    <w:pStyle w:val="67"/>
                    <w:rPr>
                      <w:rFonts w:hint="eastAsia" w:eastAsia="宋体"/>
                      <w:color w:val="auto"/>
                      <w:sz w:val="21"/>
                      <w:szCs w:val="21"/>
                      <w:highlight w:val="none"/>
                    </w:rPr>
                  </w:pPr>
                  <w:r>
                    <w:rPr>
                      <w:color w:val="auto"/>
                      <w:highlight w:val="none"/>
                    </w:rPr>
                    <w:t>150mg/L</w:t>
                  </w:r>
                </w:p>
              </w:tc>
            </w:tr>
            <w:tr w14:paraId="73DFDD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41" w:type="pct"/>
                  <w:vMerge w:val="continue"/>
                  <w:vAlign w:val="center"/>
                </w:tcPr>
                <w:p w14:paraId="6606E848">
                  <w:pPr>
                    <w:widowControl w:val="0"/>
                    <w:spacing w:after="0"/>
                    <w:jc w:val="center"/>
                    <w:rPr>
                      <w:rFonts w:eastAsia="宋体"/>
                      <w:color w:val="auto"/>
                      <w:kern w:val="2"/>
                      <w:sz w:val="21"/>
                      <w:szCs w:val="21"/>
                      <w:highlight w:val="none"/>
                    </w:rPr>
                  </w:pPr>
                </w:p>
              </w:tc>
              <w:tc>
                <w:tcPr>
                  <w:tcW w:w="1792" w:type="pct"/>
                  <w:vMerge w:val="continue"/>
                  <w:vAlign w:val="center"/>
                </w:tcPr>
                <w:p w14:paraId="46D7685C">
                  <w:pPr>
                    <w:spacing w:after="0"/>
                    <w:jc w:val="center"/>
                    <w:rPr>
                      <w:rFonts w:eastAsia="宋体"/>
                      <w:color w:val="auto"/>
                      <w:sz w:val="21"/>
                      <w:szCs w:val="21"/>
                      <w:highlight w:val="none"/>
                    </w:rPr>
                  </w:pPr>
                </w:p>
              </w:tc>
              <w:tc>
                <w:tcPr>
                  <w:tcW w:w="1547" w:type="pct"/>
                  <w:vAlign w:val="center"/>
                </w:tcPr>
                <w:p w14:paraId="0C0E9B2C">
                  <w:pPr>
                    <w:pStyle w:val="67"/>
                    <w:rPr>
                      <w:rFonts w:hint="eastAsia"/>
                      <w:bCs/>
                      <w:color w:val="auto"/>
                      <w:highlight w:val="none"/>
                      <w:lang w:val="en-US" w:eastAsia="zh-CN"/>
                    </w:rPr>
                  </w:pPr>
                  <w:r>
                    <w:rPr>
                      <w:color w:val="auto"/>
                      <w:kern w:val="0"/>
                      <w:highlight w:val="none"/>
                    </w:rPr>
                    <w:t>NH</w:t>
                  </w:r>
                  <w:r>
                    <w:rPr>
                      <w:color w:val="auto"/>
                      <w:kern w:val="0"/>
                      <w:highlight w:val="none"/>
                      <w:vertAlign w:val="subscript"/>
                    </w:rPr>
                    <w:t>3</w:t>
                  </w:r>
                  <w:r>
                    <w:rPr>
                      <w:color w:val="auto"/>
                      <w:kern w:val="0"/>
                      <w:highlight w:val="none"/>
                    </w:rPr>
                    <w:t>-N</w:t>
                  </w:r>
                </w:p>
              </w:tc>
              <w:tc>
                <w:tcPr>
                  <w:tcW w:w="919" w:type="pct"/>
                  <w:tcBorders>
                    <w:top w:val="single" w:color="auto" w:sz="4" w:space="0"/>
                    <w:bottom w:val="single" w:color="auto" w:sz="4" w:space="0"/>
                  </w:tcBorders>
                  <w:vAlign w:val="center"/>
                </w:tcPr>
                <w:p w14:paraId="02346E2B">
                  <w:pPr>
                    <w:pStyle w:val="67"/>
                    <w:rPr>
                      <w:rFonts w:hint="eastAsia"/>
                      <w:bCs/>
                      <w:color w:val="auto"/>
                      <w:highlight w:val="none"/>
                      <w:lang w:val="en-US" w:eastAsia="zh-CN"/>
                    </w:rPr>
                  </w:pPr>
                  <w:r>
                    <w:rPr>
                      <w:color w:val="auto"/>
                      <w:highlight w:val="none"/>
                    </w:rPr>
                    <w:t>40mg/L</w:t>
                  </w:r>
                </w:p>
              </w:tc>
            </w:tr>
            <w:tr w14:paraId="1A520A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41" w:type="pct"/>
                  <w:vMerge w:val="continue"/>
                  <w:vAlign w:val="center"/>
                </w:tcPr>
                <w:p w14:paraId="55AEB670">
                  <w:pPr>
                    <w:widowControl w:val="0"/>
                    <w:spacing w:after="0"/>
                    <w:jc w:val="center"/>
                    <w:rPr>
                      <w:rFonts w:eastAsia="宋体"/>
                      <w:color w:val="auto"/>
                      <w:kern w:val="2"/>
                      <w:sz w:val="21"/>
                      <w:szCs w:val="21"/>
                      <w:highlight w:val="none"/>
                    </w:rPr>
                  </w:pPr>
                </w:p>
              </w:tc>
              <w:tc>
                <w:tcPr>
                  <w:tcW w:w="1792" w:type="pct"/>
                  <w:vMerge w:val="continue"/>
                  <w:vAlign w:val="center"/>
                </w:tcPr>
                <w:p w14:paraId="2D3D472A">
                  <w:pPr>
                    <w:spacing w:after="0"/>
                    <w:jc w:val="center"/>
                    <w:rPr>
                      <w:rFonts w:eastAsia="宋体"/>
                      <w:color w:val="auto"/>
                      <w:sz w:val="21"/>
                      <w:szCs w:val="21"/>
                      <w:highlight w:val="none"/>
                    </w:rPr>
                  </w:pPr>
                </w:p>
              </w:tc>
              <w:tc>
                <w:tcPr>
                  <w:tcW w:w="1547" w:type="pct"/>
                  <w:vAlign w:val="center"/>
                </w:tcPr>
                <w:p w14:paraId="31BB2379">
                  <w:pPr>
                    <w:pStyle w:val="67"/>
                    <w:rPr>
                      <w:rFonts w:hint="eastAsia"/>
                      <w:bCs/>
                      <w:color w:val="auto"/>
                      <w:highlight w:val="none"/>
                      <w:lang w:val="en-US" w:eastAsia="zh-CN"/>
                    </w:rPr>
                  </w:pPr>
                  <w:r>
                    <w:rPr>
                      <w:color w:val="auto"/>
                      <w:kern w:val="0"/>
                      <w:highlight w:val="none"/>
                    </w:rPr>
                    <w:t>TN</w:t>
                  </w:r>
                </w:p>
              </w:tc>
              <w:tc>
                <w:tcPr>
                  <w:tcW w:w="919" w:type="pct"/>
                  <w:tcBorders>
                    <w:top w:val="single" w:color="auto" w:sz="4" w:space="0"/>
                    <w:bottom w:val="single" w:color="auto" w:sz="4" w:space="0"/>
                  </w:tcBorders>
                  <w:vAlign w:val="center"/>
                </w:tcPr>
                <w:p w14:paraId="0F4FFF27">
                  <w:pPr>
                    <w:pStyle w:val="67"/>
                    <w:rPr>
                      <w:rFonts w:hint="eastAsia"/>
                      <w:bCs/>
                      <w:color w:val="auto"/>
                      <w:highlight w:val="none"/>
                      <w:lang w:val="en-US" w:eastAsia="zh-CN"/>
                    </w:rPr>
                  </w:pPr>
                  <w:r>
                    <w:rPr>
                      <w:color w:val="auto"/>
                      <w:highlight w:val="none"/>
                    </w:rPr>
                    <w:t>55mg/L</w:t>
                  </w:r>
                </w:p>
              </w:tc>
            </w:tr>
            <w:tr w14:paraId="016E09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41" w:type="pct"/>
                  <w:vMerge w:val="continue"/>
                  <w:vAlign w:val="center"/>
                </w:tcPr>
                <w:p w14:paraId="29D37599">
                  <w:pPr>
                    <w:widowControl w:val="0"/>
                    <w:spacing w:after="0"/>
                    <w:jc w:val="center"/>
                    <w:rPr>
                      <w:rFonts w:eastAsia="宋体"/>
                      <w:color w:val="auto"/>
                      <w:kern w:val="2"/>
                      <w:sz w:val="21"/>
                      <w:szCs w:val="21"/>
                      <w:highlight w:val="none"/>
                    </w:rPr>
                  </w:pPr>
                </w:p>
              </w:tc>
              <w:tc>
                <w:tcPr>
                  <w:tcW w:w="1792" w:type="pct"/>
                  <w:vMerge w:val="continue"/>
                  <w:vAlign w:val="center"/>
                </w:tcPr>
                <w:p w14:paraId="58454B56">
                  <w:pPr>
                    <w:spacing w:after="0"/>
                    <w:jc w:val="center"/>
                    <w:rPr>
                      <w:rFonts w:eastAsia="宋体"/>
                      <w:color w:val="auto"/>
                      <w:sz w:val="21"/>
                      <w:szCs w:val="21"/>
                      <w:highlight w:val="none"/>
                    </w:rPr>
                  </w:pPr>
                </w:p>
              </w:tc>
              <w:tc>
                <w:tcPr>
                  <w:tcW w:w="1547" w:type="pct"/>
                  <w:vAlign w:val="center"/>
                </w:tcPr>
                <w:p w14:paraId="5D8CED2C">
                  <w:pPr>
                    <w:pStyle w:val="67"/>
                    <w:rPr>
                      <w:rFonts w:hint="eastAsia"/>
                      <w:bCs/>
                      <w:color w:val="auto"/>
                      <w:highlight w:val="none"/>
                      <w:lang w:val="en-US" w:eastAsia="zh-CN"/>
                    </w:rPr>
                  </w:pPr>
                  <w:r>
                    <w:rPr>
                      <w:color w:val="auto"/>
                      <w:kern w:val="0"/>
                      <w:highlight w:val="none"/>
                    </w:rPr>
                    <w:t>TP</w:t>
                  </w:r>
                </w:p>
              </w:tc>
              <w:tc>
                <w:tcPr>
                  <w:tcW w:w="919" w:type="pct"/>
                  <w:tcBorders>
                    <w:top w:val="single" w:color="auto" w:sz="4" w:space="0"/>
                    <w:bottom w:val="single" w:color="auto" w:sz="4" w:space="0"/>
                  </w:tcBorders>
                  <w:vAlign w:val="center"/>
                </w:tcPr>
                <w:p w14:paraId="69D93EF1">
                  <w:pPr>
                    <w:pStyle w:val="67"/>
                    <w:rPr>
                      <w:rFonts w:hint="eastAsia"/>
                      <w:bCs/>
                      <w:color w:val="auto"/>
                      <w:highlight w:val="none"/>
                      <w:lang w:val="en-US" w:eastAsia="zh-CN"/>
                    </w:rPr>
                  </w:pPr>
                  <w:r>
                    <w:rPr>
                      <w:color w:val="auto"/>
                      <w:highlight w:val="none"/>
                    </w:rPr>
                    <w:t>4.0mg/L</w:t>
                  </w:r>
                </w:p>
              </w:tc>
            </w:tr>
            <w:tr w14:paraId="3C7036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41" w:type="pct"/>
                  <w:vMerge w:val="continue"/>
                  <w:vAlign w:val="center"/>
                </w:tcPr>
                <w:p w14:paraId="15EE7D67">
                  <w:pPr>
                    <w:widowControl w:val="0"/>
                    <w:spacing w:after="0"/>
                    <w:jc w:val="center"/>
                    <w:rPr>
                      <w:rFonts w:eastAsia="宋体"/>
                      <w:color w:val="auto"/>
                      <w:kern w:val="2"/>
                      <w:sz w:val="21"/>
                      <w:szCs w:val="21"/>
                      <w:highlight w:val="none"/>
                    </w:rPr>
                  </w:pPr>
                </w:p>
              </w:tc>
              <w:tc>
                <w:tcPr>
                  <w:tcW w:w="1792" w:type="pct"/>
                  <w:vMerge w:val="restart"/>
                  <w:vAlign w:val="center"/>
                </w:tcPr>
                <w:p w14:paraId="6DCBEDA5">
                  <w:pPr>
                    <w:pStyle w:val="67"/>
                    <w:rPr>
                      <w:rFonts w:eastAsia="宋体"/>
                      <w:color w:val="auto"/>
                      <w:sz w:val="21"/>
                      <w:szCs w:val="21"/>
                      <w:highlight w:val="none"/>
                    </w:rPr>
                  </w:pPr>
                  <w:r>
                    <w:rPr>
                      <w:rFonts w:hint="eastAsia" w:ascii="Calibri" w:hAnsi="Calibri" w:cs="Calibri"/>
                      <w:color w:val="auto"/>
                      <w:highlight w:val="none"/>
                      <w:lang w:val="en-US" w:eastAsia="zh-CN"/>
                    </w:rPr>
                    <w:t>《污水综合排放标准》</w:t>
                  </w:r>
                  <w:r>
                    <w:rPr>
                      <w:rFonts w:hint="default" w:ascii="Times New Roman" w:hAnsi="Times New Roman" w:cs="Times New Roman"/>
                      <w:color w:val="auto"/>
                      <w:highlight w:val="none"/>
                      <w:lang w:val="en-US" w:eastAsia="zh-CN"/>
                    </w:rPr>
                    <w:t>（GB8978-1996）</w:t>
                  </w:r>
                  <w:r>
                    <w:rPr>
                      <w:rFonts w:hint="eastAsia" w:cs="Times New Roman"/>
                      <w:color w:val="auto"/>
                      <w:highlight w:val="none"/>
                      <w:lang w:val="en-US" w:eastAsia="zh-CN"/>
                    </w:rPr>
                    <w:t>3级标准</w:t>
                  </w:r>
                </w:p>
              </w:tc>
              <w:tc>
                <w:tcPr>
                  <w:tcW w:w="1547" w:type="pct"/>
                  <w:vAlign w:val="center"/>
                </w:tcPr>
                <w:p w14:paraId="1129AF58">
                  <w:pPr>
                    <w:pStyle w:val="67"/>
                    <w:rPr>
                      <w:rFonts w:hint="eastAsia"/>
                      <w:bCs/>
                      <w:color w:val="auto"/>
                      <w:highlight w:val="none"/>
                      <w:lang w:val="en-US" w:eastAsia="zh-CN"/>
                    </w:rPr>
                  </w:pPr>
                  <w:r>
                    <w:rPr>
                      <w:color w:val="auto"/>
                      <w:kern w:val="0"/>
                      <w:highlight w:val="none"/>
                    </w:rPr>
                    <w:t>SS</w:t>
                  </w:r>
                </w:p>
              </w:tc>
              <w:tc>
                <w:tcPr>
                  <w:tcW w:w="919" w:type="pct"/>
                  <w:tcBorders>
                    <w:top w:val="single" w:color="auto" w:sz="4" w:space="0"/>
                    <w:bottom w:val="single" w:color="auto" w:sz="4" w:space="0"/>
                  </w:tcBorders>
                  <w:vAlign w:val="center"/>
                </w:tcPr>
                <w:p w14:paraId="4E894EC6">
                  <w:pPr>
                    <w:pStyle w:val="67"/>
                    <w:rPr>
                      <w:rFonts w:hint="eastAsia"/>
                      <w:bCs/>
                      <w:color w:val="auto"/>
                      <w:highlight w:val="none"/>
                      <w:lang w:val="en-US" w:eastAsia="zh-CN"/>
                    </w:rPr>
                  </w:pPr>
                  <w:r>
                    <w:rPr>
                      <w:rFonts w:hint="eastAsia"/>
                      <w:color w:val="auto"/>
                      <w:highlight w:val="none"/>
                      <w:lang w:val="en-US" w:eastAsia="zh-CN"/>
                    </w:rPr>
                    <w:t>400</w:t>
                  </w:r>
                  <w:r>
                    <w:rPr>
                      <w:color w:val="auto"/>
                      <w:highlight w:val="none"/>
                    </w:rPr>
                    <w:t>mg/L</w:t>
                  </w:r>
                </w:p>
              </w:tc>
            </w:tr>
            <w:tr w14:paraId="1F4495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41" w:type="pct"/>
                  <w:vMerge w:val="continue"/>
                  <w:vAlign w:val="center"/>
                </w:tcPr>
                <w:p w14:paraId="1092420B">
                  <w:pPr>
                    <w:widowControl w:val="0"/>
                    <w:spacing w:after="0"/>
                    <w:jc w:val="center"/>
                    <w:rPr>
                      <w:rFonts w:eastAsia="宋体"/>
                      <w:color w:val="auto"/>
                      <w:kern w:val="2"/>
                      <w:sz w:val="21"/>
                      <w:szCs w:val="21"/>
                      <w:highlight w:val="none"/>
                    </w:rPr>
                  </w:pPr>
                </w:p>
              </w:tc>
              <w:tc>
                <w:tcPr>
                  <w:tcW w:w="1792" w:type="pct"/>
                  <w:vMerge w:val="continue"/>
                  <w:vAlign w:val="center"/>
                </w:tcPr>
                <w:p w14:paraId="52AEC57C">
                  <w:pPr>
                    <w:spacing w:after="0"/>
                    <w:jc w:val="center"/>
                    <w:rPr>
                      <w:rFonts w:eastAsia="宋体"/>
                      <w:color w:val="auto"/>
                      <w:sz w:val="21"/>
                      <w:szCs w:val="21"/>
                      <w:highlight w:val="none"/>
                    </w:rPr>
                  </w:pPr>
                </w:p>
              </w:tc>
              <w:tc>
                <w:tcPr>
                  <w:tcW w:w="1547" w:type="pct"/>
                  <w:vAlign w:val="center"/>
                </w:tcPr>
                <w:p w14:paraId="79B6BA1E">
                  <w:pPr>
                    <w:pStyle w:val="67"/>
                    <w:rPr>
                      <w:rFonts w:hint="eastAsia"/>
                      <w:bCs/>
                      <w:color w:val="auto"/>
                      <w:highlight w:val="none"/>
                      <w:lang w:val="en-US" w:eastAsia="zh-CN"/>
                    </w:rPr>
                  </w:pPr>
                  <w:r>
                    <w:rPr>
                      <w:color w:val="auto"/>
                      <w:kern w:val="0"/>
                      <w:highlight w:val="none"/>
                    </w:rPr>
                    <w:t>COD</w:t>
                  </w:r>
                </w:p>
              </w:tc>
              <w:tc>
                <w:tcPr>
                  <w:tcW w:w="919" w:type="pct"/>
                  <w:tcBorders>
                    <w:top w:val="single" w:color="auto" w:sz="4" w:space="0"/>
                    <w:bottom w:val="single" w:color="auto" w:sz="4" w:space="0"/>
                  </w:tcBorders>
                  <w:vAlign w:val="center"/>
                </w:tcPr>
                <w:p w14:paraId="2D6A38FF">
                  <w:pPr>
                    <w:pStyle w:val="67"/>
                    <w:rPr>
                      <w:rFonts w:hint="eastAsia"/>
                      <w:bCs/>
                      <w:color w:val="auto"/>
                      <w:highlight w:val="none"/>
                      <w:lang w:val="en-US" w:eastAsia="zh-CN"/>
                    </w:rPr>
                  </w:pPr>
                  <w:r>
                    <w:rPr>
                      <w:rFonts w:hint="eastAsia"/>
                      <w:color w:val="auto"/>
                      <w:highlight w:val="none"/>
                      <w:lang w:val="en-US" w:eastAsia="zh-CN"/>
                    </w:rPr>
                    <w:t>500</w:t>
                  </w:r>
                  <w:r>
                    <w:rPr>
                      <w:color w:val="auto"/>
                      <w:highlight w:val="none"/>
                    </w:rPr>
                    <w:t>mg/L</w:t>
                  </w:r>
                </w:p>
              </w:tc>
            </w:tr>
            <w:tr w14:paraId="794027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41" w:type="pct"/>
                  <w:vMerge w:val="continue"/>
                  <w:vAlign w:val="center"/>
                </w:tcPr>
                <w:p w14:paraId="3BDB1D47">
                  <w:pPr>
                    <w:widowControl w:val="0"/>
                    <w:spacing w:after="0"/>
                    <w:jc w:val="center"/>
                    <w:rPr>
                      <w:rFonts w:eastAsia="宋体"/>
                      <w:color w:val="auto"/>
                      <w:kern w:val="2"/>
                      <w:sz w:val="21"/>
                      <w:szCs w:val="21"/>
                      <w:highlight w:val="none"/>
                    </w:rPr>
                  </w:pPr>
                </w:p>
              </w:tc>
              <w:tc>
                <w:tcPr>
                  <w:tcW w:w="1792" w:type="pct"/>
                  <w:vMerge w:val="continue"/>
                  <w:vAlign w:val="center"/>
                </w:tcPr>
                <w:p w14:paraId="29307774">
                  <w:pPr>
                    <w:spacing w:after="0"/>
                    <w:jc w:val="center"/>
                    <w:rPr>
                      <w:rFonts w:eastAsia="宋体"/>
                      <w:color w:val="auto"/>
                      <w:sz w:val="21"/>
                      <w:szCs w:val="21"/>
                      <w:highlight w:val="none"/>
                    </w:rPr>
                  </w:pPr>
                </w:p>
              </w:tc>
              <w:tc>
                <w:tcPr>
                  <w:tcW w:w="1547" w:type="pct"/>
                  <w:vAlign w:val="center"/>
                </w:tcPr>
                <w:p w14:paraId="5C633528">
                  <w:pPr>
                    <w:pStyle w:val="67"/>
                    <w:rPr>
                      <w:rFonts w:hint="eastAsia"/>
                      <w:bCs/>
                      <w:color w:val="auto"/>
                      <w:highlight w:val="none"/>
                      <w:lang w:val="en-US" w:eastAsia="zh-CN"/>
                    </w:rPr>
                  </w:pPr>
                  <w:r>
                    <w:rPr>
                      <w:color w:val="auto"/>
                      <w:kern w:val="0"/>
                      <w:highlight w:val="none"/>
                    </w:rPr>
                    <w:t>BOD</w:t>
                  </w:r>
                  <w:r>
                    <w:rPr>
                      <w:color w:val="auto"/>
                      <w:kern w:val="0"/>
                      <w:highlight w:val="none"/>
                      <w:vertAlign w:val="subscript"/>
                    </w:rPr>
                    <w:t>5</w:t>
                  </w:r>
                </w:p>
              </w:tc>
              <w:tc>
                <w:tcPr>
                  <w:tcW w:w="919" w:type="pct"/>
                  <w:tcBorders>
                    <w:top w:val="single" w:color="auto" w:sz="4" w:space="0"/>
                    <w:bottom w:val="single" w:color="auto" w:sz="4" w:space="0"/>
                  </w:tcBorders>
                  <w:vAlign w:val="center"/>
                </w:tcPr>
                <w:p w14:paraId="7B7D203C">
                  <w:pPr>
                    <w:pStyle w:val="67"/>
                    <w:rPr>
                      <w:rFonts w:hint="eastAsia"/>
                      <w:bCs/>
                      <w:color w:val="auto"/>
                      <w:highlight w:val="none"/>
                      <w:lang w:val="en-US" w:eastAsia="zh-CN"/>
                    </w:rPr>
                  </w:pPr>
                  <w:r>
                    <w:rPr>
                      <w:rFonts w:hint="eastAsia"/>
                      <w:color w:val="auto"/>
                      <w:highlight w:val="none"/>
                      <w:lang w:val="en-US" w:eastAsia="zh-CN"/>
                    </w:rPr>
                    <w:t>300</w:t>
                  </w:r>
                  <w:r>
                    <w:rPr>
                      <w:color w:val="auto"/>
                      <w:highlight w:val="none"/>
                    </w:rPr>
                    <w:t>mg/L</w:t>
                  </w:r>
                </w:p>
              </w:tc>
            </w:tr>
          </w:tbl>
          <w:p w14:paraId="42672329">
            <w:pPr>
              <w:widowControl w:val="0"/>
              <w:adjustRightInd/>
              <w:snapToGrid/>
              <w:spacing w:after="0" w:line="440" w:lineRule="exact"/>
              <w:ind w:firstLine="482" w:firstLineChars="200"/>
              <w:textAlignment w:val="baseline"/>
              <w:rPr>
                <w:rFonts w:eastAsia="宋体"/>
                <w:b/>
                <w:color w:val="auto"/>
                <w:kern w:val="2"/>
                <w:sz w:val="24"/>
                <w:szCs w:val="20"/>
                <w:highlight w:val="none"/>
              </w:rPr>
            </w:pPr>
            <w:r>
              <w:rPr>
                <w:rFonts w:hint="eastAsia" w:eastAsia="宋体"/>
                <w:b/>
                <w:color w:val="auto"/>
                <w:kern w:val="2"/>
                <w:sz w:val="24"/>
                <w:szCs w:val="20"/>
                <w:highlight w:val="none"/>
                <w:lang w:val="en-US" w:eastAsia="zh-CN"/>
              </w:rPr>
              <w:t>2</w:t>
            </w:r>
            <w:r>
              <w:rPr>
                <w:rFonts w:hint="eastAsia" w:eastAsia="宋体"/>
                <w:b/>
                <w:color w:val="auto"/>
                <w:kern w:val="2"/>
                <w:sz w:val="24"/>
                <w:szCs w:val="20"/>
                <w:highlight w:val="none"/>
              </w:rPr>
              <w:t>、</w:t>
            </w:r>
            <w:r>
              <w:rPr>
                <w:rFonts w:eastAsia="宋体"/>
                <w:b/>
                <w:color w:val="auto"/>
                <w:kern w:val="2"/>
                <w:sz w:val="24"/>
                <w:szCs w:val="20"/>
                <w:highlight w:val="none"/>
              </w:rPr>
              <w:t>废气</w:t>
            </w:r>
          </w:p>
          <w:p w14:paraId="09BCA3C1">
            <w:pPr>
              <w:spacing w:after="0" w:line="480" w:lineRule="exact"/>
              <w:ind w:firstLine="480" w:firstLineChars="200"/>
              <w:textAlignment w:val="baseline"/>
              <w:rPr>
                <w:rFonts w:eastAsia="黑体"/>
                <w:color w:val="auto"/>
                <w:sz w:val="24"/>
                <w:szCs w:val="21"/>
                <w:highlight w:val="none"/>
              </w:rPr>
            </w:pPr>
            <w:r>
              <w:rPr>
                <w:rFonts w:eastAsia="黑体"/>
                <w:color w:val="auto"/>
                <w:sz w:val="24"/>
                <w:szCs w:val="21"/>
                <w:highlight w:val="none"/>
              </w:rPr>
              <w:t>表</w:t>
            </w:r>
            <w:r>
              <w:rPr>
                <w:rFonts w:hint="eastAsia" w:eastAsia="黑体"/>
                <w:color w:val="auto"/>
                <w:sz w:val="24"/>
                <w:szCs w:val="21"/>
                <w:highlight w:val="none"/>
                <w:lang w:val="en-US" w:eastAsia="zh-CN"/>
              </w:rPr>
              <w:t>2</w:t>
            </w:r>
            <w:r>
              <w:rPr>
                <w:rFonts w:eastAsia="黑体"/>
                <w:color w:val="auto"/>
                <w:sz w:val="24"/>
                <w:szCs w:val="21"/>
                <w:highlight w:val="none"/>
              </w:rPr>
              <w:t xml:space="preserve">                 废气排放标准</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52"/>
              <w:gridCol w:w="2299"/>
              <w:gridCol w:w="567"/>
              <w:gridCol w:w="1985"/>
              <w:gridCol w:w="1178"/>
            </w:tblGrid>
            <w:tr w14:paraId="586F8A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952" w:type="dxa"/>
                  <w:tcBorders>
                    <w:bottom w:val="single" w:color="auto" w:sz="4" w:space="0"/>
                  </w:tcBorders>
                  <w:vAlign w:val="center"/>
                </w:tcPr>
                <w:p w14:paraId="24E2DE02">
                  <w:pPr>
                    <w:widowControl w:val="0"/>
                    <w:adjustRightInd/>
                    <w:snapToGrid/>
                    <w:spacing w:after="0"/>
                    <w:jc w:val="center"/>
                    <w:rPr>
                      <w:rFonts w:eastAsia="宋体"/>
                      <w:b/>
                      <w:color w:val="auto"/>
                      <w:kern w:val="2"/>
                      <w:sz w:val="21"/>
                      <w:szCs w:val="21"/>
                      <w:highlight w:val="none"/>
                    </w:rPr>
                  </w:pPr>
                  <w:r>
                    <w:rPr>
                      <w:rFonts w:eastAsia="宋体"/>
                      <w:b/>
                      <w:color w:val="auto"/>
                      <w:kern w:val="2"/>
                      <w:sz w:val="21"/>
                      <w:szCs w:val="21"/>
                      <w:highlight w:val="none"/>
                    </w:rPr>
                    <w:t>污染因素</w:t>
                  </w:r>
                </w:p>
              </w:tc>
              <w:tc>
                <w:tcPr>
                  <w:tcW w:w="2299" w:type="dxa"/>
                  <w:tcBorders>
                    <w:top w:val="single" w:color="auto" w:sz="8" w:space="0"/>
                    <w:bottom w:val="single" w:color="auto" w:sz="4" w:space="0"/>
                  </w:tcBorders>
                  <w:vAlign w:val="center"/>
                </w:tcPr>
                <w:p w14:paraId="2E6BC3BA">
                  <w:pPr>
                    <w:widowControl w:val="0"/>
                    <w:adjustRightInd/>
                    <w:snapToGrid/>
                    <w:spacing w:after="0"/>
                    <w:jc w:val="center"/>
                    <w:rPr>
                      <w:rFonts w:eastAsia="宋体"/>
                      <w:b/>
                      <w:color w:val="auto"/>
                      <w:kern w:val="2"/>
                      <w:sz w:val="21"/>
                      <w:szCs w:val="21"/>
                      <w:highlight w:val="none"/>
                    </w:rPr>
                  </w:pPr>
                  <w:r>
                    <w:rPr>
                      <w:rFonts w:eastAsia="宋体"/>
                      <w:b/>
                      <w:color w:val="auto"/>
                      <w:kern w:val="2"/>
                      <w:sz w:val="21"/>
                      <w:szCs w:val="21"/>
                      <w:highlight w:val="none"/>
                    </w:rPr>
                    <w:t>标准名称及级(类)别</w:t>
                  </w:r>
                </w:p>
              </w:tc>
              <w:tc>
                <w:tcPr>
                  <w:tcW w:w="2552" w:type="dxa"/>
                  <w:gridSpan w:val="2"/>
                  <w:tcBorders>
                    <w:bottom w:val="single" w:color="auto" w:sz="4" w:space="0"/>
                  </w:tcBorders>
                  <w:vAlign w:val="center"/>
                </w:tcPr>
                <w:p w14:paraId="7740779B">
                  <w:pPr>
                    <w:widowControl w:val="0"/>
                    <w:adjustRightInd/>
                    <w:snapToGrid/>
                    <w:spacing w:after="0"/>
                    <w:jc w:val="center"/>
                    <w:rPr>
                      <w:rFonts w:eastAsia="宋体"/>
                      <w:b/>
                      <w:color w:val="auto"/>
                      <w:kern w:val="2"/>
                      <w:sz w:val="21"/>
                      <w:szCs w:val="21"/>
                      <w:highlight w:val="none"/>
                    </w:rPr>
                  </w:pPr>
                  <w:r>
                    <w:rPr>
                      <w:rFonts w:eastAsia="宋体"/>
                      <w:b/>
                      <w:color w:val="auto"/>
                      <w:kern w:val="2"/>
                      <w:sz w:val="21"/>
                      <w:szCs w:val="21"/>
                      <w:highlight w:val="none"/>
                    </w:rPr>
                    <w:t>污染因子</w:t>
                  </w:r>
                </w:p>
              </w:tc>
              <w:tc>
                <w:tcPr>
                  <w:tcW w:w="1178" w:type="dxa"/>
                  <w:tcBorders>
                    <w:bottom w:val="single" w:color="auto" w:sz="4" w:space="0"/>
                  </w:tcBorders>
                  <w:vAlign w:val="center"/>
                </w:tcPr>
                <w:p w14:paraId="7F39689F">
                  <w:pPr>
                    <w:widowControl w:val="0"/>
                    <w:tabs>
                      <w:tab w:val="left" w:pos="1332"/>
                    </w:tabs>
                    <w:adjustRightInd/>
                    <w:snapToGrid/>
                    <w:spacing w:after="0"/>
                    <w:jc w:val="center"/>
                    <w:rPr>
                      <w:rFonts w:eastAsia="宋体"/>
                      <w:b/>
                      <w:color w:val="auto"/>
                      <w:kern w:val="2"/>
                      <w:sz w:val="21"/>
                      <w:szCs w:val="21"/>
                      <w:highlight w:val="none"/>
                    </w:rPr>
                  </w:pPr>
                  <w:r>
                    <w:rPr>
                      <w:rFonts w:eastAsia="宋体"/>
                      <w:b/>
                      <w:color w:val="auto"/>
                      <w:kern w:val="2"/>
                      <w:sz w:val="21"/>
                      <w:szCs w:val="21"/>
                      <w:highlight w:val="none"/>
                    </w:rPr>
                    <w:t>标准限值</w:t>
                  </w:r>
                </w:p>
              </w:tc>
            </w:tr>
            <w:tr w14:paraId="390B3A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952" w:type="dxa"/>
                  <w:vMerge w:val="restart"/>
                  <w:vAlign w:val="center"/>
                </w:tcPr>
                <w:p w14:paraId="1406A33C">
                  <w:pPr>
                    <w:widowControl w:val="0"/>
                    <w:spacing w:after="0"/>
                    <w:jc w:val="center"/>
                    <w:rPr>
                      <w:rFonts w:hint="eastAsia" w:eastAsia="宋体"/>
                      <w:color w:val="auto"/>
                      <w:kern w:val="2"/>
                      <w:sz w:val="21"/>
                      <w:szCs w:val="21"/>
                      <w:highlight w:val="none"/>
                      <w:lang w:val="en-US" w:eastAsia="zh-CN"/>
                    </w:rPr>
                  </w:pPr>
                  <w:r>
                    <w:rPr>
                      <w:rFonts w:hint="eastAsia" w:eastAsia="宋体"/>
                      <w:color w:val="auto"/>
                      <w:kern w:val="2"/>
                      <w:sz w:val="21"/>
                      <w:szCs w:val="21"/>
                      <w:highlight w:val="none"/>
                      <w:lang w:val="en-US" w:eastAsia="zh-CN"/>
                    </w:rPr>
                    <w:t>废气</w:t>
                  </w:r>
                </w:p>
              </w:tc>
              <w:tc>
                <w:tcPr>
                  <w:tcW w:w="2299" w:type="dxa"/>
                  <w:vMerge w:val="restart"/>
                  <w:tcBorders>
                    <w:top w:val="single" w:color="auto" w:sz="4" w:space="0"/>
                  </w:tcBorders>
                  <w:vAlign w:val="center"/>
                </w:tcPr>
                <w:p w14:paraId="5DB0E19A">
                  <w:pPr>
                    <w:spacing w:after="0"/>
                    <w:jc w:val="center"/>
                    <w:rPr>
                      <w:rFonts w:eastAsia="宋体"/>
                      <w:color w:val="auto"/>
                      <w:sz w:val="21"/>
                      <w:szCs w:val="21"/>
                      <w:highlight w:val="none"/>
                    </w:rPr>
                  </w:pPr>
                  <w:r>
                    <w:rPr>
                      <w:rFonts w:hint="eastAsia" w:ascii="Times New Roman" w:hAnsi="Times New Roman" w:eastAsia="宋体" w:cs="Times New Roman"/>
                      <w:color w:val="auto"/>
                      <w:sz w:val="21"/>
                      <w:szCs w:val="21"/>
                      <w:highlight w:val="none"/>
                    </w:rPr>
                    <w:t>《合成树脂工业污染物排放标准》（GB31572-2015）（含2024年修改单）</w:t>
                  </w:r>
                </w:p>
              </w:tc>
              <w:tc>
                <w:tcPr>
                  <w:tcW w:w="567" w:type="dxa"/>
                  <w:vMerge w:val="restart"/>
                  <w:vAlign w:val="center"/>
                </w:tcPr>
                <w:p w14:paraId="65CBC29C">
                  <w:pPr>
                    <w:spacing w:after="0"/>
                    <w:jc w:val="center"/>
                    <w:rPr>
                      <w:rFonts w:eastAsia="宋体"/>
                      <w:color w:val="auto"/>
                      <w:sz w:val="21"/>
                      <w:szCs w:val="21"/>
                      <w:highlight w:val="none"/>
                    </w:rPr>
                  </w:pPr>
                  <w:r>
                    <w:rPr>
                      <w:rFonts w:eastAsia="宋体"/>
                      <w:color w:val="auto"/>
                      <w:sz w:val="21"/>
                      <w:szCs w:val="21"/>
                      <w:highlight w:val="none"/>
                    </w:rPr>
                    <w:t>非甲烷总烃</w:t>
                  </w:r>
                </w:p>
              </w:tc>
              <w:tc>
                <w:tcPr>
                  <w:tcW w:w="1985" w:type="dxa"/>
                  <w:vAlign w:val="center"/>
                </w:tcPr>
                <w:p w14:paraId="54F5C991">
                  <w:pPr>
                    <w:spacing w:after="0"/>
                    <w:jc w:val="center"/>
                    <w:rPr>
                      <w:rFonts w:eastAsia="宋体"/>
                      <w:color w:val="auto"/>
                      <w:sz w:val="21"/>
                      <w:szCs w:val="21"/>
                      <w:highlight w:val="none"/>
                    </w:rPr>
                  </w:pPr>
                  <w:r>
                    <w:rPr>
                      <w:rFonts w:hint="eastAsia" w:eastAsia="宋体"/>
                      <w:color w:val="auto"/>
                      <w:sz w:val="21"/>
                      <w:szCs w:val="21"/>
                      <w:highlight w:val="none"/>
                    </w:rPr>
                    <w:t>有组织</w:t>
                  </w:r>
                </w:p>
              </w:tc>
              <w:tc>
                <w:tcPr>
                  <w:tcW w:w="1178" w:type="dxa"/>
                  <w:tcBorders>
                    <w:top w:val="single" w:color="auto" w:sz="4" w:space="0"/>
                    <w:bottom w:val="single" w:color="auto" w:sz="4" w:space="0"/>
                  </w:tcBorders>
                  <w:vAlign w:val="center"/>
                </w:tcPr>
                <w:p w14:paraId="744292EB">
                  <w:pPr>
                    <w:spacing w:after="0"/>
                    <w:jc w:val="center"/>
                    <w:rPr>
                      <w:rFonts w:eastAsia="宋体"/>
                      <w:color w:val="auto"/>
                      <w:sz w:val="21"/>
                      <w:szCs w:val="21"/>
                      <w:highlight w:val="none"/>
                    </w:rPr>
                  </w:pPr>
                  <w:r>
                    <w:rPr>
                      <w:rFonts w:eastAsia="宋体"/>
                      <w:color w:val="auto"/>
                      <w:sz w:val="21"/>
                      <w:szCs w:val="21"/>
                      <w:highlight w:val="none"/>
                    </w:rPr>
                    <w:t>60mg/m</w:t>
                  </w:r>
                  <w:r>
                    <w:rPr>
                      <w:rFonts w:eastAsia="宋体"/>
                      <w:color w:val="auto"/>
                      <w:sz w:val="21"/>
                      <w:szCs w:val="21"/>
                      <w:highlight w:val="none"/>
                      <w:vertAlign w:val="superscript"/>
                    </w:rPr>
                    <w:t>3</w:t>
                  </w:r>
                  <w:r>
                    <w:rPr>
                      <w:rFonts w:hint="eastAsia" w:eastAsia="宋体"/>
                      <w:color w:val="auto"/>
                      <w:sz w:val="21"/>
                      <w:szCs w:val="21"/>
                      <w:highlight w:val="none"/>
                    </w:rPr>
                    <w:t>，排气筒高度≥15m</w:t>
                  </w:r>
                </w:p>
              </w:tc>
            </w:tr>
            <w:tr w14:paraId="052953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952" w:type="dxa"/>
                  <w:vMerge w:val="continue"/>
                  <w:vAlign w:val="center"/>
                </w:tcPr>
                <w:p w14:paraId="2343E14E">
                  <w:pPr>
                    <w:widowControl w:val="0"/>
                    <w:spacing w:after="0"/>
                    <w:jc w:val="center"/>
                    <w:rPr>
                      <w:rFonts w:eastAsia="宋体"/>
                      <w:color w:val="auto"/>
                      <w:kern w:val="2"/>
                      <w:sz w:val="21"/>
                      <w:szCs w:val="21"/>
                      <w:highlight w:val="none"/>
                    </w:rPr>
                  </w:pPr>
                </w:p>
              </w:tc>
              <w:tc>
                <w:tcPr>
                  <w:tcW w:w="2299" w:type="dxa"/>
                  <w:vMerge w:val="continue"/>
                  <w:vAlign w:val="center"/>
                </w:tcPr>
                <w:p w14:paraId="7E272D06">
                  <w:pPr>
                    <w:spacing w:after="0"/>
                    <w:jc w:val="center"/>
                    <w:rPr>
                      <w:rFonts w:eastAsia="宋体"/>
                      <w:color w:val="auto"/>
                      <w:sz w:val="21"/>
                      <w:szCs w:val="21"/>
                      <w:highlight w:val="none"/>
                    </w:rPr>
                  </w:pPr>
                </w:p>
              </w:tc>
              <w:tc>
                <w:tcPr>
                  <w:tcW w:w="567" w:type="dxa"/>
                  <w:vMerge w:val="continue"/>
                  <w:vAlign w:val="center"/>
                </w:tcPr>
                <w:p w14:paraId="3FF72828">
                  <w:pPr>
                    <w:spacing w:after="0"/>
                    <w:jc w:val="center"/>
                    <w:rPr>
                      <w:rFonts w:eastAsia="宋体"/>
                      <w:color w:val="auto"/>
                      <w:sz w:val="21"/>
                      <w:szCs w:val="21"/>
                      <w:highlight w:val="none"/>
                    </w:rPr>
                  </w:pPr>
                </w:p>
              </w:tc>
              <w:tc>
                <w:tcPr>
                  <w:tcW w:w="1985" w:type="dxa"/>
                  <w:vAlign w:val="center"/>
                </w:tcPr>
                <w:p w14:paraId="07CC4C71">
                  <w:pPr>
                    <w:spacing w:after="0"/>
                    <w:jc w:val="center"/>
                    <w:rPr>
                      <w:rFonts w:eastAsia="宋体"/>
                      <w:color w:val="auto"/>
                      <w:sz w:val="21"/>
                      <w:szCs w:val="21"/>
                      <w:highlight w:val="none"/>
                    </w:rPr>
                  </w:pPr>
                  <w:r>
                    <w:rPr>
                      <w:rFonts w:hint="eastAsia" w:eastAsia="宋体" w:cs="Calibri"/>
                      <w:color w:val="auto"/>
                      <w:sz w:val="21"/>
                      <w:szCs w:val="21"/>
                      <w:highlight w:val="none"/>
                    </w:rPr>
                    <w:t>厂界</w:t>
                  </w:r>
                </w:p>
              </w:tc>
              <w:tc>
                <w:tcPr>
                  <w:tcW w:w="1178" w:type="dxa"/>
                  <w:tcBorders>
                    <w:top w:val="single" w:color="auto" w:sz="4" w:space="0"/>
                    <w:bottom w:val="single" w:color="auto" w:sz="4" w:space="0"/>
                  </w:tcBorders>
                  <w:vAlign w:val="center"/>
                </w:tcPr>
                <w:p w14:paraId="439D5096">
                  <w:pPr>
                    <w:spacing w:after="0"/>
                    <w:jc w:val="center"/>
                    <w:rPr>
                      <w:rFonts w:eastAsia="宋体"/>
                      <w:color w:val="auto"/>
                      <w:sz w:val="21"/>
                      <w:szCs w:val="21"/>
                      <w:highlight w:val="none"/>
                    </w:rPr>
                  </w:pPr>
                  <w:r>
                    <w:rPr>
                      <w:rFonts w:hint="eastAsia" w:eastAsia="宋体"/>
                      <w:color w:val="auto"/>
                      <w:sz w:val="21"/>
                      <w:szCs w:val="21"/>
                      <w:highlight w:val="none"/>
                    </w:rPr>
                    <w:t>4</w:t>
                  </w:r>
                  <w:r>
                    <w:rPr>
                      <w:rFonts w:eastAsia="宋体"/>
                      <w:color w:val="auto"/>
                      <w:sz w:val="21"/>
                      <w:szCs w:val="21"/>
                      <w:highlight w:val="none"/>
                    </w:rPr>
                    <w:t>mg/m</w:t>
                  </w:r>
                  <w:r>
                    <w:rPr>
                      <w:rFonts w:eastAsia="宋体"/>
                      <w:color w:val="auto"/>
                      <w:sz w:val="21"/>
                      <w:szCs w:val="21"/>
                      <w:highlight w:val="none"/>
                      <w:vertAlign w:val="superscript"/>
                    </w:rPr>
                    <w:t>3</w:t>
                  </w:r>
                </w:p>
              </w:tc>
            </w:tr>
            <w:tr w14:paraId="3BD9C6F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952" w:type="dxa"/>
                  <w:vMerge w:val="continue"/>
                  <w:vAlign w:val="center"/>
                </w:tcPr>
                <w:p w14:paraId="103F953C">
                  <w:pPr>
                    <w:widowControl w:val="0"/>
                    <w:spacing w:after="0"/>
                    <w:jc w:val="center"/>
                    <w:rPr>
                      <w:rFonts w:eastAsia="宋体"/>
                      <w:color w:val="auto"/>
                      <w:kern w:val="2"/>
                      <w:sz w:val="21"/>
                      <w:szCs w:val="21"/>
                      <w:highlight w:val="none"/>
                    </w:rPr>
                  </w:pPr>
                </w:p>
              </w:tc>
              <w:tc>
                <w:tcPr>
                  <w:tcW w:w="2299" w:type="dxa"/>
                  <w:vMerge w:val="continue"/>
                  <w:vAlign w:val="center"/>
                </w:tcPr>
                <w:p w14:paraId="2C3AA14C">
                  <w:pPr>
                    <w:spacing w:after="0"/>
                    <w:jc w:val="center"/>
                    <w:rPr>
                      <w:rFonts w:eastAsia="宋体"/>
                      <w:color w:val="auto"/>
                      <w:sz w:val="21"/>
                      <w:szCs w:val="21"/>
                      <w:highlight w:val="none"/>
                    </w:rPr>
                  </w:pPr>
                </w:p>
              </w:tc>
              <w:tc>
                <w:tcPr>
                  <w:tcW w:w="567" w:type="dxa"/>
                  <w:vMerge w:val="continue"/>
                  <w:vAlign w:val="center"/>
                </w:tcPr>
                <w:p w14:paraId="648600E9">
                  <w:pPr>
                    <w:spacing w:after="0"/>
                    <w:jc w:val="center"/>
                    <w:rPr>
                      <w:rFonts w:eastAsia="宋体"/>
                      <w:color w:val="auto"/>
                      <w:sz w:val="21"/>
                      <w:szCs w:val="21"/>
                      <w:highlight w:val="none"/>
                    </w:rPr>
                  </w:pPr>
                </w:p>
              </w:tc>
              <w:tc>
                <w:tcPr>
                  <w:tcW w:w="1985" w:type="dxa"/>
                  <w:vAlign w:val="center"/>
                </w:tcPr>
                <w:p w14:paraId="248E6278">
                  <w:pPr>
                    <w:pStyle w:val="67"/>
                    <w:rPr>
                      <w:rFonts w:hint="eastAsia" w:eastAsia="宋体" w:cs="Calibri"/>
                      <w:color w:val="auto"/>
                      <w:sz w:val="21"/>
                      <w:szCs w:val="21"/>
                      <w:highlight w:val="none"/>
                    </w:rPr>
                  </w:pPr>
                  <w:r>
                    <w:rPr>
                      <w:rFonts w:hint="eastAsia"/>
                      <w:bCs/>
                      <w:color w:val="auto"/>
                      <w:highlight w:val="none"/>
                      <w:lang w:val="en-US" w:eastAsia="zh-CN"/>
                    </w:rPr>
                    <w:t>单位产品非甲烷总烃排放量</w:t>
                  </w:r>
                </w:p>
              </w:tc>
              <w:tc>
                <w:tcPr>
                  <w:tcW w:w="1178" w:type="dxa"/>
                  <w:tcBorders>
                    <w:top w:val="single" w:color="auto" w:sz="4" w:space="0"/>
                    <w:bottom w:val="single" w:color="auto" w:sz="4" w:space="0"/>
                  </w:tcBorders>
                  <w:vAlign w:val="center"/>
                </w:tcPr>
                <w:p w14:paraId="1B77392A">
                  <w:pPr>
                    <w:pStyle w:val="67"/>
                    <w:rPr>
                      <w:rFonts w:hint="eastAsia" w:eastAsia="宋体"/>
                      <w:color w:val="auto"/>
                      <w:sz w:val="21"/>
                      <w:szCs w:val="21"/>
                      <w:highlight w:val="none"/>
                    </w:rPr>
                  </w:pPr>
                  <w:r>
                    <w:rPr>
                      <w:rFonts w:hint="eastAsia"/>
                      <w:bCs/>
                      <w:color w:val="auto"/>
                      <w:highlight w:val="none"/>
                      <w:lang w:val="en-US" w:eastAsia="zh-CN"/>
                    </w:rPr>
                    <w:t>0.3kg/t产品</w:t>
                  </w:r>
                </w:p>
              </w:tc>
            </w:tr>
            <w:tr w14:paraId="1039A0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952" w:type="dxa"/>
                  <w:vMerge w:val="continue"/>
                  <w:vAlign w:val="center"/>
                </w:tcPr>
                <w:p w14:paraId="46DFC8F0">
                  <w:pPr>
                    <w:widowControl w:val="0"/>
                    <w:spacing w:after="0"/>
                    <w:jc w:val="center"/>
                    <w:rPr>
                      <w:rFonts w:eastAsia="宋体"/>
                      <w:color w:val="auto"/>
                      <w:kern w:val="2"/>
                      <w:sz w:val="21"/>
                      <w:szCs w:val="21"/>
                      <w:highlight w:val="none"/>
                    </w:rPr>
                  </w:pPr>
                </w:p>
              </w:tc>
              <w:tc>
                <w:tcPr>
                  <w:tcW w:w="2299" w:type="dxa"/>
                  <w:vMerge w:val="restart"/>
                  <w:tcBorders>
                    <w:top w:val="single" w:color="auto" w:sz="4" w:space="0"/>
                  </w:tcBorders>
                  <w:vAlign w:val="center"/>
                </w:tcPr>
                <w:p w14:paraId="503B2D3F">
                  <w:pPr>
                    <w:spacing w:after="0"/>
                    <w:jc w:val="center"/>
                    <w:rPr>
                      <w:rFonts w:eastAsia="宋体"/>
                      <w:color w:val="auto"/>
                      <w:sz w:val="21"/>
                      <w:szCs w:val="21"/>
                      <w:highlight w:val="none"/>
                    </w:rPr>
                  </w:pPr>
                  <w:r>
                    <w:rPr>
                      <w:rFonts w:eastAsia="宋体"/>
                      <w:color w:val="auto"/>
                      <w:sz w:val="21"/>
                      <w:szCs w:val="21"/>
                      <w:highlight w:val="none"/>
                    </w:rPr>
                    <w:t>《关于全省开展工业企业挥发性有机物专项治理工作中排放建议值的通知》（豫环攻坚办（2017）162号）</w:t>
                  </w:r>
                </w:p>
              </w:tc>
              <w:tc>
                <w:tcPr>
                  <w:tcW w:w="567" w:type="dxa"/>
                  <w:vMerge w:val="restart"/>
                  <w:vAlign w:val="center"/>
                </w:tcPr>
                <w:p w14:paraId="511CC591">
                  <w:pPr>
                    <w:spacing w:after="0"/>
                    <w:jc w:val="center"/>
                    <w:rPr>
                      <w:rFonts w:eastAsia="宋体"/>
                      <w:color w:val="auto"/>
                      <w:sz w:val="21"/>
                      <w:szCs w:val="21"/>
                      <w:highlight w:val="none"/>
                    </w:rPr>
                  </w:pPr>
                  <w:r>
                    <w:rPr>
                      <w:rFonts w:eastAsia="宋体"/>
                      <w:color w:val="auto"/>
                      <w:sz w:val="21"/>
                      <w:szCs w:val="21"/>
                      <w:highlight w:val="none"/>
                    </w:rPr>
                    <w:t>非甲烷总烃</w:t>
                  </w:r>
                </w:p>
              </w:tc>
              <w:tc>
                <w:tcPr>
                  <w:tcW w:w="1985" w:type="dxa"/>
                  <w:vAlign w:val="center"/>
                </w:tcPr>
                <w:p w14:paraId="0943B556">
                  <w:pPr>
                    <w:spacing w:after="0"/>
                    <w:jc w:val="center"/>
                    <w:rPr>
                      <w:rFonts w:eastAsia="宋体"/>
                      <w:color w:val="auto"/>
                      <w:sz w:val="21"/>
                      <w:szCs w:val="21"/>
                      <w:highlight w:val="none"/>
                    </w:rPr>
                  </w:pPr>
                  <w:r>
                    <w:rPr>
                      <w:rFonts w:eastAsia="宋体"/>
                      <w:color w:val="auto"/>
                      <w:sz w:val="21"/>
                      <w:szCs w:val="21"/>
                      <w:highlight w:val="none"/>
                    </w:rPr>
                    <w:t>附件1：</w:t>
                  </w:r>
                  <w:r>
                    <w:rPr>
                      <w:rFonts w:hint="eastAsia" w:eastAsia="宋体"/>
                      <w:color w:val="auto"/>
                      <w:sz w:val="21"/>
                      <w:szCs w:val="21"/>
                      <w:highlight w:val="none"/>
                    </w:rPr>
                    <w:t>其他行业</w:t>
                  </w:r>
                  <w:r>
                    <w:rPr>
                      <w:rFonts w:eastAsia="宋体"/>
                      <w:color w:val="auto"/>
                      <w:sz w:val="21"/>
                      <w:szCs w:val="21"/>
                      <w:highlight w:val="none"/>
                    </w:rPr>
                    <w:t>有机废气排放口</w:t>
                  </w:r>
                </w:p>
              </w:tc>
              <w:tc>
                <w:tcPr>
                  <w:tcW w:w="1178" w:type="dxa"/>
                  <w:tcBorders>
                    <w:top w:val="single" w:color="auto" w:sz="4" w:space="0"/>
                    <w:bottom w:val="single" w:color="auto" w:sz="4" w:space="0"/>
                  </w:tcBorders>
                  <w:vAlign w:val="center"/>
                </w:tcPr>
                <w:p w14:paraId="059069DB">
                  <w:pPr>
                    <w:spacing w:after="0"/>
                    <w:jc w:val="center"/>
                    <w:rPr>
                      <w:rFonts w:eastAsia="宋体"/>
                      <w:bCs/>
                      <w:color w:val="auto"/>
                      <w:sz w:val="21"/>
                      <w:szCs w:val="21"/>
                      <w:highlight w:val="none"/>
                    </w:rPr>
                  </w:pPr>
                  <w:r>
                    <w:rPr>
                      <w:rFonts w:hint="eastAsia" w:eastAsia="宋体"/>
                      <w:color w:val="auto"/>
                      <w:sz w:val="21"/>
                      <w:szCs w:val="21"/>
                      <w:highlight w:val="none"/>
                    </w:rPr>
                    <w:t>80</w:t>
                  </w:r>
                  <w:r>
                    <w:rPr>
                      <w:rFonts w:eastAsia="宋体"/>
                      <w:color w:val="auto"/>
                      <w:sz w:val="21"/>
                      <w:szCs w:val="21"/>
                      <w:highlight w:val="none"/>
                    </w:rPr>
                    <w:t>mg/m</w:t>
                  </w:r>
                  <w:r>
                    <w:rPr>
                      <w:rFonts w:eastAsia="宋体"/>
                      <w:color w:val="auto"/>
                      <w:sz w:val="21"/>
                      <w:szCs w:val="21"/>
                      <w:highlight w:val="none"/>
                      <w:vertAlign w:val="superscript"/>
                    </w:rPr>
                    <w:t>3</w:t>
                  </w:r>
                  <w:r>
                    <w:rPr>
                      <w:rFonts w:hint="eastAsia" w:eastAsia="宋体"/>
                      <w:color w:val="auto"/>
                      <w:sz w:val="21"/>
                      <w:szCs w:val="21"/>
                      <w:highlight w:val="none"/>
                    </w:rPr>
                    <w:t>，</w:t>
                  </w:r>
                  <w:r>
                    <w:rPr>
                      <w:rFonts w:eastAsia="宋体"/>
                      <w:color w:val="auto"/>
                      <w:sz w:val="21"/>
                      <w:szCs w:val="21"/>
                      <w:highlight w:val="none"/>
                    </w:rPr>
                    <w:t>去除率≥70%</w:t>
                  </w:r>
                </w:p>
              </w:tc>
            </w:tr>
            <w:tr w14:paraId="099433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952" w:type="dxa"/>
                  <w:vMerge w:val="continue"/>
                  <w:vAlign w:val="center"/>
                </w:tcPr>
                <w:p w14:paraId="469362AC">
                  <w:pPr>
                    <w:widowControl w:val="0"/>
                    <w:spacing w:after="0"/>
                    <w:jc w:val="center"/>
                    <w:rPr>
                      <w:rFonts w:eastAsia="宋体"/>
                      <w:color w:val="auto"/>
                      <w:kern w:val="2"/>
                      <w:sz w:val="21"/>
                      <w:szCs w:val="21"/>
                      <w:highlight w:val="none"/>
                    </w:rPr>
                  </w:pPr>
                </w:p>
              </w:tc>
              <w:tc>
                <w:tcPr>
                  <w:tcW w:w="2299" w:type="dxa"/>
                  <w:vMerge w:val="continue"/>
                  <w:vAlign w:val="center"/>
                </w:tcPr>
                <w:p w14:paraId="1F3D3920">
                  <w:pPr>
                    <w:spacing w:after="0"/>
                    <w:jc w:val="center"/>
                    <w:rPr>
                      <w:rFonts w:eastAsia="宋体"/>
                      <w:color w:val="auto"/>
                      <w:sz w:val="21"/>
                      <w:szCs w:val="21"/>
                      <w:highlight w:val="none"/>
                    </w:rPr>
                  </w:pPr>
                </w:p>
              </w:tc>
              <w:tc>
                <w:tcPr>
                  <w:tcW w:w="567" w:type="dxa"/>
                  <w:vMerge w:val="continue"/>
                  <w:vAlign w:val="center"/>
                </w:tcPr>
                <w:p w14:paraId="2FA5D0F4">
                  <w:pPr>
                    <w:spacing w:after="0"/>
                    <w:jc w:val="center"/>
                    <w:rPr>
                      <w:rFonts w:eastAsia="宋体"/>
                      <w:color w:val="auto"/>
                      <w:sz w:val="21"/>
                      <w:szCs w:val="21"/>
                      <w:highlight w:val="none"/>
                    </w:rPr>
                  </w:pPr>
                </w:p>
              </w:tc>
              <w:tc>
                <w:tcPr>
                  <w:tcW w:w="1985" w:type="dxa"/>
                  <w:vAlign w:val="center"/>
                </w:tcPr>
                <w:p w14:paraId="0AC555E6">
                  <w:pPr>
                    <w:spacing w:after="0"/>
                    <w:jc w:val="center"/>
                    <w:rPr>
                      <w:rFonts w:eastAsia="宋体"/>
                      <w:color w:val="auto"/>
                      <w:sz w:val="21"/>
                      <w:szCs w:val="21"/>
                      <w:highlight w:val="none"/>
                    </w:rPr>
                  </w:pPr>
                  <w:r>
                    <w:rPr>
                      <w:rFonts w:hint="eastAsia" w:eastAsia="宋体"/>
                      <w:color w:val="auto"/>
                      <w:sz w:val="21"/>
                      <w:szCs w:val="21"/>
                      <w:highlight w:val="none"/>
                    </w:rPr>
                    <w:t>附件2：其他企业边界</w:t>
                  </w:r>
                </w:p>
              </w:tc>
              <w:tc>
                <w:tcPr>
                  <w:tcW w:w="1178" w:type="dxa"/>
                  <w:tcBorders>
                    <w:top w:val="single" w:color="auto" w:sz="4" w:space="0"/>
                    <w:bottom w:val="single" w:color="auto" w:sz="4" w:space="0"/>
                  </w:tcBorders>
                  <w:vAlign w:val="center"/>
                </w:tcPr>
                <w:p w14:paraId="4F7D00CA">
                  <w:pPr>
                    <w:spacing w:after="0"/>
                    <w:jc w:val="center"/>
                    <w:rPr>
                      <w:rFonts w:eastAsia="宋体"/>
                      <w:color w:val="auto"/>
                      <w:sz w:val="21"/>
                      <w:szCs w:val="21"/>
                      <w:highlight w:val="none"/>
                    </w:rPr>
                  </w:pPr>
                  <w:r>
                    <w:rPr>
                      <w:rFonts w:hint="eastAsia" w:eastAsia="宋体"/>
                      <w:color w:val="auto"/>
                      <w:sz w:val="21"/>
                      <w:szCs w:val="21"/>
                      <w:highlight w:val="none"/>
                    </w:rPr>
                    <w:t>2.0mg/m</w:t>
                  </w:r>
                  <w:r>
                    <w:rPr>
                      <w:rFonts w:hint="eastAsia" w:eastAsia="宋体"/>
                      <w:color w:val="auto"/>
                      <w:sz w:val="21"/>
                      <w:szCs w:val="21"/>
                      <w:highlight w:val="none"/>
                      <w:vertAlign w:val="superscript"/>
                    </w:rPr>
                    <w:t>3</w:t>
                  </w:r>
                </w:p>
              </w:tc>
            </w:tr>
            <w:tr w14:paraId="3D50F4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952" w:type="dxa"/>
                  <w:vMerge w:val="continue"/>
                  <w:vAlign w:val="center"/>
                </w:tcPr>
                <w:p w14:paraId="09E853D5">
                  <w:pPr>
                    <w:widowControl w:val="0"/>
                    <w:spacing w:after="0"/>
                    <w:jc w:val="center"/>
                    <w:rPr>
                      <w:rFonts w:eastAsia="宋体"/>
                      <w:color w:val="auto"/>
                      <w:kern w:val="2"/>
                      <w:sz w:val="21"/>
                      <w:szCs w:val="21"/>
                      <w:highlight w:val="none"/>
                    </w:rPr>
                  </w:pPr>
                </w:p>
              </w:tc>
              <w:tc>
                <w:tcPr>
                  <w:tcW w:w="2299" w:type="dxa"/>
                  <w:vMerge w:val="restart"/>
                  <w:vAlign w:val="center"/>
                </w:tcPr>
                <w:p w14:paraId="08791099">
                  <w:pPr>
                    <w:spacing w:after="0"/>
                    <w:jc w:val="center"/>
                    <w:rPr>
                      <w:rFonts w:eastAsia="宋体"/>
                      <w:color w:val="auto"/>
                      <w:sz w:val="21"/>
                      <w:szCs w:val="21"/>
                      <w:highlight w:val="none"/>
                    </w:rPr>
                  </w:pPr>
                  <w:r>
                    <w:rPr>
                      <w:rFonts w:hint="eastAsia" w:ascii="Times New Roman" w:hAnsi="Times New Roman" w:eastAsia="宋体" w:cs="Times New Roman"/>
                      <w:b w:val="0"/>
                      <w:bCs w:val="0"/>
                      <w:color w:val="auto"/>
                      <w:sz w:val="21"/>
                      <w:szCs w:val="21"/>
                      <w:highlight w:val="none"/>
                      <w:u w:val="none"/>
                      <w:lang w:val="en-US" w:eastAsia="zh-CN"/>
                    </w:rPr>
                    <w:t>《挥发性有机物无组织排放控制标准》（</w:t>
                  </w:r>
                  <w:r>
                    <w:rPr>
                      <w:rFonts w:hint="default" w:ascii="Times New Roman" w:hAnsi="Times New Roman" w:eastAsia="宋体" w:cs="Times New Roman"/>
                      <w:b w:val="0"/>
                      <w:bCs w:val="0"/>
                      <w:color w:val="auto"/>
                      <w:sz w:val="21"/>
                      <w:szCs w:val="21"/>
                      <w:highlight w:val="none"/>
                      <w:u w:val="none"/>
                      <w:lang w:val="en-US" w:eastAsia="zh-CN"/>
                    </w:rPr>
                    <w:t>GB 37822-2019</w:t>
                  </w:r>
                  <w:r>
                    <w:rPr>
                      <w:rFonts w:hint="eastAsia" w:ascii="Times New Roman" w:hAnsi="Times New Roman" w:eastAsia="宋体" w:cs="Times New Roman"/>
                      <w:b w:val="0"/>
                      <w:bCs w:val="0"/>
                      <w:color w:val="auto"/>
                      <w:sz w:val="21"/>
                      <w:szCs w:val="21"/>
                      <w:highlight w:val="none"/>
                      <w:u w:val="none"/>
                      <w:lang w:val="en-US" w:eastAsia="zh-CN"/>
                    </w:rPr>
                    <w:t>）</w:t>
                  </w:r>
                </w:p>
              </w:tc>
              <w:tc>
                <w:tcPr>
                  <w:tcW w:w="567" w:type="dxa"/>
                  <w:vMerge w:val="restart"/>
                  <w:vAlign w:val="center"/>
                </w:tcPr>
                <w:p w14:paraId="366CBF0F">
                  <w:pPr>
                    <w:spacing w:after="0"/>
                    <w:jc w:val="center"/>
                    <w:rPr>
                      <w:rFonts w:eastAsia="宋体"/>
                      <w:color w:val="auto"/>
                      <w:sz w:val="21"/>
                      <w:szCs w:val="21"/>
                      <w:highlight w:val="none"/>
                    </w:rPr>
                  </w:pPr>
                  <w:r>
                    <w:rPr>
                      <w:rFonts w:eastAsia="宋体"/>
                      <w:color w:val="auto"/>
                      <w:sz w:val="21"/>
                      <w:szCs w:val="21"/>
                      <w:highlight w:val="none"/>
                    </w:rPr>
                    <w:t>非甲烷总烃</w:t>
                  </w:r>
                </w:p>
              </w:tc>
              <w:tc>
                <w:tcPr>
                  <w:tcW w:w="1985" w:type="dxa"/>
                  <w:vAlign w:val="center"/>
                </w:tcPr>
                <w:p w14:paraId="6A376E1D">
                  <w:pPr>
                    <w:spacing w:after="0"/>
                    <w:jc w:val="center"/>
                    <w:rPr>
                      <w:rFonts w:hint="eastAsia" w:eastAsia="宋体"/>
                      <w:color w:val="auto"/>
                      <w:sz w:val="21"/>
                      <w:szCs w:val="21"/>
                      <w:highlight w:val="none"/>
                    </w:rPr>
                  </w:pPr>
                  <w:r>
                    <w:rPr>
                      <w:rFonts w:hint="eastAsia" w:ascii="Times New Roman" w:hAnsi="Times New Roman" w:eastAsia="宋体" w:cs="Times New Roman"/>
                      <w:b w:val="0"/>
                      <w:bCs w:val="0"/>
                      <w:color w:val="auto"/>
                      <w:sz w:val="21"/>
                      <w:szCs w:val="21"/>
                      <w:highlight w:val="none"/>
                      <w:u w:val="none"/>
                      <w:lang w:val="en-US" w:eastAsia="zh-CN"/>
                    </w:rPr>
                    <w:t>厂区内监控点</w:t>
                  </w:r>
                  <w:r>
                    <w:rPr>
                      <w:rFonts w:hint="default" w:ascii="Times New Roman" w:hAnsi="Times New Roman" w:eastAsia="宋体" w:cs="Times New Roman"/>
                      <w:b w:val="0"/>
                      <w:bCs w:val="0"/>
                      <w:color w:val="auto"/>
                      <w:sz w:val="21"/>
                      <w:szCs w:val="21"/>
                      <w:highlight w:val="none"/>
                      <w:u w:val="none"/>
                      <w:lang w:val="en-US" w:eastAsia="zh-CN"/>
                    </w:rPr>
                    <w:t>处1h平均浓度</w:t>
                  </w:r>
                </w:p>
              </w:tc>
              <w:tc>
                <w:tcPr>
                  <w:tcW w:w="1178" w:type="dxa"/>
                  <w:tcBorders>
                    <w:top w:val="single" w:color="auto" w:sz="4" w:space="0"/>
                    <w:bottom w:val="single" w:color="auto" w:sz="4" w:space="0"/>
                  </w:tcBorders>
                  <w:vAlign w:val="center"/>
                </w:tcPr>
                <w:p w14:paraId="0CC2E571">
                  <w:pPr>
                    <w:spacing w:after="0"/>
                    <w:jc w:val="center"/>
                    <w:rPr>
                      <w:rFonts w:hint="eastAsia" w:eastAsia="宋体"/>
                      <w:color w:val="auto"/>
                      <w:sz w:val="21"/>
                      <w:szCs w:val="21"/>
                      <w:highlight w:val="none"/>
                    </w:rPr>
                  </w:pPr>
                  <w:r>
                    <w:rPr>
                      <w:rFonts w:hint="default" w:ascii="Times New Roman" w:hAnsi="Times New Roman" w:eastAsia="宋体" w:cs="Times New Roman"/>
                      <w:b w:val="0"/>
                      <w:bCs w:val="0"/>
                      <w:color w:val="auto"/>
                      <w:sz w:val="21"/>
                      <w:szCs w:val="21"/>
                      <w:highlight w:val="none"/>
                      <w:u w:val="none"/>
                      <w:lang w:val="en-US" w:eastAsia="zh-CN"/>
                    </w:rPr>
                    <w:t>6mg/m</w:t>
                  </w:r>
                  <w:r>
                    <w:rPr>
                      <w:rFonts w:hint="default" w:ascii="Times New Roman" w:hAnsi="Times New Roman" w:eastAsia="宋体" w:cs="Times New Roman"/>
                      <w:b w:val="0"/>
                      <w:bCs w:val="0"/>
                      <w:color w:val="auto"/>
                      <w:sz w:val="21"/>
                      <w:szCs w:val="21"/>
                      <w:highlight w:val="none"/>
                      <w:u w:val="none"/>
                      <w:vertAlign w:val="superscript"/>
                      <w:lang w:val="en-US" w:eastAsia="zh-CN"/>
                    </w:rPr>
                    <w:t>3</w:t>
                  </w:r>
                </w:p>
              </w:tc>
            </w:tr>
            <w:tr w14:paraId="4CE9C7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952" w:type="dxa"/>
                  <w:vMerge w:val="continue"/>
                  <w:vAlign w:val="center"/>
                </w:tcPr>
                <w:p w14:paraId="4A289771">
                  <w:pPr>
                    <w:widowControl w:val="0"/>
                    <w:spacing w:after="0"/>
                    <w:jc w:val="center"/>
                    <w:rPr>
                      <w:rFonts w:eastAsia="宋体"/>
                      <w:color w:val="auto"/>
                      <w:kern w:val="2"/>
                      <w:sz w:val="21"/>
                      <w:szCs w:val="21"/>
                      <w:highlight w:val="none"/>
                    </w:rPr>
                  </w:pPr>
                </w:p>
              </w:tc>
              <w:tc>
                <w:tcPr>
                  <w:tcW w:w="2299" w:type="dxa"/>
                  <w:vMerge w:val="continue"/>
                  <w:vAlign w:val="center"/>
                </w:tcPr>
                <w:p w14:paraId="33F05256">
                  <w:pPr>
                    <w:spacing w:after="0"/>
                    <w:jc w:val="center"/>
                    <w:rPr>
                      <w:rFonts w:hint="eastAsia" w:ascii="Times New Roman" w:hAnsi="Times New Roman" w:eastAsia="宋体" w:cs="Times New Roman"/>
                      <w:b w:val="0"/>
                      <w:bCs w:val="0"/>
                      <w:color w:val="auto"/>
                      <w:sz w:val="21"/>
                      <w:szCs w:val="21"/>
                      <w:highlight w:val="none"/>
                      <w:u w:val="none"/>
                      <w:lang w:val="en-US" w:eastAsia="zh-CN"/>
                    </w:rPr>
                  </w:pPr>
                </w:p>
              </w:tc>
              <w:tc>
                <w:tcPr>
                  <w:tcW w:w="567" w:type="dxa"/>
                  <w:vMerge w:val="continue"/>
                  <w:vAlign w:val="center"/>
                </w:tcPr>
                <w:p w14:paraId="0A90B498">
                  <w:pPr>
                    <w:spacing w:after="0"/>
                    <w:jc w:val="center"/>
                    <w:rPr>
                      <w:rFonts w:eastAsia="宋体"/>
                      <w:color w:val="auto"/>
                      <w:sz w:val="21"/>
                      <w:szCs w:val="21"/>
                      <w:highlight w:val="none"/>
                    </w:rPr>
                  </w:pPr>
                </w:p>
              </w:tc>
              <w:tc>
                <w:tcPr>
                  <w:tcW w:w="1985" w:type="dxa"/>
                  <w:vAlign w:val="center"/>
                </w:tcPr>
                <w:p w14:paraId="77A244DF">
                  <w:pPr>
                    <w:spacing w:after="0"/>
                    <w:jc w:val="center"/>
                    <w:rPr>
                      <w:rFonts w:hint="eastAsia"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监控点处任意一次平均浓度值</w:t>
                  </w:r>
                </w:p>
              </w:tc>
              <w:tc>
                <w:tcPr>
                  <w:tcW w:w="1178" w:type="dxa"/>
                  <w:tcBorders>
                    <w:top w:val="single" w:color="auto" w:sz="4" w:space="0"/>
                    <w:bottom w:val="single" w:color="auto" w:sz="4" w:space="0"/>
                  </w:tcBorders>
                  <w:vAlign w:val="center"/>
                </w:tcPr>
                <w:p w14:paraId="7F5F4C11">
                  <w:pPr>
                    <w:spacing w:after="0"/>
                    <w:jc w:val="center"/>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20mg/m</w:t>
                  </w:r>
                  <w:r>
                    <w:rPr>
                      <w:rFonts w:hint="default" w:ascii="Times New Roman" w:hAnsi="Times New Roman" w:eastAsia="宋体" w:cs="Times New Roman"/>
                      <w:b w:val="0"/>
                      <w:bCs w:val="0"/>
                      <w:color w:val="auto"/>
                      <w:sz w:val="21"/>
                      <w:szCs w:val="21"/>
                      <w:highlight w:val="none"/>
                      <w:u w:val="none"/>
                      <w:vertAlign w:val="superscript"/>
                      <w:lang w:val="en-US" w:eastAsia="zh-CN"/>
                    </w:rPr>
                    <w:t>3</w:t>
                  </w:r>
                </w:p>
              </w:tc>
            </w:tr>
            <w:tr w14:paraId="3A943B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952" w:type="dxa"/>
                  <w:vMerge w:val="continue"/>
                  <w:vAlign w:val="center"/>
                </w:tcPr>
                <w:p w14:paraId="7C74887C">
                  <w:pPr>
                    <w:widowControl w:val="0"/>
                    <w:spacing w:after="0"/>
                    <w:jc w:val="center"/>
                    <w:rPr>
                      <w:rFonts w:eastAsia="宋体"/>
                      <w:color w:val="auto"/>
                      <w:kern w:val="2"/>
                      <w:sz w:val="21"/>
                      <w:szCs w:val="21"/>
                      <w:highlight w:val="none"/>
                    </w:rPr>
                  </w:pPr>
                </w:p>
              </w:tc>
              <w:tc>
                <w:tcPr>
                  <w:tcW w:w="2299" w:type="dxa"/>
                  <w:vAlign w:val="center"/>
                </w:tcPr>
                <w:p w14:paraId="77773D01">
                  <w:pPr>
                    <w:spacing w:after="0"/>
                    <w:jc w:val="center"/>
                    <w:rPr>
                      <w:rFonts w:hint="eastAsia" w:ascii="宋体" w:hAnsi="宋体" w:eastAsia="宋体" w:cs="宋体"/>
                      <w:b w:val="0"/>
                      <w:bCs w:val="0"/>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lang w:val="en-US"/>
                    </w:rPr>
                    <w:t>《河南省重污染天气重点行业应急减排措施制定技术指南（202</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rPr>
                    <w:t>年修订版）》</w:t>
                  </w:r>
                  <w:r>
                    <w:rPr>
                      <w:rFonts w:hint="default" w:ascii="Times New Roman" w:hAnsi="Times New Roman" w:eastAsia="宋体" w:cs="Times New Roman"/>
                      <w:color w:val="auto"/>
                      <w:sz w:val="21"/>
                      <w:szCs w:val="21"/>
                      <w:lang w:val="en-US" w:eastAsia="zh-CN"/>
                    </w:rPr>
                    <w:t>及其补充说明</w:t>
                  </w:r>
                  <w:r>
                    <w:rPr>
                      <w:rFonts w:hint="default" w:ascii="Times New Roman" w:hAnsi="Times New Roman" w:eastAsia="宋体" w:cs="Times New Roman"/>
                      <w:color w:val="auto"/>
                      <w:sz w:val="21"/>
                      <w:szCs w:val="21"/>
                      <w:highlight w:val="none"/>
                      <w:lang w:val="en-US"/>
                    </w:rPr>
                    <w:t>中“塑料制品”企业A级绩效指标</w:t>
                  </w:r>
                </w:p>
              </w:tc>
              <w:tc>
                <w:tcPr>
                  <w:tcW w:w="567" w:type="dxa"/>
                  <w:vAlign w:val="center"/>
                </w:tcPr>
                <w:p w14:paraId="531A4DF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非甲烷总烃</w:t>
                  </w:r>
                </w:p>
              </w:tc>
              <w:tc>
                <w:tcPr>
                  <w:tcW w:w="1985" w:type="dxa"/>
                  <w:vAlign w:val="center"/>
                </w:tcPr>
                <w:p w14:paraId="4D5770FE">
                  <w:pPr>
                    <w:spacing w:after="0"/>
                    <w:jc w:val="center"/>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color w:val="auto"/>
                      <w:kern w:val="0"/>
                      <w:szCs w:val="21"/>
                      <w:highlight w:val="none"/>
                      <w:lang w:bidi="ar"/>
                    </w:rPr>
                    <w:t>有组织</w:t>
                  </w:r>
                </w:p>
              </w:tc>
              <w:tc>
                <w:tcPr>
                  <w:tcW w:w="1178" w:type="dxa"/>
                  <w:tcBorders>
                    <w:top w:val="single" w:color="auto" w:sz="4" w:space="0"/>
                    <w:bottom w:val="single" w:color="auto" w:sz="4" w:space="0"/>
                  </w:tcBorders>
                  <w:vAlign w:val="center"/>
                </w:tcPr>
                <w:p w14:paraId="611426BA">
                  <w:pPr>
                    <w:spacing w:after="0"/>
                    <w:jc w:val="center"/>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20mg/m</w:t>
                  </w:r>
                  <w:r>
                    <w:rPr>
                      <w:rFonts w:hint="default" w:ascii="Times New Roman" w:hAnsi="Times New Roman" w:eastAsia="宋体" w:cs="Times New Roman"/>
                      <w:b w:val="0"/>
                      <w:bCs w:val="0"/>
                      <w:color w:val="auto"/>
                      <w:sz w:val="21"/>
                      <w:szCs w:val="21"/>
                      <w:highlight w:val="none"/>
                      <w:u w:val="none"/>
                      <w:vertAlign w:val="superscript"/>
                      <w:lang w:val="en-US" w:eastAsia="zh-CN"/>
                    </w:rPr>
                    <w:t>3</w:t>
                  </w:r>
                </w:p>
              </w:tc>
            </w:tr>
          </w:tbl>
          <w:p w14:paraId="41528343">
            <w:pPr>
              <w:keepNext/>
              <w:widowControl w:val="0"/>
              <w:adjustRightInd/>
              <w:snapToGrid/>
              <w:spacing w:after="0" w:line="440" w:lineRule="exact"/>
              <w:ind w:firstLine="482" w:firstLineChars="200"/>
              <w:jc w:val="both"/>
              <w:rPr>
                <w:rFonts w:eastAsia="宋体"/>
                <w:b/>
                <w:color w:val="auto"/>
                <w:kern w:val="2"/>
                <w:sz w:val="24"/>
                <w:szCs w:val="20"/>
                <w:highlight w:val="none"/>
              </w:rPr>
            </w:pPr>
            <w:r>
              <w:rPr>
                <w:rFonts w:hint="eastAsia" w:eastAsia="宋体"/>
                <w:b/>
                <w:color w:val="auto"/>
                <w:kern w:val="2"/>
                <w:sz w:val="24"/>
                <w:szCs w:val="20"/>
                <w:highlight w:val="none"/>
                <w:lang w:val="en-US" w:eastAsia="zh-CN"/>
              </w:rPr>
              <w:t>3</w:t>
            </w:r>
            <w:r>
              <w:rPr>
                <w:rFonts w:eastAsia="宋体"/>
                <w:b/>
                <w:color w:val="auto"/>
                <w:kern w:val="2"/>
                <w:sz w:val="24"/>
                <w:szCs w:val="20"/>
                <w:highlight w:val="none"/>
              </w:rPr>
              <w:t>、噪声</w:t>
            </w:r>
          </w:p>
          <w:p w14:paraId="37358D63">
            <w:pPr>
              <w:keepNext/>
              <w:widowControl w:val="0"/>
              <w:adjustRightInd/>
              <w:snapToGrid/>
              <w:spacing w:after="0" w:line="460" w:lineRule="exact"/>
              <w:ind w:firstLine="480" w:firstLineChars="200"/>
              <w:jc w:val="both"/>
              <w:rPr>
                <w:rFonts w:eastAsia="宋体"/>
                <w:color w:val="auto"/>
                <w:kern w:val="2"/>
                <w:sz w:val="24"/>
                <w:szCs w:val="20"/>
                <w:highlight w:val="none"/>
              </w:rPr>
            </w:pPr>
            <w:r>
              <w:rPr>
                <w:rFonts w:eastAsia="宋体"/>
                <w:color w:val="auto"/>
                <w:kern w:val="2"/>
                <w:sz w:val="24"/>
                <w:szCs w:val="20"/>
                <w:highlight w:val="none"/>
              </w:rPr>
              <w:t>运营期厂界噪声执行《工业企业厂界环境噪声排放标准》（GB12348-2008）</w:t>
            </w:r>
            <w:r>
              <w:rPr>
                <w:rFonts w:hint="eastAsia" w:eastAsia="宋体"/>
                <w:color w:val="auto"/>
                <w:kern w:val="2"/>
                <w:sz w:val="24"/>
                <w:szCs w:val="20"/>
                <w:highlight w:val="none"/>
              </w:rPr>
              <w:t>2</w:t>
            </w:r>
            <w:r>
              <w:rPr>
                <w:rFonts w:eastAsia="宋体"/>
                <w:color w:val="auto"/>
                <w:kern w:val="2"/>
                <w:sz w:val="24"/>
                <w:szCs w:val="20"/>
                <w:highlight w:val="none"/>
              </w:rPr>
              <w:t>类标准。具体标准值见表</w:t>
            </w:r>
            <w:r>
              <w:rPr>
                <w:rFonts w:hint="eastAsia" w:eastAsia="宋体"/>
                <w:color w:val="auto"/>
                <w:kern w:val="2"/>
                <w:sz w:val="24"/>
                <w:szCs w:val="20"/>
                <w:highlight w:val="none"/>
              </w:rPr>
              <w:t>2</w:t>
            </w:r>
            <w:r>
              <w:rPr>
                <w:rFonts w:eastAsia="宋体"/>
                <w:color w:val="auto"/>
                <w:kern w:val="2"/>
                <w:sz w:val="24"/>
                <w:szCs w:val="20"/>
                <w:highlight w:val="none"/>
              </w:rPr>
              <w:t>。</w:t>
            </w:r>
          </w:p>
          <w:p w14:paraId="4C2389B5">
            <w:pPr>
              <w:spacing w:after="0" w:line="480" w:lineRule="exact"/>
              <w:ind w:firstLine="480" w:firstLineChars="200"/>
              <w:textAlignment w:val="baseline"/>
              <w:rPr>
                <w:rFonts w:eastAsia="黑体"/>
                <w:color w:val="auto"/>
                <w:sz w:val="24"/>
                <w:szCs w:val="21"/>
                <w:highlight w:val="none"/>
              </w:rPr>
            </w:pPr>
            <w:bookmarkStart w:id="7" w:name="_Ref307476589"/>
            <w:r>
              <w:rPr>
                <w:rFonts w:eastAsia="黑体"/>
                <w:color w:val="auto"/>
                <w:sz w:val="24"/>
                <w:szCs w:val="21"/>
                <w:highlight w:val="none"/>
              </w:rPr>
              <w:t>表</w:t>
            </w:r>
            <w:bookmarkEnd w:id="7"/>
            <w:r>
              <w:rPr>
                <w:rFonts w:hint="eastAsia" w:eastAsia="黑体"/>
                <w:color w:val="auto"/>
                <w:sz w:val="24"/>
                <w:szCs w:val="21"/>
                <w:highlight w:val="none"/>
                <w:lang w:val="en-US" w:eastAsia="zh-CN"/>
              </w:rPr>
              <w:t>3</w:t>
            </w:r>
            <w:r>
              <w:rPr>
                <w:rFonts w:eastAsia="黑体"/>
                <w:color w:val="auto"/>
                <w:sz w:val="24"/>
                <w:szCs w:val="21"/>
                <w:highlight w:val="none"/>
              </w:rPr>
              <w:t xml:space="preserve">         环境噪声排放标准  </w:t>
            </w:r>
            <w:r>
              <w:rPr>
                <w:rFonts w:hint="eastAsia" w:eastAsia="黑体"/>
                <w:color w:val="auto"/>
                <w:sz w:val="24"/>
                <w:szCs w:val="21"/>
                <w:highlight w:val="none"/>
              </w:rPr>
              <w:t xml:space="preserve"> </w:t>
            </w:r>
            <w:r>
              <w:rPr>
                <w:rFonts w:eastAsia="黑体"/>
                <w:color w:val="auto"/>
                <w:sz w:val="24"/>
                <w:szCs w:val="21"/>
                <w:highlight w:val="none"/>
              </w:rPr>
              <w:t xml:space="preserve"> 单位：dB(A)</w:t>
            </w:r>
          </w:p>
          <w:tbl>
            <w:tblPr>
              <w:tblStyle w:val="18"/>
              <w:tblW w:w="0" w:type="auto"/>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02"/>
              <w:gridCol w:w="2145"/>
              <w:gridCol w:w="2534"/>
            </w:tblGrid>
            <w:tr w14:paraId="065DB4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2" w:type="dxa"/>
                  <w:vAlign w:val="center"/>
                </w:tcPr>
                <w:p w14:paraId="0A66BE99">
                  <w:pPr>
                    <w:widowControl w:val="0"/>
                    <w:adjustRightInd/>
                    <w:snapToGrid/>
                    <w:spacing w:after="0"/>
                    <w:jc w:val="center"/>
                    <w:rPr>
                      <w:rFonts w:eastAsia="宋体"/>
                      <w:b/>
                      <w:color w:val="auto"/>
                      <w:kern w:val="2"/>
                      <w:sz w:val="21"/>
                      <w:szCs w:val="21"/>
                      <w:highlight w:val="none"/>
                    </w:rPr>
                  </w:pPr>
                  <w:r>
                    <w:rPr>
                      <w:rFonts w:eastAsia="宋体"/>
                      <w:b/>
                      <w:color w:val="auto"/>
                      <w:kern w:val="2"/>
                      <w:sz w:val="21"/>
                      <w:szCs w:val="21"/>
                      <w:highlight w:val="none"/>
                    </w:rPr>
                    <w:t>类别</w:t>
                  </w:r>
                </w:p>
              </w:tc>
              <w:tc>
                <w:tcPr>
                  <w:tcW w:w="2145" w:type="dxa"/>
                  <w:vAlign w:val="center"/>
                </w:tcPr>
                <w:p w14:paraId="22AA9EE5">
                  <w:pPr>
                    <w:widowControl w:val="0"/>
                    <w:adjustRightInd/>
                    <w:snapToGrid/>
                    <w:spacing w:after="0"/>
                    <w:jc w:val="center"/>
                    <w:rPr>
                      <w:rFonts w:eastAsia="宋体"/>
                      <w:b/>
                      <w:color w:val="auto"/>
                      <w:kern w:val="2"/>
                      <w:sz w:val="21"/>
                      <w:szCs w:val="21"/>
                      <w:highlight w:val="none"/>
                    </w:rPr>
                  </w:pPr>
                  <w:r>
                    <w:rPr>
                      <w:rFonts w:eastAsia="宋体"/>
                      <w:b/>
                      <w:color w:val="auto"/>
                      <w:kern w:val="2"/>
                      <w:sz w:val="21"/>
                      <w:szCs w:val="21"/>
                      <w:highlight w:val="none"/>
                    </w:rPr>
                    <w:t>昼间</w:t>
                  </w:r>
                </w:p>
              </w:tc>
              <w:tc>
                <w:tcPr>
                  <w:tcW w:w="2534" w:type="dxa"/>
                  <w:vAlign w:val="center"/>
                </w:tcPr>
                <w:p w14:paraId="069E6A39">
                  <w:pPr>
                    <w:widowControl w:val="0"/>
                    <w:adjustRightInd/>
                    <w:snapToGrid/>
                    <w:spacing w:after="0"/>
                    <w:jc w:val="center"/>
                    <w:rPr>
                      <w:rFonts w:eastAsia="宋体"/>
                      <w:b/>
                      <w:color w:val="auto"/>
                      <w:kern w:val="2"/>
                      <w:sz w:val="21"/>
                      <w:szCs w:val="21"/>
                      <w:highlight w:val="none"/>
                    </w:rPr>
                  </w:pPr>
                  <w:r>
                    <w:rPr>
                      <w:rFonts w:hint="eastAsia" w:eastAsia="宋体"/>
                      <w:b/>
                      <w:color w:val="auto"/>
                      <w:kern w:val="2"/>
                      <w:sz w:val="21"/>
                      <w:szCs w:val="21"/>
                      <w:highlight w:val="none"/>
                    </w:rPr>
                    <w:t>夜间</w:t>
                  </w:r>
                </w:p>
              </w:tc>
            </w:tr>
            <w:tr w14:paraId="0D2EB7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2" w:type="dxa"/>
                  <w:vAlign w:val="center"/>
                </w:tcPr>
                <w:p w14:paraId="53E510CA">
                  <w:pPr>
                    <w:widowControl w:val="0"/>
                    <w:adjustRightInd/>
                    <w:snapToGrid/>
                    <w:spacing w:after="0"/>
                    <w:jc w:val="center"/>
                    <w:rPr>
                      <w:rFonts w:eastAsia="宋体"/>
                      <w:color w:val="auto"/>
                      <w:kern w:val="2"/>
                      <w:sz w:val="21"/>
                      <w:szCs w:val="21"/>
                      <w:highlight w:val="none"/>
                    </w:rPr>
                  </w:pPr>
                  <w:r>
                    <w:rPr>
                      <w:rFonts w:hint="eastAsia" w:eastAsia="宋体"/>
                      <w:color w:val="auto"/>
                      <w:kern w:val="2"/>
                      <w:sz w:val="21"/>
                      <w:szCs w:val="21"/>
                      <w:highlight w:val="none"/>
                    </w:rPr>
                    <w:t>2</w:t>
                  </w:r>
                  <w:r>
                    <w:rPr>
                      <w:rFonts w:eastAsia="宋体"/>
                      <w:color w:val="auto"/>
                      <w:kern w:val="2"/>
                      <w:sz w:val="21"/>
                      <w:szCs w:val="21"/>
                      <w:highlight w:val="none"/>
                    </w:rPr>
                    <w:t>类</w:t>
                  </w:r>
                </w:p>
              </w:tc>
              <w:tc>
                <w:tcPr>
                  <w:tcW w:w="2145" w:type="dxa"/>
                  <w:vAlign w:val="center"/>
                </w:tcPr>
                <w:p w14:paraId="15C207BA">
                  <w:pPr>
                    <w:widowControl w:val="0"/>
                    <w:adjustRightInd/>
                    <w:snapToGrid/>
                    <w:spacing w:after="0"/>
                    <w:jc w:val="center"/>
                    <w:rPr>
                      <w:rFonts w:eastAsia="宋体"/>
                      <w:color w:val="auto"/>
                      <w:kern w:val="2"/>
                      <w:sz w:val="21"/>
                      <w:szCs w:val="21"/>
                      <w:highlight w:val="none"/>
                    </w:rPr>
                  </w:pPr>
                  <w:r>
                    <w:rPr>
                      <w:rFonts w:eastAsia="宋体"/>
                      <w:color w:val="auto"/>
                      <w:kern w:val="2"/>
                      <w:sz w:val="21"/>
                      <w:szCs w:val="21"/>
                      <w:highlight w:val="none"/>
                    </w:rPr>
                    <w:t>6</w:t>
                  </w:r>
                  <w:r>
                    <w:rPr>
                      <w:rFonts w:hint="eastAsia" w:eastAsia="宋体"/>
                      <w:color w:val="auto"/>
                      <w:kern w:val="2"/>
                      <w:sz w:val="21"/>
                      <w:szCs w:val="21"/>
                      <w:highlight w:val="none"/>
                    </w:rPr>
                    <w:t>0</w:t>
                  </w:r>
                </w:p>
              </w:tc>
              <w:tc>
                <w:tcPr>
                  <w:tcW w:w="2534" w:type="dxa"/>
                  <w:vAlign w:val="center"/>
                </w:tcPr>
                <w:p w14:paraId="4FAF2517">
                  <w:pPr>
                    <w:widowControl w:val="0"/>
                    <w:spacing w:after="0"/>
                    <w:jc w:val="center"/>
                    <w:rPr>
                      <w:rFonts w:eastAsia="宋体"/>
                      <w:color w:val="auto"/>
                      <w:kern w:val="2"/>
                      <w:sz w:val="21"/>
                      <w:szCs w:val="21"/>
                      <w:highlight w:val="none"/>
                    </w:rPr>
                  </w:pPr>
                  <w:r>
                    <w:rPr>
                      <w:rFonts w:hint="eastAsia" w:eastAsia="宋体"/>
                      <w:color w:val="auto"/>
                      <w:kern w:val="2"/>
                      <w:sz w:val="21"/>
                      <w:szCs w:val="21"/>
                      <w:highlight w:val="none"/>
                    </w:rPr>
                    <w:t>50</w:t>
                  </w:r>
                </w:p>
              </w:tc>
            </w:tr>
          </w:tbl>
          <w:p w14:paraId="6BBAF3F1">
            <w:pPr>
              <w:keepNext/>
              <w:widowControl w:val="0"/>
              <w:adjustRightInd/>
              <w:snapToGrid/>
              <w:spacing w:after="0" w:line="440" w:lineRule="exact"/>
              <w:ind w:firstLine="482" w:firstLineChars="200"/>
              <w:jc w:val="both"/>
              <w:rPr>
                <w:rFonts w:eastAsia="宋体"/>
                <w:b/>
                <w:color w:val="auto"/>
                <w:kern w:val="2"/>
                <w:sz w:val="24"/>
                <w:szCs w:val="20"/>
                <w:highlight w:val="none"/>
              </w:rPr>
            </w:pPr>
            <w:r>
              <w:rPr>
                <w:rFonts w:hint="eastAsia" w:eastAsia="宋体"/>
                <w:b/>
                <w:color w:val="auto"/>
                <w:kern w:val="2"/>
                <w:sz w:val="24"/>
                <w:szCs w:val="20"/>
                <w:highlight w:val="none"/>
                <w:lang w:val="en-US" w:eastAsia="zh-CN"/>
              </w:rPr>
              <w:t>4</w:t>
            </w:r>
            <w:r>
              <w:rPr>
                <w:rFonts w:eastAsia="宋体"/>
                <w:b/>
                <w:color w:val="auto"/>
                <w:kern w:val="2"/>
                <w:sz w:val="24"/>
                <w:szCs w:val="20"/>
                <w:highlight w:val="none"/>
              </w:rPr>
              <w:t>、</w:t>
            </w:r>
            <w:r>
              <w:rPr>
                <w:rFonts w:hint="eastAsia" w:eastAsia="宋体"/>
                <w:b/>
                <w:color w:val="auto"/>
                <w:kern w:val="2"/>
                <w:sz w:val="24"/>
                <w:szCs w:val="20"/>
                <w:highlight w:val="none"/>
              </w:rPr>
              <w:t>固废</w:t>
            </w:r>
          </w:p>
          <w:p w14:paraId="5BD2C189">
            <w:pPr>
              <w:keepNext/>
              <w:widowControl w:val="0"/>
              <w:adjustRightInd/>
              <w:snapToGrid/>
              <w:spacing w:after="0" w:line="440" w:lineRule="exact"/>
              <w:ind w:firstLine="480" w:firstLineChars="200"/>
              <w:jc w:val="both"/>
              <w:rPr>
                <w:rFonts w:eastAsia="宋体"/>
                <w:b/>
                <w:color w:val="auto"/>
                <w:kern w:val="2"/>
                <w:sz w:val="24"/>
                <w:szCs w:val="20"/>
                <w:highlight w:val="none"/>
              </w:rPr>
            </w:pPr>
            <w:r>
              <w:rPr>
                <w:rFonts w:eastAsia="宋体"/>
                <w:color w:val="auto"/>
                <w:kern w:val="2"/>
                <w:sz w:val="24"/>
                <w:szCs w:val="20"/>
                <w:highlight w:val="none"/>
              </w:rPr>
              <w:t>运营期</w:t>
            </w:r>
            <w:r>
              <w:rPr>
                <w:rFonts w:hint="eastAsia" w:eastAsia="宋体"/>
                <w:color w:val="auto"/>
                <w:kern w:val="2"/>
                <w:sz w:val="24"/>
                <w:szCs w:val="20"/>
                <w:highlight w:val="none"/>
              </w:rPr>
              <w:t>产生的固体废物，固废贮存</w:t>
            </w:r>
            <w:r>
              <w:rPr>
                <w:rFonts w:eastAsia="宋体"/>
                <w:color w:val="auto"/>
                <w:kern w:val="2"/>
                <w:sz w:val="24"/>
                <w:szCs w:val="20"/>
                <w:highlight w:val="none"/>
              </w:rPr>
              <w:t>执行</w:t>
            </w:r>
            <w:r>
              <w:rPr>
                <w:rFonts w:hint="eastAsia" w:eastAsia="宋体"/>
                <w:color w:val="auto"/>
                <w:kern w:val="2"/>
                <w:sz w:val="24"/>
                <w:szCs w:val="20"/>
                <w:highlight w:val="none"/>
              </w:rPr>
              <w:t>标准</w:t>
            </w:r>
            <w:r>
              <w:rPr>
                <w:rFonts w:eastAsia="宋体"/>
                <w:color w:val="auto"/>
                <w:kern w:val="2"/>
                <w:sz w:val="24"/>
                <w:szCs w:val="20"/>
                <w:highlight w:val="none"/>
              </w:rPr>
              <w:t>见</w:t>
            </w:r>
            <w:r>
              <w:rPr>
                <w:rFonts w:hint="eastAsia" w:eastAsia="宋体"/>
                <w:color w:val="auto"/>
                <w:kern w:val="2"/>
                <w:sz w:val="24"/>
                <w:szCs w:val="20"/>
                <w:highlight w:val="none"/>
              </w:rPr>
              <w:t>下</w:t>
            </w:r>
            <w:r>
              <w:rPr>
                <w:rFonts w:eastAsia="宋体"/>
                <w:color w:val="auto"/>
                <w:kern w:val="2"/>
                <w:sz w:val="24"/>
                <w:szCs w:val="20"/>
                <w:highlight w:val="none"/>
              </w:rPr>
              <w:t>表。</w:t>
            </w:r>
          </w:p>
          <w:p w14:paraId="2ADE9B8F">
            <w:pPr>
              <w:spacing w:after="0" w:line="480" w:lineRule="exact"/>
              <w:ind w:firstLine="480" w:firstLineChars="200"/>
              <w:textAlignment w:val="baseline"/>
              <w:rPr>
                <w:rFonts w:eastAsia="黑体"/>
                <w:color w:val="auto"/>
                <w:sz w:val="24"/>
                <w:szCs w:val="21"/>
                <w:highlight w:val="none"/>
              </w:rPr>
            </w:pPr>
            <w:r>
              <w:rPr>
                <w:rFonts w:eastAsia="黑体"/>
                <w:color w:val="auto"/>
                <w:sz w:val="24"/>
                <w:szCs w:val="21"/>
                <w:highlight w:val="none"/>
              </w:rPr>
              <w:t>表</w:t>
            </w:r>
            <w:r>
              <w:rPr>
                <w:rFonts w:hint="eastAsia" w:eastAsia="黑体"/>
                <w:color w:val="auto"/>
                <w:sz w:val="24"/>
                <w:szCs w:val="21"/>
                <w:highlight w:val="none"/>
                <w:lang w:val="en-US" w:eastAsia="zh-CN"/>
              </w:rPr>
              <w:t>4</w:t>
            </w:r>
            <w:r>
              <w:rPr>
                <w:rFonts w:eastAsia="黑体"/>
                <w:color w:val="auto"/>
                <w:sz w:val="24"/>
                <w:szCs w:val="21"/>
                <w:highlight w:val="none"/>
              </w:rPr>
              <w:t xml:space="preserve">         </w:t>
            </w:r>
            <w:r>
              <w:rPr>
                <w:rFonts w:hint="eastAsia" w:eastAsia="黑体"/>
                <w:color w:val="auto"/>
                <w:sz w:val="24"/>
                <w:szCs w:val="21"/>
                <w:highlight w:val="none"/>
              </w:rPr>
              <w:t xml:space="preserve">        </w:t>
            </w:r>
            <w:r>
              <w:rPr>
                <w:rFonts w:hint="eastAsia" w:eastAsia="宋体"/>
                <w:b/>
                <w:color w:val="auto"/>
                <w:kern w:val="2"/>
                <w:sz w:val="24"/>
                <w:szCs w:val="20"/>
                <w:highlight w:val="none"/>
              </w:rPr>
              <w:t>固废贮存</w:t>
            </w:r>
            <w:r>
              <w:rPr>
                <w:rFonts w:eastAsia="黑体"/>
                <w:color w:val="auto"/>
                <w:sz w:val="24"/>
                <w:szCs w:val="21"/>
                <w:highlight w:val="none"/>
              </w:rPr>
              <w:t xml:space="preserve">标准  </w:t>
            </w:r>
            <w:r>
              <w:rPr>
                <w:rFonts w:hint="eastAsia" w:eastAsia="黑体"/>
                <w:color w:val="auto"/>
                <w:sz w:val="24"/>
                <w:szCs w:val="21"/>
                <w:highlight w:val="none"/>
              </w:rPr>
              <w:t xml:space="preserve"> </w:t>
            </w:r>
          </w:p>
          <w:tbl>
            <w:tblPr>
              <w:tblStyle w:val="18"/>
              <w:tblW w:w="0" w:type="auto"/>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52"/>
              <w:gridCol w:w="5429"/>
            </w:tblGrid>
            <w:tr w14:paraId="29D3DD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2" w:type="dxa"/>
                  <w:vAlign w:val="center"/>
                </w:tcPr>
                <w:p w14:paraId="39028ACD">
                  <w:pPr>
                    <w:widowControl w:val="0"/>
                    <w:adjustRightInd/>
                    <w:snapToGrid/>
                    <w:spacing w:after="0"/>
                    <w:jc w:val="center"/>
                    <w:rPr>
                      <w:rFonts w:eastAsia="宋体"/>
                      <w:b/>
                      <w:color w:val="auto"/>
                      <w:kern w:val="2"/>
                      <w:sz w:val="21"/>
                      <w:szCs w:val="21"/>
                      <w:highlight w:val="none"/>
                    </w:rPr>
                  </w:pPr>
                  <w:r>
                    <w:rPr>
                      <w:rFonts w:eastAsia="宋体"/>
                      <w:b/>
                      <w:color w:val="auto"/>
                      <w:kern w:val="2"/>
                      <w:sz w:val="21"/>
                      <w:szCs w:val="21"/>
                      <w:highlight w:val="none"/>
                    </w:rPr>
                    <w:t>类别</w:t>
                  </w:r>
                </w:p>
              </w:tc>
              <w:tc>
                <w:tcPr>
                  <w:tcW w:w="5429" w:type="dxa"/>
                  <w:vAlign w:val="center"/>
                </w:tcPr>
                <w:p w14:paraId="08E3E4F9">
                  <w:pPr>
                    <w:widowControl w:val="0"/>
                    <w:adjustRightInd/>
                    <w:snapToGrid/>
                    <w:spacing w:after="0"/>
                    <w:jc w:val="center"/>
                    <w:rPr>
                      <w:rFonts w:eastAsia="宋体"/>
                      <w:b/>
                      <w:color w:val="auto"/>
                      <w:kern w:val="2"/>
                      <w:sz w:val="21"/>
                      <w:szCs w:val="21"/>
                      <w:highlight w:val="none"/>
                    </w:rPr>
                  </w:pPr>
                  <w:r>
                    <w:rPr>
                      <w:rFonts w:hint="eastAsia" w:eastAsia="宋体"/>
                      <w:b/>
                      <w:color w:val="auto"/>
                      <w:kern w:val="2"/>
                      <w:sz w:val="21"/>
                      <w:szCs w:val="21"/>
                      <w:highlight w:val="none"/>
                    </w:rPr>
                    <w:t>执行</w:t>
                  </w:r>
                  <w:r>
                    <w:rPr>
                      <w:rFonts w:eastAsia="宋体"/>
                      <w:b/>
                      <w:color w:val="auto"/>
                      <w:kern w:val="2"/>
                      <w:sz w:val="21"/>
                      <w:szCs w:val="21"/>
                      <w:highlight w:val="none"/>
                    </w:rPr>
                    <w:t>标准</w:t>
                  </w:r>
                </w:p>
              </w:tc>
            </w:tr>
            <w:tr w14:paraId="28E2CE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2" w:type="dxa"/>
                  <w:vAlign w:val="center"/>
                </w:tcPr>
                <w:p w14:paraId="3FD61493">
                  <w:pPr>
                    <w:widowControl w:val="0"/>
                    <w:adjustRightInd/>
                    <w:snapToGrid/>
                    <w:spacing w:after="0"/>
                    <w:jc w:val="center"/>
                    <w:rPr>
                      <w:rFonts w:eastAsia="宋体"/>
                      <w:color w:val="auto"/>
                      <w:kern w:val="2"/>
                      <w:sz w:val="21"/>
                      <w:szCs w:val="21"/>
                      <w:highlight w:val="none"/>
                    </w:rPr>
                  </w:pPr>
                  <w:r>
                    <w:rPr>
                      <w:rFonts w:hint="eastAsia" w:eastAsia="宋体"/>
                      <w:color w:val="auto"/>
                      <w:kern w:val="2"/>
                      <w:sz w:val="21"/>
                      <w:szCs w:val="21"/>
                      <w:highlight w:val="none"/>
                    </w:rPr>
                    <w:t>一般固废</w:t>
                  </w:r>
                </w:p>
              </w:tc>
              <w:tc>
                <w:tcPr>
                  <w:tcW w:w="5429" w:type="dxa"/>
                  <w:vAlign w:val="center"/>
                </w:tcPr>
                <w:p w14:paraId="3991C942">
                  <w:pPr>
                    <w:widowControl w:val="0"/>
                    <w:spacing w:after="0"/>
                    <w:jc w:val="center"/>
                    <w:rPr>
                      <w:rFonts w:eastAsia="宋体"/>
                      <w:color w:val="auto"/>
                      <w:kern w:val="2"/>
                      <w:sz w:val="21"/>
                      <w:szCs w:val="21"/>
                      <w:highlight w:val="none"/>
                    </w:rPr>
                  </w:pPr>
                  <w:r>
                    <w:rPr>
                      <w:rFonts w:hint="eastAsia" w:eastAsia="宋体"/>
                      <w:color w:val="auto"/>
                      <w:kern w:val="2"/>
                      <w:sz w:val="21"/>
                      <w:szCs w:val="21"/>
                      <w:highlight w:val="none"/>
                    </w:rPr>
                    <w:t>《一般工业固体废物贮存和填埋污染控制标准》（GB18599-2020）的防渗漏、防雨淋、防扬尘的要求；</w:t>
                  </w:r>
                </w:p>
              </w:tc>
            </w:tr>
            <w:tr w14:paraId="09725C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2" w:type="dxa"/>
                  <w:vAlign w:val="center"/>
                </w:tcPr>
                <w:p w14:paraId="7DBBC81B">
                  <w:pPr>
                    <w:widowControl w:val="0"/>
                    <w:adjustRightInd/>
                    <w:snapToGrid/>
                    <w:spacing w:after="0"/>
                    <w:jc w:val="center"/>
                    <w:rPr>
                      <w:rFonts w:eastAsia="宋体"/>
                      <w:color w:val="auto"/>
                      <w:kern w:val="2"/>
                      <w:sz w:val="21"/>
                      <w:szCs w:val="21"/>
                      <w:highlight w:val="none"/>
                    </w:rPr>
                  </w:pPr>
                  <w:r>
                    <w:rPr>
                      <w:rFonts w:hint="eastAsia" w:eastAsia="宋体"/>
                      <w:color w:val="auto"/>
                      <w:kern w:val="2"/>
                      <w:sz w:val="21"/>
                      <w:szCs w:val="21"/>
                      <w:highlight w:val="none"/>
                    </w:rPr>
                    <w:t>危险废物</w:t>
                  </w:r>
                </w:p>
              </w:tc>
              <w:tc>
                <w:tcPr>
                  <w:tcW w:w="5429" w:type="dxa"/>
                  <w:vAlign w:val="center"/>
                </w:tcPr>
                <w:p w14:paraId="27F8A8D9">
                  <w:pPr>
                    <w:widowControl w:val="0"/>
                    <w:spacing w:after="0"/>
                    <w:jc w:val="center"/>
                    <w:rPr>
                      <w:rFonts w:eastAsia="宋体"/>
                      <w:color w:val="auto"/>
                      <w:kern w:val="2"/>
                      <w:sz w:val="21"/>
                      <w:szCs w:val="21"/>
                      <w:highlight w:val="none"/>
                    </w:rPr>
                  </w:pPr>
                  <w:r>
                    <w:rPr>
                      <w:rFonts w:hint="eastAsia" w:eastAsia="宋体"/>
                      <w:color w:val="auto"/>
                      <w:kern w:val="2"/>
                      <w:sz w:val="21"/>
                      <w:szCs w:val="21"/>
                      <w:highlight w:val="none"/>
                    </w:rPr>
                    <w:t>《危险废物贮存污染控制标准》（GB18597-2023）</w:t>
                  </w:r>
                </w:p>
              </w:tc>
            </w:tr>
          </w:tbl>
          <w:p w14:paraId="201069D0">
            <w:pPr>
              <w:spacing w:after="0"/>
              <w:rPr>
                <w:rFonts w:eastAsia="宋体"/>
                <w:color w:val="auto"/>
                <w:sz w:val="21"/>
                <w:szCs w:val="21"/>
                <w:highlight w:val="none"/>
              </w:rPr>
            </w:pPr>
          </w:p>
          <w:p w14:paraId="0AFC156F">
            <w:pPr>
              <w:spacing w:after="0"/>
              <w:rPr>
                <w:rFonts w:eastAsia="宋体"/>
                <w:color w:val="auto"/>
                <w:sz w:val="21"/>
                <w:szCs w:val="21"/>
                <w:highlight w:val="none"/>
              </w:rPr>
            </w:pPr>
          </w:p>
          <w:p w14:paraId="368B6063">
            <w:pPr>
              <w:spacing w:after="0"/>
              <w:rPr>
                <w:rFonts w:eastAsia="宋体"/>
                <w:color w:val="auto"/>
                <w:sz w:val="21"/>
                <w:szCs w:val="21"/>
                <w:highlight w:val="none"/>
              </w:rPr>
            </w:pPr>
          </w:p>
          <w:p w14:paraId="66E201C5">
            <w:pPr>
              <w:spacing w:after="0"/>
              <w:rPr>
                <w:rFonts w:eastAsia="宋体"/>
                <w:color w:val="auto"/>
                <w:sz w:val="21"/>
                <w:szCs w:val="21"/>
                <w:highlight w:val="none"/>
              </w:rPr>
            </w:pPr>
          </w:p>
          <w:p w14:paraId="2582AB2E">
            <w:pPr>
              <w:spacing w:after="0"/>
              <w:rPr>
                <w:rFonts w:eastAsia="宋体"/>
                <w:color w:val="auto"/>
                <w:sz w:val="21"/>
                <w:szCs w:val="21"/>
                <w:highlight w:val="none"/>
              </w:rPr>
            </w:pPr>
          </w:p>
          <w:p w14:paraId="23DCB787">
            <w:pPr>
              <w:spacing w:after="0"/>
              <w:rPr>
                <w:rFonts w:eastAsia="宋体"/>
                <w:color w:val="auto"/>
                <w:sz w:val="21"/>
                <w:szCs w:val="21"/>
                <w:highlight w:val="none"/>
              </w:rPr>
            </w:pPr>
          </w:p>
          <w:p w14:paraId="014FDCC6">
            <w:pPr>
              <w:spacing w:after="0"/>
              <w:rPr>
                <w:rFonts w:eastAsia="宋体"/>
                <w:color w:val="auto"/>
                <w:sz w:val="21"/>
                <w:szCs w:val="21"/>
                <w:highlight w:val="none"/>
              </w:rPr>
            </w:pPr>
          </w:p>
          <w:p w14:paraId="6250A242">
            <w:pPr>
              <w:spacing w:after="0"/>
              <w:rPr>
                <w:rFonts w:eastAsia="宋体"/>
                <w:color w:val="auto"/>
                <w:sz w:val="21"/>
                <w:szCs w:val="21"/>
                <w:highlight w:val="none"/>
              </w:rPr>
            </w:pPr>
          </w:p>
          <w:p w14:paraId="6B9F24FD">
            <w:pPr>
              <w:spacing w:after="0"/>
              <w:rPr>
                <w:rFonts w:eastAsia="宋体"/>
                <w:color w:val="auto"/>
                <w:sz w:val="21"/>
                <w:szCs w:val="21"/>
                <w:highlight w:val="none"/>
              </w:rPr>
            </w:pPr>
          </w:p>
          <w:p w14:paraId="633582E7">
            <w:pPr>
              <w:spacing w:after="0"/>
              <w:rPr>
                <w:rFonts w:eastAsia="宋体"/>
                <w:color w:val="auto"/>
                <w:sz w:val="21"/>
                <w:szCs w:val="21"/>
                <w:highlight w:val="none"/>
              </w:rPr>
            </w:pPr>
          </w:p>
          <w:p w14:paraId="6EBB26DB">
            <w:pPr>
              <w:spacing w:after="0"/>
              <w:rPr>
                <w:rFonts w:eastAsia="宋体"/>
                <w:color w:val="auto"/>
                <w:sz w:val="21"/>
                <w:szCs w:val="21"/>
                <w:highlight w:val="none"/>
              </w:rPr>
            </w:pPr>
          </w:p>
          <w:p w14:paraId="4B29620C">
            <w:pPr>
              <w:spacing w:after="0"/>
              <w:rPr>
                <w:rFonts w:eastAsia="宋体"/>
                <w:color w:val="auto"/>
                <w:sz w:val="21"/>
                <w:szCs w:val="21"/>
                <w:highlight w:val="none"/>
              </w:rPr>
            </w:pPr>
          </w:p>
          <w:p w14:paraId="48A3D010">
            <w:pPr>
              <w:spacing w:after="0"/>
              <w:rPr>
                <w:rFonts w:eastAsia="宋体"/>
                <w:color w:val="auto"/>
                <w:sz w:val="21"/>
                <w:szCs w:val="21"/>
                <w:highlight w:val="none"/>
              </w:rPr>
            </w:pPr>
          </w:p>
          <w:p w14:paraId="5EEFAC0B">
            <w:pPr>
              <w:spacing w:after="0"/>
              <w:rPr>
                <w:rFonts w:eastAsia="宋体"/>
                <w:color w:val="auto"/>
                <w:sz w:val="21"/>
                <w:szCs w:val="21"/>
                <w:highlight w:val="none"/>
              </w:rPr>
            </w:pPr>
          </w:p>
          <w:p w14:paraId="4EC80828">
            <w:pPr>
              <w:spacing w:after="0"/>
              <w:rPr>
                <w:rFonts w:eastAsia="宋体"/>
                <w:color w:val="auto"/>
                <w:sz w:val="21"/>
                <w:szCs w:val="21"/>
                <w:highlight w:val="none"/>
              </w:rPr>
            </w:pPr>
          </w:p>
        </w:tc>
      </w:tr>
    </w:tbl>
    <w:p w14:paraId="3CFFB96F">
      <w:pPr>
        <w:spacing w:after="0" w:line="440" w:lineRule="exact"/>
        <w:rPr>
          <w:rFonts w:eastAsia="仿宋_GB2312"/>
          <w:b/>
          <w:color w:val="auto"/>
          <w:sz w:val="21"/>
          <w:szCs w:val="21"/>
          <w:highlight w:val="yellow"/>
        </w:rPr>
        <w:sectPr>
          <w:footerReference r:id="rId5"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p>
    <w:p w14:paraId="224F0AAC">
      <w:pPr>
        <w:adjustRightInd/>
        <w:snapToGrid/>
        <w:spacing w:after="0"/>
        <w:rPr>
          <w:rFonts w:eastAsia="仿宋_GB2312"/>
          <w:b/>
          <w:color w:val="auto"/>
          <w:sz w:val="21"/>
          <w:szCs w:val="21"/>
        </w:rPr>
      </w:pPr>
      <w:r>
        <w:rPr>
          <w:rFonts w:eastAsia="仿宋_GB2312"/>
          <w:b/>
          <w:color w:val="auto"/>
          <w:sz w:val="21"/>
          <w:szCs w:val="21"/>
        </w:rPr>
        <w:t>表二</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0CC14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5" w:hRule="atLeast"/>
          <w:jc w:val="center"/>
        </w:trPr>
        <w:tc>
          <w:tcPr>
            <w:tcW w:w="13948" w:type="dxa"/>
            <w:vAlign w:val="center"/>
          </w:tcPr>
          <w:p w14:paraId="0F9F0D1C">
            <w:pPr>
              <w:spacing w:after="0" w:line="460" w:lineRule="exact"/>
              <w:ind w:firstLine="482"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1、项目情况</w:t>
            </w:r>
          </w:p>
          <w:p w14:paraId="1D6F234A">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河南</w:t>
            </w:r>
            <w:r>
              <w:rPr>
                <w:rFonts w:hint="default" w:ascii="Times New Roman" w:hAnsi="Times New Roman" w:eastAsia="宋体" w:cs="Times New Roman"/>
                <w:color w:val="auto"/>
                <w:sz w:val="24"/>
                <w:szCs w:val="24"/>
                <w:lang w:val="en-US" w:eastAsia="zh-CN"/>
              </w:rPr>
              <w:t>省养乐奇生物科技有限责任公司位于</w:t>
            </w:r>
            <w:r>
              <w:rPr>
                <w:rFonts w:hint="default" w:ascii="Times New Roman" w:hAnsi="Times New Roman" w:eastAsia="宋体" w:cs="Times New Roman"/>
                <w:color w:val="auto"/>
                <w:sz w:val="24"/>
                <w:szCs w:val="24"/>
                <w:highlight w:val="none"/>
                <w:lang w:val="en-US" w:eastAsia="zh-CN"/>
              </w:rPr>
              <w:t>新乡市延津县先进制造业开发区南区创业园</w:t>
            </w:r>
            <w:r>
              <w:rPr>
                <w:rFonts w:hint="default" w:ascii="Times New Roman" w:hAnsi="Times New Roman" w:eastAsia="宋体" w:cs="Times New Roman"/>
                <w:color w:val="auto"/>
                <w:sz w:val="24"/>
                <w:szCs w:val="24"/>
                <w:lang w:val="en-US" w:eastAsia="zh-CN"/>
              </w:rPr>
              <w:t>，经营范围包括茶饮料及其他饮料制造、塑料瓶制造。</w:t>
            </w:r>
            <w:r>
              <w:rPr>
                <w:rFonts w:hint="default" w:ascii="Times New Roman" w:hAnsi="Times New Roman" w:eastAsia="宋体" w:cs="Times New Roman"/>
                <w:color w:val="auto"/>
                <w:sz w:val="24"/>
                <w:szCs w:val="24"/>
                <w:highlight w:val="none"/>
              </w:rPr>
              <w:t>年产</w:t>
            </w:r>
            <w:r>
              <w:rPr>
                <w:rFonts w:hint="default" w:ascii="Times New Roman" w:hAnsi="Times New Roman" w:eastAsia="宋体" w:cs="Times New Roman"/>
                <w:color w:val="auto"/>
                <w:sz w:val="24"/>
                <w:szCs w:val="24"/>
                <w:highlight w:val="none"/>
                <w:lang w:val="en-US" w:eastAsia="zh-CN"/>
              </w:rPr>
              <w:t>6000</w:t>
            </w:r>
            <w:r>
              <w:rPr>
                <w:rFonts w:hint="default" w:ascii="Times New Roman" w:hAnsi="Times New Roman" w:eastAsia="宋体" w:cs="Times New Roman"/>
                <w:color w:val="auto"/>
                <w:sz w:val="24"/>
                <w:szCs w:val="24"/>
                <w:highlight w:val="none"/>
              </w:rPr>
              <w:t>万只塑料</w:t>
            </w:r>
            <w:r>
              <w:rPr>
                <w:rFonts w:hint="default" w:ascii="Times New Roman" w:hAnsi="Times New Roman" w:eastAsia="宋体" w:cs="Times New Roman"/>
                <w:color w:val="auto"/>
                <w:sz w:val="24"/>
                <w:szCs w:val="24"/>
                <w:highlight w:val="none"/>
                <w:lang w:val="en-US" w:eastAsia="zh-CN"/>
              </w:rPr>
              <w:t>瓶</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lang w:val="pt-BR"/>
              </w:rPr>
              <w:t>于202</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pt-BR"/>
              </w:rPr>
              <w:t>年</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pt-BR"/>
              </w:rPr>
              <w:t>月2</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pt-BR"/>
              </w:rPr>
              <w:t>日由新乡市环境局以</w:t>
            </w:r>
            <w:r>
              <w:rPr>
                <w:rFonts w:hint="default" w:ascii="Times New Roman" w:hAnsi="Times New Roman" w:eastAsia="宋体" w:cs="Times New Roman"/>
                <w:color w:val="auto"/>
                <w:sz w:val="24"/>
                <w:szCs w:val="24"/>
                <w:lang w:val="en-US" w:eastAsia="zh-CN"/>
              </w:rPr>
              <w:t>新</w:t>
            </w:r>
            <w:r>
              <w:rPr>
                <w:rFonts w:hint="default" w:ascii="Times New Roman" w:hAnsi="Times New Roman" w:eastAsia="宋体" w:cs="Times New Roman"/>
                <w:color w:val="auto"/>
                <w:sz w:val="24"/>
                <w:szCs w:val="24"/>
                <w:lang w:val="pt-BR"/>
              </w:rPr>
              <w:t>环</w:t>
            </w:r>
            <w:r>
              <w:rPr>
                <w:rFonts w:hint="default" w:ascii="Times New Roman" w:hAnsi="Times New Roman" w:eastAsia="宋体" w:cs="Times New Roman"/>
                <w:color w:val="auto"/>
                <w:sz w:val="24"/>
                <w:szCs w:val="24"/>
                <w:lang w:val="en-US" w:eastAsia="zh-CN"/>
              </w:rPr>
              <w:t>表</w:t>
            </w:r>
            <w:r>
              <w:rPr>
                <w:rFonts w:hint="default" w:ascii="Times New Roman" w:hAnsi="Times New Roman" w:eastAsia="宋体" w:cs="Times New Roman"/>
                <w:color w:val="auto"/>
                <w:sz w:val="24"/>
                <w:szCs w:val="24"/>
                <w:lang w:val="pt-BR"/>
              </w:rPr>
              <w:t>审[202</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pt-BR"/>
              </w:rPr>
              <w:t>]</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lang w:val="pt-BR"/>
              </w:rPr>
              <w:t>号文批复。</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pt-BR"/>
              </w:rPr>
              <w:t>进行分期建设，</w:t>
            </w:r>
            <w:r>
              <w:rPr>
                <w:rFonts w:hint="eastAsia" w:ascii="Times New Roman" w:hAnsi="Times New Roman" w:eastAsia="宋体" w:cs="Times New Roman"/>
                <w:color w:val="auto"/>
                <w:sz w:val="24"/>
                <w:szCs w:val="24"/>
                <w:lang w:val="en-US" w:eastAsia="zh-CN"/>
              </w:rPr>
              <w:t>本次一期仅建设</w:t>
            </w:r>
            <w:r>
              <w:rPr>
                <w:rFonts w:hint="default" w:ascii="Times New Roman" w:hAnsi="Times New Roman" w:eastAsia="宋体" w:cs="Times New Roman"/>
                <w:color w:val="auto"/>
                <w:sz w:val="24"/>
                <w:szCs w:val="24"/>
              </w:rPr>
              <w:t>年产</w:t>
            </w:r>
            <w:r>
              <w:rPr>
                <w:rFonts w:hint="default" w:ascii="Times New Roman" w:hAnsi="Times New Roman" w:eastAsia="宋体" w:cs="Times New Roman"/>
                <w:color w:val="auto"/>
                <w:sz w:val="24"/>
                <w:szCs w:val="24"/>
                <w:lang w:val="en-US" w:eastAsia="zh-CN"/>
              </w:rPr>
              <w:t>6000</w:t>
            </w:r>
            <w:r>
              <w:rPr>
                <w:rFonts w:hint="default" w:ascii="Times New Roman" w:hAnsi="Times New Roman" w:eastAsia="宋体" w:cs="Times New Roman"/>
                <w:color w:val="auto"/>
                <w:sz w:val="24"/>
                <w:szCs w:val="24"/>
              </w:rPr>
              <w:t>万只塑料</w:t>
            </w:r>
            <w:r>
              <w:rPr>
                <w:rFonts w:hint="default" w:ascii="Times New Roman" w:hAnsi="Times New Roman" w:eastAsia="宋体" w:cs="Times New Roman"/>
                <w:color w:val="auto"/>
                <w:sz w:val="24"/>
                <w:szCs w:val="24"/>
                <w:lang w:val="en-US" w:eastAsia="zh-CN"/>
              </w:rPr>
              <w:t>瓶</w:t>
            </w:r>
            <w:r>
              <w:rPr>
                <w:rFonts w:hint="eastAsia" w:ascii="Times New Roman" w:hAnsi="Times New Roman" w:eastAsia="宋体" w:cs="Times New Roman"/>
                <w:color w:val="auto"/>
                <w:sz w:val="24"/>
                <w:szCs w:val="24"/>
                <w:lang w:val="en-US" w:eastAsia="zh-CN"/>
              </w:rPr>
              <w:t>吹塑生产线</w:t>
            </w:r>
            <w:r>
              <w:rPr>
                <w:rFonts w:hint="default" w:ascii="Times New Roman" w:hAnsi="Times New Roman" w:eastAsia="宋体" w:cs="Times New Roman"/>
                <w:color w:val="auto"/>
                <w:sz w:val="24"/>
                <w:szCs w:val="24"/>
                <w:lang w:val="en-US" w:eastAsia="zh-CN"/>
              </w:rPr>
              <w:t>，本次一期工程</w:t>
            </w:r>
            <w:r>
              <w:rPr>
                <w:rFonts w:hint="eastAsia" w:eastAsia="宋体" w:cs="Times New Roman"/>
                <w:color w:val="auto"/>
                <w:sz w:val="24"/>
                <w:szCs w:val="24"/>
                <w:lang w:val="en-US" w:eastAsia="zh-CN"/>
              </w:rPr>
              <w:t>对吹瓶工序进行验收，一期吹瓶工序</w:t>
            </w:r>
            <w:r>
              <w:rPr>
                <w:rFonts w:hint="default" w:ascii="Times New Roman" w:hAnsi="Times New Roman" w:eastAsia="宋体" w:cs="Times New Roman"/>
                <w:color w:val="auto"/>
                <w:sz w:val="24"/>
                <w:szCs w:val="24"/>
                <w:lang w:val="en-US" w:eastAsia="zh-CN"/>
              </w:rPr>
              <w:t>原材料为瓶胚</w:t>
            </w:r>
            <w:r>
              <w:rPr>
                <w:rFonts w:hint="eastAsia" w:eastAsia="宋体" w:cs="Times New Roman"/>
                <w:color w:val="auto"/>
                <w:sz w:val="24"/>
                <w:szCs w:val="24"/>
                <w:lang w:val="en-US" w:eastAsia="zh-CN"/>
              </w:rPr>
              <w:t>，均来源于外购瓶胚</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pt-BR"/>
              </w:rPr>
              <w:t>其余</w:t>
            </w:r>
            <w:r>
              <w:rPr>
                <w:rFonts w:hint="eastAsia" w:eastAsia="宋体" w:cs="Times New Roman"/>
                <w:color w:val="auto"/>
                <w:sz w:val="24"/>
                <w:szCs w:val="24"/>
                <w:lang w:val="en-US" w:eastAsia="zh-CN"/>
              </w:rPr>
              <w:t>配料、注塑工序</w:t>
            </w:r>
            <w:r>
              <w:rPr>
                <w:rFonts w:hint="default" w:ascii="Times New Roman" w:hAnsi="Times New Roman" w:eastAsia="宋体" w:cs="Times New Roman"/>
                <w:color w:val="auto"/>
                <w:sz w:val="24"/>
                <w:szCs w:val="24"/>
                <w:lang w:val="pt-BR"/>
              </w:rPr>
              <w:t>为</w:t>
            </w:r>
            <w:r>
              <w:rPr>
                <w:rFonts w:hint="default" w:ascii="Times New Roman" w:hAnsi="Times New Roman" w:eastAsia="宋体" w:cs="Times New Roman"/>
                <w:color w:val="auto"/>
                <w:sz w:val="24"/>
                <w:szCs w:val="24"/>
                <w:lang w:val="en-US" w:eastAsia="zh-CN"/>
              </w:rPr>
              <w:t>二</w:t>
            </w:r>
            <w:r>
              <w:rPr>
                <w:rFonts w:hint="default" w:ascii="Times New Roman" w:hAnsi="Times New Roman" w:eastAsia="宋体" w:cs="Times New Roman"/>
                <w:color w:val="auto"/>
                <w:sz w:val="24"/>
                <w:szCs w:val="24"/>
                <w:lang w:val="pt-BR"/>
              </w:rPr>
              <w:t>期建设内容</w:t>
            </w:r>
            <w:r>
              <w:rPr>
                <w:rFonts w:hint="default" w:ascii="Times New Roman" w:hAnsi="Times New Roman" w:eastAsia="宋体" w:cs="Times New Roman"/>
                <w:color w:val="auto"/>
                <w:sz w:val="24"/>
                <w:szCs w:val="24"/>
                <w:lang w:val="pt-BR" w:eastAsia="zh-CN"/>
              </w:rPr>
              <w:t>。</w:t>
            </w:r>
            <w:r>
              <w:rPr>
                <w:rFonts w:hint="default" w:ascii="Times New Roman" w:hAnsi="Times New Roman" w:eastAsia="宋体" w:cs="Times New Roman"/>
                <w:color w:val="auto"/>
                <w:sz w:val="24"/>
                <w:szCs w:val="24"/>
                <w:lang w:val="en-US" w:eastAsia="zh-CN"/>
              </w:rPr>
              <w:t>企业于</w:t>
            </w:r>
            <w:r>
              <w:rPr>
                <w:rFonts w:hint="default" w:ascii="Times New Roman" w:hAnsi="Times New Roman" w:eastAsia="宋体" w:cs="Times New Roman"/>
                <w:color w:val="auto"/>
                <w:sz w:val="24"/>
                <w:szCs w:val="24"/>
                <w:highlight w:val="none"/>
                <w:lang w:val="en-US" w:eastAsia="zh-CN"/>
              </w:rPr>
              <w:t>2026年4月29日首次申领排污许可证，</w:t>
            </w:r>
            <w:r>
              <w:rPr>
                <w:rFonts w:hint="default" w:ascii="Times New Roman" w:hAnsi="Times New Roman" w:eastAsia="宋体" w:cs="Times New Roman"/>
                <w:color w:val="auto"/>
                <w:sz w:val="24"/>
                <w:szCs w:val="24"/>
                <w:lang w:val="pt-BR"/>
              </w:rPr>
              <w:t>管理类别为登记管理</w:t>
            </w:r>
            <w:r>
              <w:rPr>
                <w:rFonts w:hint="default" w:ascii="Times New Roman" w:hAnsi="Times New Roman" w:eastAsia="宋体" w:cs="Times New Roman"/>
                <w:color w:val="auto"/>
                <w:sz w:val="24"/>
                <w:szCs w:val="24"/>
                <w:lang w:val="pt-BR" w:eastAsia="zh-CN"/>
              </w:rPr>
              <w:t>，</w:t>
            </w:r>
            <w:r>
              <w:rPr>
                <w:rFonts w:hint="default" w:ascii="Times New Roman" w:hAnsi="Times New Roman" w:eastAsia="宋体" w:cs="Times New Roman"/>
                <w:color w:val="auto"/>
                <w:sz w:val="24"/>
                <w:szCs w:val="24"/>
                <w:lang w:val="pt-BR"/>
              </w:rPr>
              <w:t>固定污染源排污登记编号</w:t>
            </w:r>
            <w:r>
              <w:rPr>
                <w:rFonts w:hint="default" w:ascii="Times New Roman" w:hAnsi="Times New Roman" w:eastAsia="宋体" w:cs="Times New Roman"/>
                <w:color w:val="auto"/>
                <w:sz w:val="24"/>
                <w:szCs w:val="24"/>
                <w:lang w:val="en-US" w:eastAsia="zh-CN"/>
              </w:rPr>
              <w:t>为：</w:t>
            </w:r>
            <w:r>
              <w:rPr>
                <w:rFonts w:hint="default" w:ascii="Times New Roman" w:hAnsi="Times New Roman" w:eastAsia="宋体" w:cs="Times New Roman"/>
                <w:color w:val="auto"/>
                <w:sz w:val="24"/>
                <w:szCs w:val="24"/>
                <w:lang w:val="pt-BR"/>
              </w:rPr>
              <w:t>91410721083451463M003Y</w:t>
            </w:r>
            <w:r>
              <w:rPr>
                <w:rFonts w:hint="default" w:ascii="Times New Roman" w:hAnsi="Times New Roman" w:eastAsia="宋体" w:cs="Times New Roman"/>
                <w:color w:val="auto"/>
                <w:sz w:val="24"/>
                <w:szCs w:val="24"/>
                <w:lang w:val="pt-BR" w:eastAsia="zh-CN"/>
              </w:rPr>
              <w:t>，</w:t>
            </w:r>
            <w:r>
              <w:rPr>
                <w:rFonts w:hint="default" w:ascii="Times New Roman" w:hAnsi="Times New Roman" w:eastAsia="宋体" w:cs="Times New Roman"/>
                <w:color w:val="auto"/>
                <w:sz w:val="24"/>
                <w:szCs w:val="24"/>
                <w:highlight w:val="none"/>
                <w:lang w:val="en-US" w:eastAsia="zh-CN"/>
              </w:rPr>
              <w:t>2026年5</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rPr>
              <w:t>日</w:t>
            </w:r>
            <w:r>
              <w:rPr>
                <w:rFonts w:hint="default" w:ascii="Times New Roman" w:hAnsi="Times New Roman" w:eastAsia="宋体" w:cs="Times New Roman"/>
                <w:color w:val="auto"/>
                <w:sz w:val="24"/>
                <w:szCs w:val="24"/>
                <w:lang w:val="pt-BR"/>
              </w:rPr>
              <w:t>进行了排污许可</w:t>
            </w:r>
            <w:r>
              <w:rPr>
                <w:rFonts w:hint="default" w:ascii="Times New Roman" w:hAnsi="Times New Roman" w:eastAsia="宋体" w:cs="Times New Roman"/>
                <w:color w:val="auto"/>
                <w:sz w:val="24"/>
                <w:szCs w:val="24"/>
                <w:lang w:val="pt-BR" w:eastAsia="zh-CN"/>
              </w:rPr>
              <w:t>登</w:t>
            </w:r>
            <w:r>
              <w:rPr>
                <w:rFonts w:hint="default" w:ascii="Times New Roman" w:hAnsi="Times New Roman" w:eastAsia="宋体" w:cs="Times New Roman"/>
                <w:color w:val="auto"/>
                <w:sz w:val="24"/>
                <w:szCs w:val="24"/>
                <w:lang w:val="pt-BR"/>
              </w:rPr>
              <w:t>记变更</w:t>
            </w:r>
            <w:r>
              <w:rPr>
                <w:rFonts w:hint="default" w:ascii="Times New Roman" w:hAnsi="Times New Roman" w:eastAsia="宋体" w:cs="Times New Roman"/>
                <w:color w:val="auto"/>
                <w:sz w:val="24"/>
                <w:szCs w:val="24"/>
                <w:lang w:val="pt-BR" w:eastAsia="zh-CN"/>
              </w:rPr>
              <w:t>，</w:t>
            </w:r>
            <w:r>
              <w:rPr>
                <w:rFonts w:hint="default" w:ascii="Times New Roman" w:hAnsi="Times New Roman" w:eastAsia="宋体" w:cs="Times New Roman"/>
                <w:color w:val="auto"/>
                <w:sz w:val="24"/>
                <w:szCs w:val="24"/>
                <w:lang w:val="en-US" w:eastAsia="zh-CN"/>
              </w:rPr>
              <w:t>变更后</w:t>
            </w:r>
            <w:r>
              <w:rPr>
                <w:rFonts w:hint="default" w:ascii="Times New Roman" w:hAnsi="Times New Roman" w:eastAsia="宋体" w:cs="Times New Roman"/>
                <w:color w:val="auto"/>
                <w:sz w:val="24"/>
                <w:szCs w:val="24"/>
                <w:lang w:val="pt-BR"/>
              </w:rPr>
              <w:t>有效期</w:t>
            </w:r>
            <w:r>
              <w:rPr>
                <w:rFonts w:hint="default" w:ascii="Times New Roman" w:hAnsi="Times New Roman" w:eastAsia="宋体" w:cs="Times New Roman"/>
                <w:color w:val="auto"/>
                <w:sz w:val="24"/>
                <w:szCs w:val="24"/>
                <w:lang w:val="en-US" w:eastAsia="zh-CN"/>
              </w:rPr>
              <w:t>为：</w:t>
            </w: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rPr>
              <w:t>日至20</w:t>
            </w:r>
            <w:r>
              <w:rPr>
                <w:rFonts w:hint="default" w:ascii="Times New Roman" w:hAnsi="Times New Roman" w:eastAsia="宋体" w:cs="Times New Roman"/>
                <w:color w:val="auto"/>
                <w:sz w:val="24"/>
                <w:szCs w:val="24"/>
                <w:highlight w:val="none"/>
                <w:lang w:val="en-US" w:eastAsia="zh-CN"/>
              </w:rPr>
              <w:t>31</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日。</w:t>
            </w:r>
          </w:p>
          <w:p w14:paraId="365E14E2">
            <w:pPr>
              <w:spacing w:after="0" w:line="460" w:lineRule="exact"/>
              <w:ind w:firstLine="482"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地理位置</w:t>
            </w:r>
          </w:p>
          <w:p w14:paraId="0957CEEC">
            <w:pPr>
              <w:keepNext w:val="0"/>
              <w:keepLines w:val="0"/>
              <w:pageBreakBefore w:val="0"/>
              <w:widowControl/>
              <w:kinsoku/>
              <w:wordWrap/>
              <w:overflowPunct/>
              <w:topLinePunct w:val="0"/>
              <w:autoSpaceDE/>
              <w:autoSpaceDN/>
              <w:bidi w:val="0"/>
              <w:adjustRightInd w:val="0"/>
              <w:snapToGrid w:val="0"/>
              <w:spacing w:beforeLines="0" w:after="0" w:afterLines="0" w:line="460" w:lineRule="exact"/>
              <w:ind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项目位于</w:t>
            </w:r>
            <w:r>
              <w:rPr>
                <w:rFonts w:hint="eastAsia" w:ascii="Times New Roman" w:hAnsi="Times New Roman" w:eastAsia="宋体" w:cs="Times New Roman"/>
                <w:color w:val="auto"/>
                <w:kern w:val="2"/>
                <w:sz w:val="24"/>
                <w:szCs w:val="24"/>
                <w:lang w:val="en-US" w:eastAsia="zh-CN"/>
              </w:rPr>
              <w:t>新乡市延津县先进制造业开发区南区创业园</w:t>
            </w:r>
            <w:r>
              <w:rPr>
                <w:rFonts w:hint="default" w:ascii="Times New Roman" w:hAnsi="Times New Roman" w:eastAsia="宋体" w:cs="Times New Roman"/>
                <w:color w:val="auto"/>
                <w:kern w:val="2"/>
                <w:sz w:val="24"/>
                <w:szCs w:val="24"/>
              </w:rPr>
              <w:t>，项目四周环境为：东侧</w:t>
            </w:r>
            <w:r>
              <w:rPr>
                <w:rFonts w:hint="eastAsia" w:eastAsia="宋体" w:cs="Times New Roman"/>
                <w:color w:val="auto"/>
                <w:kern w:val="2"/>
                <w:sz w:val="24"/>
                <w:szCs w:val="24"/>
                <w:lang w:val="en-US" w:eastAsia="zh-CN"/>
              </w:rPr>
              <w:t>为新乡津麦缘食品有限公司，西侧紧邻园区道路，北侧为空地，南侧为新乡市诺铭包装材料有限公司</w:t>
            </w:r>
            <w:r>
              <w:rPr>
                <w:rFonts w:hint="default" w:ascii="Times New Roman" w:hAnsi="Times New Roman" w:eastAsia="宋体" w:cs="Times New Roman"/>
                <w:color w:val="auto"/>
                <w:kern w:val="2"/>
                <w:sz w:val="24"/>
                <w:szCs w:val="24"/>
              </w:rPr>
              <w:t>。距项目最近的敏感点为</w:t>
            </w:r>
            <w:r>
              <w:rPr>
                <w:rFonts w:hint="eastAsia" w:eastAsia="宋体" w:cs="Times New Roman"/>
                <w:color w:val="auto"/>
                <w:kern w:val="2"/>
                <w:sz w:val="24"/>
                <w:szCs w:val="24"/>
                <w:lang w:val="en-US" w:eastAsia="zh-CN"/>
              </w:rPr>
              <w:t>西北</w:t>
            </w:r>
            <w:r>
              <w:rPr>
                <w:rFonts w:hint="default" w:ascii="Times New Roman" w:hAnsi="Times New Roman" w:eastAsia="宋体" w:cs="Times New Roman"/>
                <w:color w:val="auto"/>
                <w:kern w:val="2"/>
                <w:sz w:val="24"/>
                <w:szCs w:val="24"/>
              </w:rPr>
              <w:t>侧</w:t>
            </w:r>
            <w:r>
              <w:rPr>
                <w:rFonts w:hint="eastAsia" w:eastAsia="宋体" w:cs="Times New Roman"/>
                <w:color w:val="auto"/>
                <w:kern w:val="2"/>
                <w:sz w:val="24"/>
                <w:szCs w:val="24"/>
                <w:lang w:val="en-US" w:eastAsia="zh-CN"/>
              </w:rPr>
              <w:t>118</w:t>
            </w:r>
            <w:r>
              <w:rPr>
                <w:rFonts w:hint="default" w:ascii="Times New Roman" w:hAnsi="Times New Roman" w:eastAsia="宋体" w:cs="Times New Roman"/>
                <w:color w:val="auto"/>
                <w:kern w:val="2"/>
                <w:sz w:val="24"/>
                <w:szCs w:val="24"/>
              </w:rPr>
              <w:t>m的</w:t>
            </w:r>
            <w:r>
              <w:rPr>
                <w:rFonts w:hint="eastAsia" w:eastAsia="宋体" w:cs="Times New Roman"/>
                <w:color w:val="auto"/>
                <w:kern w:val="2"/>
                <w:sz w:val="24"/>
                <w:szCs w:val="24"/>
                <w:lang w:val="en-US" w:eastAsia="zh-CN"/>
              </w:rPr>
              <w:t>延津县产业集聚区委员会</w:t>
            </w:r>
            <w:r>
              <w:rPr>
                <w:rFonts w:hint="default" w:ascii="Times New Roman" w:hAnsi="Times New Roman" w:eastAsia="宋体" w:cs="Times New Roman"/>
                <w:color w:val="auto"/>
                <w:kern w:val="2"/>
                <w:sz w:val="24"/>
                <w:szCs w:val="24"/>
              </w:rPr>
              <w:t>。根据实际勘查，项目实际建设地点以及周围环境敏感点位置与环评及批复内容一致。项目周边环境示意图见图1。</w:t>
            </w:r>
          </w:p>
          <w:p w14:paraId="7215CC96">
            <w:pPr>
              <w:adjustRightInd/>
              <w:snapToGrid/>
              <w:spacing w:after="0"/>
              <w:rPr>
                <w:rFonts w:eastAsia="仿宋_GB2312"/>
                <w:b/>
                <w:color w:val="auto"/>
                <w:sz w:val="21"/>
                <w:szCs w:val="21"/>
              </w:rPr>
            </w:pPr>
          </w:p>
          <w:p w14:paraId="070A7765">
            <w:pPr>
              <w:adjustRightInd/>
              <w:snapToGrid/>
              <w:spacing w:after="0"/>
              <w:rPr>
                <w:rFonts w:eastAsia="仿宋_GB2312"/>
                <w:b/>
                <w:color w:val="auto"/>
                <w:sz w:val="21"/>
                <w:szCs w:val="21"/>
              </w:rPr>
            </w:pPr>
          </w:p>
          <w:p w14:paraId="5FADF33C">
            <w:pPr>
              <w:adjustRightInd/>
              <w:snapToGrid/>
              <w:spacing w:after="0"/>
              <w:rPr>
                <w:rFonts w:eastAsia="仿宋_GB2312"/>
                <w:b/>
                <w:color w:val="auto"/>
                <w:sz w:val="21"/>
                <w:szCs w:val="21"/>
              </w:rPr>
            </w:pPr>
          </w:p>
          <w:p w14:paraId="22882F91">
            <w:pPr>
              <w:adjustRightInd/>
              <w:snapToGrid/>
              <w:spacing w:after="0"/>
              <w:rPr>
                <w:rFonts w:eastAsia="仿宋_GB2312"/>
                <w:b/>
                <w:color w:val="auto"/>
                <w:sz w:val="21"/>
                <w:szCs w:val="21"/>
              </w:rPr>
            </w:pPr>
          </w:p>
          <w:p w14:paraId="32BF2A9A">
            <w:pPr>
              <w:pStyle w:val="2"/>
              <w:rPr>
                <w:rFonts w:eastAsia="仿宋_GB2312"/>
                <w:b/>
                <w:color w:val="auto"/>
                <w:sz w:val="21"/>
                <w:szCs w:val="21"/>
              </w:rPr>
            </w:pPr>
          </w:p>
          <w:p w14:paraId="185681B5">
            <w:pPr>
              <w:rPr>
                <w:rFonts w:eastAsia="仿宋_GB2312"/>
                <w:b/>
                <w:color w:val="auto"/>
                <w:sz w:val="21"/>
                <w:szCs w:val="21"/>
              </w:rPr>
            </w:pPr>
          </w:p>
          <w:p w14:paraId="7522915B">
            <w:pPr>
              <w:pStyle w:val="2"/>
              <w:rPr>
                <w:color w:val="auto"/>
              </w:rPr>
            </w:pPr>
          </w:p>
          <w:p w14:paraId="44482FC2">
            <w:pPr>
              <w:rPr>
                <w:color w:val="auto"/>
              </w:rPr>
            </w:pPr>
          </w:p>
          <w:p w14:paraId="791292D6">
            <w:pPr>
              <w:rPr>
                <w:color w:val="auto"/>
              </w:rPr>
            </w:pPr>
          </w:p>
          <w:p w14:paraId="6930627D">
            <w:pPr>
              <w:rPr>
                <w:color w:val="auto"/>
              </w:rPr>
            </w:pPr>
          </w:p>
          <w:p w14:paraId="660A0AC2">
            <w:pPr>
              <w:rPr>
                <w:color w:val="auto"/>
              </w:rPr>
            </w:pPr>
          </w:p>
        </w:tc>
      </w:tr>
    </w:tbl>
    <w:p w14:paraId="743EB663">
      <w:pPr>
        <w:adjustRightInd/>
        <w:snapToGrid/>
        <w:spacing w:after="0"/>
        <w:rPr>
          <w:rFonts w:eastAsia="仿宋_GB2312"/>
          <w:b/>
          <w:color w:val="auto"/>
          <w:sz w:val="21"/>
          <w:szCs w:val="21"/>
        </w:rPr>
        <w:sectPr>
          <w:pgSz w:w="11906" w:h="16838"/>
          <w:pgMar w:top="1440" w:right="1797" w:bottom="1440" w:left="1797" w:header="709" w:footer="709" w:gutter="0"/>
          <w:pgBorders>
            <w:top w:val="none" w:sz="0" w:space="0"/>
            <w:left w:val="none" w:sz="0" w:space="0"/>
            <w:bottom w:val="none" w:sz="0" w:space="0"/>
            <w:right w:val="none" w:sz="0" w:space="0"/>
          </w:pgBorders>
          <w:cols w:space="720" w:num="1"/>
          <w:docGrid w:linePitch="360" w:charSpace="0"/>
        </w:sectPr>
      </w:pP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14:paraId="7672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5" w:hRule="atLeast"/>
          <w:jc w:val="center"/>
        </w:trPr>
        <w:tc>
          <w:tcPr>
            <w:tcW w:w="13948" w:type="dxa"/>
            <w:vAlign w:val="center"/>
          </w:tcPr>
          <w:p w14:paraId="33E11C61">
            <w:pPr>
              <w:adjustRightInd/>
              <w:snapToGrid/>
              <w:spacing w:after="0"/>
              <w:jc w:val="center"/>
              <w:rPr>
                <w:rFonts w:eastAsia="仿宋_GB2312"/>
                <w:b/>
                <w:color w:val="auto"/>
                <w:sz w:val="21"/>
                <w:szCs w:val="21"/>
              </w:rPr>
            </w:pPr>
            <w:r>
              <w:rPr>
                <w:rFonts w:eastAsia="仿宋_GB2312"/>
                <w:b/>
                <w:color w:val="auto"/>
                <w:sz w:val="21"/>
                <w:szCs w:val="21"/>
              </w:rPr>
              <w:object>
                <v:shape id="_x0000_i1031" o:spt="75" type="#_x0000_t75" style="height:378pt;width:683.5pt;" o:ole="t" filled="f" o:preferrelative="t" stroked="t" coordsize="21600,21600">
                  <v:path/>
                  <v:fill on="f" focussize="0,0"/>
                  <v:stroke color="#000000 [3213]"/>
                  <v:imagedata r:id="rId9" o:title=""/>
                  <o:lock v:ext="edit" aspectratio="f"/>
                  <w10:wrap type="none"/>
                  <w10:anchorlock/>
                </v:shape>
                <o:OLEObject Type="Embed" ProgID="Visio.Drawing.15" ShapeID="_x0000_i1031" DrawAspect="Content" ObjectID="_1468075725" r:id="rId8">
                  <o:LockedField>false</o:LockedField>
                </o:OLEObject>
              </w:object>
            </w:r>
          </w:p>
          <w:p w14:paraId="5BC8EA4D">
            <w:pPr>
              <w:keepNext/>
              <w:widowControl w:val="0"/>
              <w:adjustRightInd/>
              <w:snapToGrid/>
              <w:spacing w:after="0" w:line="460" w:lineRule="exact"/>
              <w:ind w:firstLine="482" w:firstLineChars="200"/>
              <w:jc w:val="center"/>
              <w:rPr>
                <w:rFonts w:eastAsia="宋体"/>
                <w:b/>
                <w:bCs/>
                <w:color w:val="auto"/>
                <w:kern w:val="2"/>
                <w:sz w:val="24"/>
                <w:szCs w:val="20"/>
              </w:rPr>
            </w:pPr>
            <w:r>
              <w:rPr>
                <w:rFonts w:eastAsia="宋体"/>
                <w:b/>
                <w:bCs/>
                <w:color w:val="auto"/>
                <w:kern w:val="2"/>
                <w:sz w:val="24"/>
                <w:szCs w:val="20"/>
              </w:rPr>
              <w:t>图1   项目周边环境示意图</w:t>
            </w:r>
          </w:p>
          <w:p w14:paraId="562F2A30">
            <w:pPr>
              <w:spacing w:after="0" w:line="460" w:lineRule="exact"/>
              <w:ind w:firstLine="482" w:firstLineChars="200"/>
              <w:jc w:val="both"/>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3、工程建设内容</w:t>
            </w:r>
          </w:p>
          <w:p w14:paraId="5CD68F5B">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lang w:val="en-US" w:eastAsia="zh-CN"/>
              </w:rPr>
              <w:t>本项目进行分期建设</w:t>
            </w:r>
            <w:r>
              <w:rPr>
                <w:rFonts w:ascii="Times New Roman" w:hAnsi="Times New Roman" w:eastAsia="宋体" w:cs="Times New Roman"/>
                <w:color w:val="auto"/>
                <w:sz w:val="24"/>
              </w:rPr>
              <w:t>，根据《建设项目环境保护管理条例》第十八条规定：分期建设、分期投入生产或使用的建设项目，其相应的环境保护设施应当分期验收。本次仅对</w:t>
            </w:r>
            <w:r>
              <w:rPr>
                <w:rFonts w:hint="default" w:ascii="Times New Roman" w:hAnsi="Times New Roman" w:eastAsia="宋体" w:cs="Times New Roman"/>
                <w:color w:val="auto"/>
                <w:sz w:val="24"/>
                <w:szCs w:val="24"/>
              </w:rPr>
              <w:t>河南</w:t>
            </w:r>
            <w:r>
              <w:rPr>
                <w:rFonts w:hint="default" w:ascii="Times New Roman" w:hAnsi="Times New Roman" w:eastAsia="宋体" w:cs="Times New Roman"/>
                <w:color w:val="auto"/>
                <w:sz w:val="24"/>
                <w:szCs w:val="24"/>
                <w:lang w:val="en-US" w:eastAsia="zh-CN"/>
              </w:rPr>
              <w:t>省养乐奇生物科技有限责任公司</w:t>
            </w:r>
            <w:r>
              <w:rPr>
                <w:rFonts w:hint="default" w:ascii="Times New Roman" w:hAnsi="Times New Roman" w:eastAsia="宋体" w:cs="Times New Roman"/>
                <w:color w:val="auto"/>
                <w:sz w:val="24"/>
                <w:szCs w:val="24"/>
                <w:highlight w:val="none"/>
              </w:rPr>
              <w:t>年产</w:t>
            </w:r>
            <w:r>
              <w:rPr>
                <w:rFonts w:hint="default" w:ascii="Times New Roman" w:hAnsi="Times New Roman" w:eastAsia="宋体" w:cs="Times New Roman"/>
                <w:color w:val="auto"/>
                <w:sz w:val="24"/>
                <w:szCs w:val="24"/>
                <w:highlight w:val="none"/>
                <w:lang w:val="en-US" w:eastAsia="zh-CN"/>
              </w:rPr>
              <w:t>6000</w:t>
            </w:r>
            <w:r>
              <w:rPr>
                <w:rFonts w:hint="default" w:ascii="Times New Roman" w:hAnsi="Times New Roman" w:eastAsia="宋体" w:cs="Times New Roman"/>
                <w:color w:val="auto"/>
                <w:sz w:val="24"/>
                <w:szCs w:val="24"/>
                <w:highlight w:val="none"/>
              </w:rPr>
              <w:t>万只塑料</w:t>
            </w:r>
            <w:r>
              <w:rPr>
                <w:rFonts w:hint="default" w:ascii="Times New Roman" w:hAnsi="Times New Roman" w:eastAsia="宋体" w:cs="Times New Roman"/>
                <w:color w:val="auto"/>
                <w:sz w:val="24"/>
                <w:szCs w:val="24"/>
                <w:highlight w:val="none"/>
                <w:lang w:val="en-US" w:eastAsia="zh-CN"/>
              </w:rPr>
              <w:t>瓶</w:t>
            </w:r>
            <w:r>
              <w:rPr>
                <w:rFonts w:hint="default" w:ascii="Times New Roman" w:hAnsi="Times New Roman" w:eastAsia="宋体" w:cs="Times New Roman"/>
                <w:color w:val="auto"/>
                <w:sz w:val="24"/>
                <w:szCs w:val="24"/>
                <w:highlight w:val="none"/>
              </w:rPr>
              <w:t>项目</w:t>
            </w:r>
            <w:r>
              <w:rPr>
                <w:rFonts w:ascii="Times New Roman" w:hAnsi="Times New Roman" w:eastAsia="宋体" w:cs="Times New Roman"/>
                <w:color w:val="auto"/>
                <w:sz w:val="24"/>
              </w:rPr>
              <w:t>（</w:t>
            </w:r>
            <w:r>
              <w:rPr>
                <w:rFonts w:hint="eastAsia" w:eastAsia="宋体" w:cs="Times New Roman"/>
                <w:color w:val="auto"/>
                <w:sz w:val="24"/>
                <w:lang w:val="en-US" w:eastAsia="zh-CN"/>
              </w:rPr>
              <w:t>一</w:t>
            </w:r>
            <w:r>
              <w:rPr>
                <w:rFonts w:ascii="Times New Roman" w:hAnsi="Times New Roman" w:eastAsia="宋体" w:cs="Times New Roman"/>
                <w:color w:val="auto"/>
                <w:sz w:val="24"/>
              </w:rPr>
              <w:t>期）进行验收</w:t>
            </w:r>
            <w:r>
              <w:rPr>
                <w:rFonts w:hint="eastAsia" w:eastAsia="宋体" w:cs="Times New Roman"/>
                <w:color w:val="auto"/>
                <w:sz w:val="24"/>
                <w:lang w:eastAsia="zh-CN"/>
              </w:rPr>
              <w:t>，</w:t>
            </w:r>
            <w:r>
              <w:rPr>
                <w:rFonts w:hint="eastAsia" w:ascii="Times New Roman" w:hAnsi="Times New Roman" w:eastAsia="宋体" w:cs="Times New Roman"/>
                <w:color w:val="auto"/>
                <w:sz w:val="24"/>
                <w:szCs w:val="24"/>
                <w:lang w:val="en-US" w:eastAsia="zh-CN"/>
              </w:rPr>
              <w:t>本次验收工程实际建设情况与环评批复情况对比分析见下表。</w:t>
            </w:r>
          </w:p>
          <w:p w14:paraId="5B91EA5E">
            <w:pPr>
              <w:numPr>
                <w:ilvl w:val="0"/>
                <w:numId w:val="0"/>
              </w:numPr>
              <w:adjustRightInd/>
              <w:snapToGrid/>
              <w:spacing w:after="0"/>
              <w:ind w:leftChars="200"/>
              <w:rPr>
                <w:rFonts w:eastAsia="黑体"/>
                <w:color w:val="auto"/>
                <w:sz w:val="24"/>
                <w:szCs w:val="21"/>
              </w:rPr>
            </w:pPr>
            <w:r>
              <w:rPr>
                <w:rFonts w:eastAsia="黑体"/>
                <w:color w:val="auto"/>
                <w:sz w:val="24"/>
                <w:szCs w:val="21"/>
              </w:rPr>
              <w:t>表</w:t>
            </w:r>
            <w:r>
              <w:rPr>
                <w:rFonts w:hint="eastAsia" w:eastAsia="黑体"/>
                <w:color w:val="auto"/>
                <w:sz w:val="24"/>
                <w:szCs w:val="21"/>
                <w:lang w:val="en-US" w:eastAsia="zh-CN"/>
              </w:rPr>
              <w:t>5</w:t>
            </w:r>
            <w:r>
              <w:rPr>
                <w:rFonts w:eastAsia="黑体"/>
                <w:color w:val="auto"/>
                <w:sz w:val="24"/>
                <w:szCs w:val="21"/>
              </w:rPr>
              <w:t xml:space="preserve">            </w:t>
            </w:r>
            <w:r>
              <w:rPr>
                <w:rFonts w:hint="eastAsia" w:eastAsia="黑体"/>
                <w:color w:val="auto"/>
                <w:sz w:val="24"/>
                <w:szCs w:val="21"/>
              </w:rPr>
              <w:t xml:space="preserve">     </w:t>
            </w:r>
            <w:r>
              <w:rPr>
                <w:rFonts w:eastAsia="黑体"/>
                <w:color w:val="auto"/>
                <w:sz w:val="24"/>
                <w:szCs w:val="21"/>
              </w:rPr>
              <w:t xml:space="preserve">  </w:t>
            </w:r>
            <w:r>
              <w:rPr>
                <w:rFonts w:hint="eastAsia" w:eastAsia="黑体"/>
                <w:color w:val="auto"/>
                <w:sz w:val="24"/>
                <w:szCs w:val="21"/>
              </w:rPr>
              <w:t xml:space="preserve">              </w:t>
            </w:r>
            <w:r>
              <w:rPr>
                <w:rFonts w:eastAsia="黑体"/>
                <w:color w:val="auto"/>
                <w:sz w:val="24"/>
                <w:szCs w:val="21"/>
              </w:rPr>
              <w:t xml:space="preserve"> </w:t>
            </w:r>
            <w:r>
              <w:rPr>
                <w:rFonts w:hint="eastAsia" w:eastAsia="黑体"/>
                <w:color w:val="auto"/>
                <w:sz w:val="24"/>
                <w:szCs w:val="21"/>
              </w:rPr>
              <w:t xml:space="preserve">    </w:t>
            </w:r>
            <w:r>
              <w:rPr>
                <w:rFonts w:eastAsia="黑体"/>
                <w:color w:val="auto"/>
                <w:sz w:val="24"/>
                <w:szCs w:val="21"/>
              </w:rPr>
              <w:t>项目</w:t>
            </w:r>
            <w:r>
              <w:rPr>
                <w:rFonts w:hint="eastAsia" w:eastAsia="黑体"/>
                <w:color w:val="auto"/>
                <w:sz w:val="24"/>
                <w:szCs w:val="21"/>
              </w:rPr>
              <w:t>分期建设</w:t>
            </w:r>
            <w:r>
              <w:rPr>
                <w:rFonts w:eastAsia="黑体"/>
                <w:color w:val="auto"/>
                <w:sz w:val="24"/>
                <w:szCs w:val="21"/>
              </w:rPr>
              <w:t>概况一览表</w:t>
            </w:r>
          </w:p>
          <w:tbl>
            <w:tblPr>
              <w:tblStyle w:val="1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695"/>
              <w:gridCol w:w="1320"/>
              <w:gridCol w:w="3017"/>
              <w:gridCol w:w="3318"/>
              <w:gridCol w:w="3206"/>
              <w:gridCol w:w="2394"/>
            </w:tblGrid>
            <w:tr w14:paraId="4948AD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49" w:type="pct"/>
                  <w:vMerge w:val="restart"/>
                  <w:tcBorders>
                    <w:top w:val="single" w:color="auto" w:sz="8" w:space="0"/>
                  </w:tcBorders>
                  <w:noWrap w:val="0"/>
                  <w:vAlign w:val="center"/>
                </w:tcPr>
                <w:p w14:paraId="494DD64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Cs w:val="21"/>
                      <w:lang w:val="pt-BR"/>
                    </w:rPr>
                  </w:pPr>
                  <w:r>
                    <w:rPr>
                      <w:rFonts w:hint="default" w:ascii="Times New Roman" w:hAnsi="Times New Roman" w:eastAsia="宋体" w:cs="Times New Roman"/>
                      <w:b/>
                      <w:color w:val="auto"/>
                      <w:szCs w:val="21"/>
                      <w:lang w:val="pt-BR"/>
                    </w:rPr>
                    <w:t>序号</w:t>
                  </w:r>
                </w:p>
              </w:tc>
              <w:tc>
                <w:tcPr>
                  <w:tcW w:w="473" w:type="pct"/>
                  <w:vMerge w:val="restart"/>
                  <w:tcBorders>
                    <w:top w:val="single" w:color="auto" w:sz="8" w:space="0"/>
                  </w:tcBorders>
                  <w:noWrap w:val="0"/>
                  <w:vAlign w:val="center"/>
                </w:tcPr>
                <w:p w14:paraId="316AD48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Cs w:val="21"/>
                      <w:lang w:val="pt-BR"/>
                    </w:rPr>
                  </w:pPr>
                  <w:r>
                    <w:rPr>
                      <w:rFonts w:hint="default" w:ascii="Times New Roman" w:hAnsi="Times New Roman" w:eastAsia="宋体" w:cs="Times New Roman"/>
                      <w:b/>
                      <w:color w:val="auto"/>
                      <w:szCs w:val="21"/>
                      <w:lang w:val="pt-BR"/>
                    </w:rPr>
                    <w:t>项目</w:t>
                  </w:r>
                </w:p>
              </w:tc>
              <w:tc>
                <w:tcPr>
                  <w:tcW w:w="3419" w:type="pct"/>
                  <w:gridSpan w:val="3"/>
                  <w:tcBorders>
                    <w:top w:val="single" w:color="auto" w:sz="8" w:space="0"/>
                  </w:tcBorders>
                  <w:noWrap w:val="0"/>
                  <w:vAlign w:val="center"/>
                </w:tcPr>
                <w:p w14:paraId="77354DB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内容</w:t>
                  </w:r>
                </w:p>
              </w:tc>
              <w:tc>
                <w:tcPr>
                  <w:tcW w:w="858" w:type="pct"/>
                  <w:vMerge w:val="restart"/>
                  <w:tcBorders>
                    <w:top w:val="single" w:color="auto" w:sz="8" w:space="0"/>
                  </w:tcBorders>
                  <w:noWrap w:val="0"/>
                  <w:vAlign w:val="center"/>
                </w:tcPr>
                <w:p w14:paraId="2325798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一致性</w:t>
                  </w:r>
                </w:p>
              </w:tc>
            </w:tr>
            <w:tr w14:paraId="736C7A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49" w:type="pct"/>
                  <w:vMerge w:val="continue"/>
                  <w:noWrap w:val="0"/>
                  <w:vAlign w:val="center"/>
                </w:tcPr>
                <w:p w14:paraId="66C01C0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Cs w:val="21"/>
                      <w:lang w:val="pt-BR"/>
                    </w:rPr>
                  </w:pPr>
                </w:p>
              </w:tc>
              <w:tc>
                <w:tcPr>
                  <w:tcW w:w="473" w:type="pct"/>
                  <w:vMerge w:val="continue"/>
                  <w:noWrap w:val="0"/>
                  <w:vAlign w:val="center"/>
                </w:tcPr>
                <w:p w14:paraId="122A3A4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Cs w:val="21"/>
                      <w:lang w:val="pt-BR"/>
                    </w:rPr>
                  </w:pPr>
                </w:p>
              </w:tc>
              <w:tc>
                <w:tcPr>
                  <w:tcW w:w="1081" w:type="pct"/>
                  <w:tcBorders>
                    <w:top w:val="single" w:color="auto" w:sz="8" w:space="0"/>
                  </w:tcBorders>
                  <w:noWrap w:val="0"/>
                  <w:vAlign w:val="center"/>
                </w:tcPr>
                <w:p w14:paraId="552A11A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Cs w:val="21"/>
                      <w:lang w:val="pt-BR"/>
                    </w:rPr>
                  </w:pPr>
                  <w:r>
                    <w:rPr>
                      <w:rFonts w:hint="eastAsia" w:ascii="Times New Roman" w:hAnsi="Times New Roman" w:eastAsia="宋体" w:cs="Times New Roman"/>
                      <w:b/>
                      <w:color w:val="auto"/>
                      <w:szCs w:val="21"/>
                      <w:lang w:val="en-US" w:eastAsia="zh-CN"/>
                    </w:rPr>
                    <w:t>环评批复</w:t>
                  </w:r>
                </w:p>
              </w:tc>
              <w:tc>
                <w:tcPr>
                  <w:tcW w:w="1189" w:type="pct"/>
                  <w:tcBorders>
                    <w:top w:val="single" w:color="auto" w:sz="8" w:space="0"/>
                  </w:tcBorders>
                  <w:noWrap w:val="0"/>
                  <w:vAlign w:val="center"/>
                </w:tcPr>
                <w:p w14:paraId="52FEF32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实际建设（一期）</w:t>
                  </w:r>
                </w:p>
              </w:tc>
              <w:tc>
                <w:tcPr>
                  <w:tcW w:w="1148" w:type="pct"/>
                  <w:tcBorders>
                    <w:top w:val="single" w:color="auto" w:sz="8" w:space="0"/>
                  </w:tcBorders>
                  <w:noWrap w:val="0"/>
                  <w:vAlign w:val="center"/>
                </w:tcPr>
                <w:p w14:paraId="5BCD490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Cs w:val="21"/>
                      <w:lang w:val="en-US" w:eastAsia="zh-CN"/>
                    </w:rPr>
                  </w:pPr>
                  <w:r>
                    <w:rPr>
                      <w:rFonts w:hint="eastAsia" w:eastAsia="宋体" w:cs="Times New Roman"/>
                      <w:b/>
                      <w:color w:val="auto"/>
                      <w:szCs w:val="21"/>
                      <w:highlight w:val="none"/>
                      <w:lang w:val="en-US" w:eastAsia="zh-CN"/>
                    </w:rPr>
                    <w:t>二期建设</w:t>
                  </w:r>
                </w:p>
              </w:tc>
              <w:tc>
                <w:tcPr>
                  <w:tcW w:w="858" w:type="pct"/>
                  <w:vMerge w:val="continue"/>
                  <w:noWrap w:val="0"/>
                  <w:vAlign w:val="center"/>
                </w:tcPr>
                <w:p w14:paraId="6F28149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Cs w:val="21"/>
                      <w:lang w:val="en-US" w:eastAsia="zh-CN"/>
                    </w:rPr>
                  </w:pPr>
                </w:p>
              </w:tc>
            </w:tr>
            <w:tr w14:paraId="42CA00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49" w:type="pct"/>
                  <w:noWrap w:val="0"/>
                  <w:vAlign w:val="center"/>
                </w:tcPr>
                <w:p w14:paraId="29E559D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473" w:type="pct"/>
                  <w:noWrap w:val="0"/>
                  <w:vAlign w:val="center"/>
                </w:tcPr>
                <w:p w14:paraId="650E1CC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项目名称</w:t>
                  </w:r>
                </w:p>
              </w:tc>
              <w:tc>
                <w:tcPr>
                  <w:tcW w:w="1081" w:type="pct"/>
                  <w:noWrap w:val="0"/>
                  <w:vAlign w:val="center"/>
                </w:tcPr>
                <w:p w14:paraId="14EFB71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年产</w:t>
                  </w:r>
                  <w:r>
                    <w:rPr>
                      <w:rFonts w:hint="default" w:ascii="Times New Roman" w:hAnsi="Times New Roman" w:eastAsia="宋体" w:cs="Times New Roman"/>
                      <w:color w:val="auto"/>
                      <w:szCs w:val="21"/>
                      <w:lang w:val="en-US" w:eastAsia="zh-CN"/>
                    </w:rPr>
                    <w:t>6000</w:t>
                  </w:r>
                  <w:r>
                    <w:rPr>
                      <w:rFonts w:hint="default" w:ascii="Times New Roman" w:hAnsi="Times New Roman" w:eastAsia="宋体" w:cs="Times New Roman"/>
                      <w:color w:val="auto"/>
                      <w:szCs w:val="21"/>
                    </w:rPr>
                    <w:t>万只塑料</w:t>
                  </w:r>
                  <w:r>
                    <w:rPr>
                      <w:rFonts w:hint="default" w:ascii="Times New Roman" w:hAnsi="Times New Roman" w:eastAsia="宋体" w:cs="Times New Roman"/>
                      <w:color w:val="auto"/>
                      <w:szCs w:val="21"/>
                      <w:lang w:val="en-US" w:eastAsia="zh-CN"/>
                    </w:rPr>
                    <w:t>瓶</w:t>
                  </w:r>
                  <w:r>
                    <w:rPr>
                      <w:rFonts w:hint="default" w:ascii="Times New Roman" w:hAnsi="Times New Roman" w:eastAsia="宋体" w:cs="Times New Roman"/>
                      <w:color w:val="auto"/>
                      <w:szCs w:val="21"/>
                    </w:rPr>
                    <w:t>项目</w:t>
                  </w:r>
                </w:p>
              </w:tc>
              <w:tc>
                <w:tcPr>
                  <w:tcW w:w="1189" w:type="pct"/>
                  <w:noWrap w:val="0"/>
                  <w:vAlign w:val="center"/>
                </w:tcPr>
                <w:p w14:paraId="6D23E57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年产</w:t>
                  </w:r>
                  <w:r>
                    <w:rPr>
                      <w:rFonts w:hint="default" w:ascii="Times New Roman" w:hAnsi="Times New Roman" w:eastAsia="宋体" w:cs="Times New Roman"/>
                      <w:color w:val="auto"/>
                      <w:szCs w:val="21"/>
                      <w:lang w:val="en-US" w:eastAsia="zh-CN"/>
                    </w:rPr>
                    <w:t>6000</w:t>
                  </w:r>
                  <w:r>
                    <w:rPr>
                      <w:rFonts w:hint="default" w:ascii="Times New Roman" w:hAnsi="Times New Roman" w:eastAsia="宋体" w:cs="Times New Roman"/>
                      <w:color w:val="auto"/>
                      <w:szCs w:val="21"/>
                    </w:rPr>
                    <w:t>万只塑料</w:t>
                  </w:r>
                  <w:r>
                    <w:rPr>
                      <w:rFonts w:hint="default" w:ascii="Times New Roman" w:hAnsi="Times New Roman" w:eastAsia="宋体" w:cs="Times New Roman"/>
                      <w:color w:val="auto"/>
                      <w:szCs w:val="21"/>
                      <w:lang w:val="en-US" w:eastAsia="zh-CN"/>
                    </w:rPr>
                    <w:t>瓶</w:t>
                  </w:r>
                  <w:r>
                    <w:rPr>
                      <w:rFonts w:hint="default" w:ascii="Times New Roman" w:hAnsi="Times New Roman" w:eastAsia="宋体" w:cs="Times New Roman"/>
                      <w:color w:val="auto"/>
                      <w:szCs w:val="21"/>
                    </w:rPr>
                    <w:t>项目</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一期</w:t>
                  </w:r>
                  <w:r>
                    <w:rPr>
                      <w:rFonts w:hint="eastAsia" w:ascii="Times New Roman" w:hAnsi="Times New Roman" w:eastAsia="宋体" w:cs="Times New Roman"/>
                      <w:color w:val="auto"/>
                      <w:szCs w:val="21"/>
                      <w:lang w:eastAsia="zh-CN"/>
                    </w:rPr>
                    <w:t>）</w:t>
                  </w:r>
                </w:p>
              </w:tc>
              <w:tc>
                <w:tcPr>
                  <w:tcW w:w="1148" w:type="pct"/>
                  <w:noWrap w:val="0"/>
                  <w:vAlign w:val="center"/>
                </w:tcPr>
                <w:p w14:paraId="5344721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年产</w:t>
                  </w:r>
                  <w:r>
                    <w:rPr>
                      <w:rFonts w:hint="default" w:ascii="Times New Roman" w:hAnsi="Times New Roman" w:eastAsia="宋体" w:cs="Times New Roman"/>
                      <w:color w:val="auto"/>
                      <w:szCs w:val="21"/>
                      <w:lang w:val="en-US" w:eastAsia="zh-CN"/>
                    </w:rPr>
                    <w:t>6000</w:t>
                  </w:r>
                  <w:r>
                    <w:rPr>
                      <w:rFonts w:hint="default" w:ascii="Times New Roman" w:hAnsi="Times New Roman" w:eastAsia="宋体" w:cs="Times New Roman"/>
                      <w:color w:val="auto"/>
                      <w:szCs w:val="21"/>
                    </w:rPr>
                    <w:t>万只塑料</w:t>
                  </w:r>
                  <w:r>
                    <w:rPr>
                      <w:rFonts w:hint="default" w:ascii="Times New Roman" w:hAnsi="Times New Roman" w:eastAsia="宋体" w:cs="Times New Roman"/>
                      <w:color w:val="auto"/>
                      <w:szCs w:val="21"/>
                      <w:lang w:val="en-US" w:eastAsia="zh-CN"/>
                    </w:rPr>
                    <w:t>瓶</w:t>
                  </w:r>
                  <w:r>
                    <w:rPr>
                      <w:rFonts w:hint="default" w:ascii="Times New Roman" w:hAnsi="Times New Roman" w:eastAsia="宋体" w:cs="Times New Roman"/>
                      <w:color w:val="auto"/>
                      <w:szCs w:val="21"/>
                    </w:rPr>
                    <w:t>项目</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二期</w:t>
                  </w:r>
                  <w:r>
                    <w:rPr>
                      <w:rFonts w:hint="eastAsia" w:ascii="Times New Roman" w:hAnsi="Times New Roman" w:eastAsia="宋体" w:cs="Times New Roman"/>
                      <w:color w:val="auto"/>
                      <w:szCs w:val="21"/>
                      <w:lang w:eastAsia="zh-CN"/>
                    </w:rPr>
                    <w:t>）</w:t>
                  </w:r>
                </w:p>
              </w:tc>
              <w:tc>
                <w:tcPr>
                  <w:tcW w:w="858" w:type="pct"/>
                  <w:noWrap w:val="0"/>
                  <w:vAlign w:val="center"/>
                </w:tcPr>
                <w:p w14:paraId="1F60C12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一致</w:t>
                  </w:r>
                </w:p>
              </w:tc>
            </w:tr>
            <w:tr w14:paraId="6227D0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49" w:type="pct"/>
                  <w:noWrap w:val="0"/>
                  <w:vAlign w:val="center"/>
                </w:tcPr>
                <w:p w14:paraId="2CFEB09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473" w:type="pct"/>
                  <w:noWrap w:val="0"/>
                  <w:vAlign w:val="center"/>
                </w:tcPr>
                <w:p w14:paraId="5F52AC7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建设单位</w:t>
                  </w:r>
                </w:p>
              </w:tc>
              <w:tc>
                <w:tcPr>
                  <w:tcW w:w="1081" w:type="pct"/>
                  <w:noWrap w:val="0"/>
                  <w:vAlign w:val="center"/>
                </w:tcPr>
                <w:p w14:paraId="3E26562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河南</w:t>
                  </w:r>
                  <w:r>
                    <w:rPr>
                      <w:rFonts w:hint="default" w:ascii="Times New Roman" w:hAnsi="Times New Roman" w:eastAsia="宋体" w:cs="Times New Roman"/>
                      <w:color w:val="auto"/>
                      <w:szCs w:val="21"/>
                      <w:lang w:val="en-US" w:eastAsia="zh-CN"/>
                    </w:rPr>
                    <w:t>省养乐奇生物科技有限责任公司</w:t>
                  </w:r>
                </w:p>
              </w:tc>
              <w:tc>
                <w:tcPr>
                  <w:tcW w:w="1189" w:type="pct"/>
                  <w:noWrap w:val="0"/>
                  <w:vAlign w:val="center"/>
                </w:tcPr>
                <w:p w14:paraId="2C52601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河南</w:t>
                  </w:r>
                  <w:r>
                    <w:rPr>
                      <w:rFonts w:hint="default" w:ascii="Times New Roman" w:hAnsi="Times New Roman" w:eastAsia="宋体" w:cs="Times New Roman"/>
                      <w:color w:val="auto"/>
                      <w:szCs w:val="21"/>
                      <w:lang w:val="en-US" w:eastAsia="zh-CN"/>
                    </w:rPr>
                    <w:t>省养乐奇生物科技有限责任公司</w:t>
                  </w:r>
                </w:p>
              </w:tc>
              <w:tc>
                <w:tcPr>
                  <w:tcW w:w="1148" w:type="pct"/>
                  <w:noWrap w:val="0"/>
                  <w:vAlign w:val="center"/>
                </w:tcPr>
                <w:p w14:paraId="70972F6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河南</w:t>
                  </w:r>
                  <w:r>
                    <w:rPr>
                      <w:rFonts w:hint="default" w:ascii="Times New Roman" w:hAnsi="Times New Roman" w:eastAsia="宋体" w:cs="Times New Roman"/>
                      <w:color w:val="auto"/>
                      <w:szCs w:val="21"/>
                      <w:lang w:val="en-US" w:eastAsia="zh-CN"/>
                    </w:rPr>
                    <w:t>省养乐奇生物科技有限责任公司</w:t>
                  </w:r>
                </w:p>
              </w:tc>
              <w:tc>
                <w:tcPr>
                  <w:tcW w:w="858" w:type="pct"/>
                  <w:noWrap w:val="0"/>
                  <w:vAlign w:val="center"/>
                </w:tcPr>
                <w:p w14:paraId="7EC21FF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一致</w:t>
                  </w:r>
                </w:p>
              </w:tc>
            </w:tr>
            <w:tr w14:paraId="22DB6C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49" w:type="pct"/>
                  <w:noWrap w:val="0"/>
                  <w:vAlign w:val="center"/>
                </w:tcPr>
                <w:p w14:paraId="08E02A4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473" w:type="pct"/>
                  <w:noWrap w:val="0"/>
                  <w:vAlign w:val="center"/>
                </w:tcPr>
                <w:p w14:paraId="4836C98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产品方案</w:t>
                  </w:r>
                </w:p>
              </w:tc>
              <w:tc>
                <w:tcPr>
                  <w:tcW w:w="1081" w:type="pct"/>
                  <w:noWrap w:val="0"/>
                  <w:vAlign w:val="center"/>
                </w:tcPr>
                <w:p w14:paraId="05AC52D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年产</w:t>
                  </w:r>
                  <w:r>
                    <w:rPr>
                      <w:rFonts w:hint="default" w:ascii="Times New Roman" w:hAnsi="Times New Roman" w:eastAsia="宋体" w:cs="Times New Roman"/>
                      <w:color w:val="auto"/>
                      <w:szCs w:val="21"/>
                      <w:lang w:val="en-US" w:eastAsia="zh-CN"/>
                    </w:rPr>
                    <w:t>6000</w:t>
                  </w:r>
                  <w:r>
                    <w:rPr>
                      <w:rFonts w:hint="default" w:ascii="Times New Roman" w:hAnsi="Times New Roman" w:eastAsia="宋体" w:cs="Times New Roman"/>
                      <w:color w:val="auto"/>
                      <w:szCs w:val="21"/>
                    </w:rPr>
                    <w:t>万只塑料</w:t>
                  </w:r>
                  <w:r>
                    <w:rPr>
                      <w:rFonts w:hint="default" w:ascii="Times New Roman" w:hAnsi="Times New Roman" w:eastAsia="宋体" w:cs="Times New Roman"/>
                      <w:color w:val="auto"/>
                      <w:szCs w:val="21"/>
                      <w:lang w:val="en-US" w:eastAsia="zh-CN"/>
                    </w:rPr>
                    <w:t>瓶</w:t>
                  </w:r>
                </w:p>
              </w:tc>
              <w:tc>
                <w:tcPr>
                  <w:tcW w:w="1189" w:type="pct"/>
                  <w:noWrap w:val="0"/>
                  <w:vAlign w:val="center"/>
                </w:tcPr>
                <w:p w14:paraId="710D470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年产</w:t>
                  </w:r>
                  <w:r>
                    <w:rPr>
                      <w:rFonts w:hint="default" w:ascii="Times New Roman" w:hAnsi="Times New Roman" w:eastAsia="宋体" w:cs="Times New Roman"/>
                      <w:color w:val="auto"/>
                      <w:szCs w:val="21"/>
                      <w:lang w:val="en-US" w:eastAsia="zh-CN"/>
                    </w:rPr>
                    <w:t>6000</w:t>
                  </w:r>
                  <w:r>
                    <w:rPr>
                      <w:rFonts w:hint="default" w:ascii="Times New Roman" w:hAnsi="Times New Roman" w:eastAsia="宋体" w:cs="Times New Roman"/>
                      <w:color w:val="auto"/>
                      <w:szCs w:val="21"/>
                    </w:rPr>
                    <w:t>万只塑料</w:t>
                  </w:r>
                  <w:r>
                    <w:rPr>
                      <w:rFonts w:hint="default" w:ascii="Times New Roman" w:hAnsi="Times New Roman" w:eastAsia="宋体" w:cs="Times New Roman"/>
                      <w:color w:val="auto"/>
                      <w:szCs w:val="21"/>
                      <w:lang w:val="en-US" w:eastAsia="zh-CN"/>
                    </w:rPr>
                    <w:t>瓶</w:t>
                  </w:r>
                </w:p>
              </w:tc>
              <w:tc>
                <w:tcPr>
                  <w:tcW w:w="1148" w:type="pct"/>
                  <w:noWrap w:val="0"/>
                  <w:vAlign w:val="center"/>
                </w:tcPr>
                <w:p w14:paraId="2027001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lang w:val="en-US" w:eastAsia="zh-CN"/>
                    </w:rPr>
                  </w:pPr>
                  <w:r>
                    <w:rPr>
                      <w:rFonts w:hint="eastAsia" w:eastAsia="宋体" w:cs="Times New Roman"/>
                      <w:color w:val="auto"/>
                      <w:szCs w:val="21"/>
                      <w:lang w:val="en-US" w:eastAsia="zh-CN"/>
                    </w:rPr>
                    <w:t>/</w:t>
                  </w:r>
                </w:p>
              </w:tc>
              <w:tc>
                <w:tcPr>
                  <w:tcW w:w="858" w:type="pct"/>
                  <w:noWrap w:val="0"/>
                  <w:vAlign w:val="center"/>
                </w:tcPr>
                <w:p w14:paraId="191B967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 w:val="21"/>
                      <w:szCs w:val="21"/>
                      <w:lang w:val="en-US" w:eastAsia="zh-CN"/>
                    </w:rPr>
                    <w:t>分期建设，</w:t>
                  </w:r>
                  <w:r>
                    <w:rPr>
                      <w:rFonts w:hint="default" w:ascii="Times New Roman" w:hAnsi="Times New Roman" w:eastAsia="宋体" w:cs="Times New Roman"/>
                      <w:color w:val="auto"/>
                      <w:sz w:val="21"/>
                      <w:szCs w:val="21"/>
                      <w:lang w:val="en-US" w:eastAsia="zh-CN"/>
                    </w:rPr>
                    <w:t>本次一期工程</w:t>
                  </w:r>
                  <w:r>
                    <w:rPr>
                      <w:rFonts w:hint="eastAsia" w:eastAsia="宋体" w:cs="Times New Roman"/>
                      <w:color w:val="auto"/>
                      <w:sz w:val="21"/>
                      <w:szCs w:val="21"/>
                      <w:lang w:val="en-US" w:eastAsia="zh-CN"/>
                    </w:rPr>
                    <w:t>对吹瓶工序进行验收，一期吹瓶工序</w:t>
                  </w:r>
                  <w:r>
                    <w:rPr>
                      <w:rFonts w:hint="default" w:ascii="Times New Roman" w:hAnsi="Times New Roman" w:eastAsia="宋体" w:cs="Times New Roman"/>
                      <w:color w:val="auto"/>
                      <w:sz w:val="21"/>
                      <w:szCs w:val="21"/>
                      <w:lang w:val="en-US" w:eastAsia="zh-CN"/>
                    </w:rPr>
                    <w:t>原材料为瓶胚</w:t>
                  </w:r>
                  <w:r>
                    <w:rPr>
                      <w:rFonts w:hint="eastAsia" w:eastAsia="宋体" w:cs="Times New Roman"/>
                      <w:color w:val="auto"/>
                      <w:sz w:val="21"/>
                      <w:szCs w:val="21"/>
                      <w:lang w:val="en-US" w:eastAsia="zh-CN"/>
                    </w:rPr>
                    <w:t>，均来源于外购瓶胚</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pt-BR"/>
                    </w:rPr>
                    <w:t>其余</w:t>
                  </w:r>
                  <w:r>
                    <w:rPr>
                      <w:rFonts w:hint="eastAsia" w:eastAsia="宋体" w:cs="Times New Roman"/>
                      <w:color w:val="auto"/>
                      <w:sz w:val="21"/>
                      <w:szCs w:val="21"/>
                      <w:lang w:val="en-US" w:eastAsia="zh-CN"/>
                    </w:rPr>
                    <w:t>配料、注塑工序</w:t>
                  </w:r>
                  <w:r>
                    <w:rPr>
                      <w:rFonts w:hint="default" w:ascii="Times New Roman" w:hAnsi="Times New Roman" w:eastAsia="宋体" w:cs="Times New Roman"/>
                      <w:color w:val="auto"/>
                      <w:sz w:val="21"/>
                      <w:szCs w:val="21"/>
                      <w:lang w:val="pt-BR"/>
                    </w:rPr>
                    <w:t>为</w:t>
                  </w:r>
                  <w:r>
                    <w:rPr>
                      <w:rFonts w:hint="default" w:ascii="Times New Roman" w:hAnsi="Times New Roman" w:eastAsia="宋体" w:cs="Times New Roman"/>
                      <w:color w:val="auto"/>
                      <w:sz w:val="21"/>
                      <w:szCs w:val="21"/>
                      <w:lang w:val="en-US" w:eastAsia="zh-CN"/>
                    </w:rPr>
                    <w:t>二</w:t>
                  </w:r>
                  <w:r>
                    <w:rPr>
                      <w:rFonts w:hint="default" w:ascii="Times New Roman" w:hAnsi="Times New Roman" w:eastAsia="宋体" w:cs="Times New Roman"/>
                      <w:color w:val="auto"/>
                      <w:sz w:val="21"/>
                      <w:szCs w:val="21"/>
                      <w:lang w:val="pt-BR"/>
                    </w:rPr>
                    <w:t>期建设内容</w:t>
                  </w:r>
                  <w:r>
                    <w:rPr>
                      <w:rFonts w:hint="default" w:ascii="Times New Roman" w:hAnsi="Times New Roman" w:eastAsia="宋体" w:cs="Times New Roman"/>
                      <w:color w:val="auto"/>
                      <w:sz w:val="21"/>
                      <w:szCs w:val="21"/>
                      <w:lang w:val="pt-BR" w:eastAsia="zh-CN"/>
                    </w:rPr>
                    <w:t>。</w:t>
                  </w:r>
                </w:p>
              </w:tc>
            </w:tr>
            <w:tr w14:paraId="210E88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49" w:type="pct"/>
                  <w:noWrap w:val="0"/>
                  <w:vAlign w:val="center"/>
                </w:tcPr>
                <w:p w14:paraId="272DCA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473" w:type="pct"/>
                  <w:noWrap w:val="0"/>
                  <w:vAlign w:val="center"/>
                </w:tcPr>
                <w:p w14:paraId="2C89675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项目地址</w:t>
                  </w:r>
                </w:p>
              </w:tc>
              <w:tc>
                <w:tcPr>
                  <w:tcW w:w="1081" w:type="pct"/>
                  <w:noWrap w:val="0"/>
                  <w:vAlign w:val="center"/>
                </w:tcPr>
                <w:p w14:paraId="492F757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新乡市延津县先进制造业开发区南区创业园</w:t>
                  </w:r>
                </w:p>
              </w:tc>
              <w:tc>
                <w:tcPr>
                  <w:tcW w:w="1189" w:type="pct"/>
                  <w:noWrap w:val="0"/>
                  <w:vAlign w:val="center"/>
                </w:tcPr>
                <w:p w14:paraId="78A8B35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新乡市延津县先进制造业开发区南区创业园</w:t>
                  </w:r>
                </w:p>
              </w:tc>
              <w:tc>
                <w:tcPr>
                  <w:tcW w:w="1148" w:type="pct"/>
                  <w:noWrap w:val="0"/>
                  <w:vAlign w:val="center"/>
                </w:tcPr>
                <w:p w14:paraId="38FD78C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新乡市延津县先进制造业开发区南区创业园</w:t>
                  </w:r>
                </w:p>
              </w:tc>
              <w:tc>
                <w:tcPr>
                  <w:tcW w:w="858" w:type="pct"/>
                  <w:noWrap w:val="0"/>
                  <w:vAlign w:val="center"/>
                </w:tcPr>
                <w:p w14:paraId="7DE3D1E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一致</w:t>
                  </w:r>
                </w:p>
              </w:tc>
            </w:tr>
            <w:tr w14:paraId="623342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49" w:type="pct"/>
                  <w:noWrap w:val="0"/>
                  <w:vAlign w:val="center"/>
                </w:tcPr>
                <w:p w14:paraId="6D65ADC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473" w:type="pct"/>
                  <w:noWrap w:val="0"/>
                  <w:vAlign w:val="center"/>
                </w:tcPr>
                <w:p w14:paraId="0D87C8C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占地面积</w:t>
                  </w:r>
                </w:p>
              </w:tc>
              <w:tc>
                <w:tcPr>
                  <w:tcW w:w="1081" w:type="pct"/>
                  <w:noWrap w:val="0"/>
                  <w:vAlign w:val="center"/>
                </w:tcPr>
                <w:p w14:paraId="662B481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4978.28m</w:t>
                  </w:r>
                  <w:r>
                    <w:rPr>
                      <w:rFonts w:hint="default" w:ascii="Times New Roman" w:hAnsi="Times New Roman" w:eastAsia="宋体" w:cs="Times New Roman"/>
                      <w:color w:val="auto"/>
                      <w:szCs w:val="21"/>
                      <w:vertAlign w:val="superscript"/>
                      <w:lang w:val="en-US" w:eastAsia="zh-CN"/>
                    </w:rPr>
                    <w:t>2</w:t>
                  </w:r>
                </w:p>
              </w:tc>
              <w:tc>
                <w:tcPr>
                  <w:tcW w:w="1189" w:type="pct"/>
                  <w:noWrap w:val="0"/>
                  <w:vAlign w:val="center"/>
                </w:tcPr>
                <w:p w14:paraId="59B69D3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4978.28m</w:t>
                  </w:r>
                  <w:r>
                    <w:rPr>
                      <w:rFonts w:hint="default" w:ascii="Times New Roman" w:hAnsi="Times New Roman" w:eastAsia="宋体" w:cs="Times New Roman"/>
                      <w:color w:val="auto"/>
                      <w:szCs w:val="21"/>
                      <w:vertAlign w:val="superscript"/>
                      <w:lang w:val="en-US" w:eastAsia="zh-CN"/>
                    </w:rPr>
                    <w:t>2</w:t>
                  </w:r>
                </w:p>
              </w:tc>
              <w:tc>
                <w:tcPr>
                  <w:tcW w:w="1148" w:type="pct"/>
                  <w:noWrap w:val="0"/>
                  <w:vAlign w:val="center"/>
                </w:tcPr>
                <w:p w14:paraId="737B67E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858" w:type="pct"/>
                  <w:noWrap w:val="0"/>
                  <w:vAlign w:val="center"/>
                </w:tcPr>
                <w:p w14:paraId="4DD1AB1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一致</w:t>
                  </w:r>
                </w:p>
              </w:tc>
            </w:tr>
            <w:tr w14:paraId="2F4CF4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49" w:type="pct"/>
                  <w:noWrap w:val="0"/>
                  <w:vAlign w:val="center"/>
                </w:tcPr>
                <w:p w14:paraId="3703816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473" w:type="pct"/>
                  <w:noWrap w:val="0"/>
                  <w:vAlign w:val="center"/>
                </w:tcPr>
                <w:p w14:paraId="44FE79E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highlight w:val="none"/>
                    </w:rPr>
                    <w:t>总投资</w:t>
                  </w:r>
                </w:p>
              </w:tc>
              <w:tc>
                <w:tcPr>
                  <w:tcW w:w="1081" w:type="pct"/>
                  <w:noWrap w:val="0"/>
                  <w:vAlign w:val="center"/>
                </w:tcPr>
                <w:p w14:paraId="0BF955D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1000万</w:t>
                  </w:r>
                </w:p>
              </w:tc>
              <w:tc>
                <w:tcPr>
                  <w:tcW w:w="1189" w:type="pct"/>
                  <w:noWrap w:val="0"/>
                  <w:vAlign w:val="center"/>
                </w:tcPr>
                <w:p w14:paraId="6EC859A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700万</w:t>
                  </w:r>
                </w:p>
              </w:tc>
              <w:tc>
                <w:tcPr>
                  <w:tcW w:w="1148" w:type="pct"/>
                  <w:noWrap w:val="0"/>
                  <w:vAlign w:val="center"/>
                </w:tcPr>
                <w:p w14:paraId="331A03F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300万</w:t>
                  </w:r>
                </w:p>
              </w:tc>
              <w:tc>
                <w:tcPr>
                  <w:tcW w:w="858" w:type="pct"/>
                  <w:noWrap w:val="0"/>
                  <w:vAlign w:val="center"/>
                </w:tcPr>
                <w:p w14:paraId="1A4004B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分期建设</w:t>
                  </w:r>
                </w:p>
              </w:tc>
            </w:tr>
            <w:tr w14:paraId="20259E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2" w:hRule="atLeast"/>
                <w:jc w:val="center"/>
              </w:trPr>
              <w:tc>
                <w:tcPr>
                  <w:tcW w:w="249" w:type="pct"/>
                  <w:noWrap w:val="0"/>
                  <w:vAlign w:val="center"/>
                </w:tcPr>
                <w:p w14:paraId="3336D2B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w:t>
                  </w:r>
                </w:p>
              </w:tc>
              <w:tc>
                <w:tcPr>
                  <w:tcW w:w="473" w:type="pct"/>
                  <w:noWrap w:val="0"/>
                  <w:vAlign w:val="center"/>
                </w:tcPr>
                <w:p w14:paraId="7DBBB55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主要工艺</w:t>
                  </w:r>
                </w:p>
              </w:tc>
              <w:tc>
                <w:tcPr>
                  <w:tcW w:w="1081" w:type="pct"/>
                  <w:noWrap w:val="0"/>
                  <w:vAlign w:val="center"/>
                </w:tcPr>
                <w:p w14:paraId="208B634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原料-配料-注塑-</w:t>
                  </w:r>
                  <w:r>
                    <w:rPr>
                      <w:rFonts w:hint="default" w:ascii="Times New Roman" w:hAnsi="Times New Roman" w:eastAsia="宋体" w:cs="Times New Roman"/>
                      <w:color w:val="auto"/>
                      <w:szCs w:val="21"/>
                    </w:rPr>
                    <w:t>瓶胚-吹瓶</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成品</w:t>
                  </w:r>
                </w:p>
              </w:tc>
              <w:tc>
                <w:tcPr>
                  <w:tcW w:w="1189" w:type="pct"/>
                  <w:noWrap w:val="0"/>
                  <w:vAlign w:val="center"/>
                </w:tcPr>
                <w:p w14:paraId="50DA7A3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w:t>
                  </w:r>
                  <w:r>
                    <w:rPr>
                      <w:rFonts w:hint="default" w:ascii="Times New Roman" w:hAnsi="Times New Roman" w:eastAsia="宋体" w:cs="Times New Roman"/>
                      <w:color w:val="auto"/>
                      <w:szCs w:val="21"/>
                    </w:rPr>
                    <w:t>瓶胚-吹瓶</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成品</w:t>
                  </w:r>
                </w:p>
              </w:tc>
              <w:tc>
                <w:tcPr>
                  <w:tcW w:w="1148" w:type="pct"/>
                  <w:noWrap w:val="0"/>
                  <w:vAlign w:val="center"/>
                </w:tcPr>
                <w:p w14:paraId="7DD8DA5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原料-配料-注塑-</w:t>
                  </w:r>
                  <w:r>
                    <w:rPr>
                      <w:rFonts w:hint="default" w:ascii="Times New Roman" w:hAnsi="Times New Roman" w:eastAsia="宋体" w:cs="Times New Roman"/>
                      <w:color w:val="auto"/>
                      <w:szCs w:val="21"/>
                    </w:rPr>
                    <w:t>瓶胚</w:t>
                  </w:r>
                </w:p>
              </w:tc>
              <w:tc>
                <w:tcPr>
                  <w:tcW w:w="858" w:type="pct"/>
                  <w:noWrap w:val="0"/>
                  <w:vAlign w:val="center"/>
                </w:tcPr>
                <w:p w14:paraId="2C140C1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 w:val="21"/>
                      <w:szCs w:val="21"/>
                      <w:lang w:val="en-US" w:eastAsia="zh-CN"/>
                    </w:rPr>
                    <w:t>分期建设，</w:t>
                  </w:r>
                  <w:r>
                    <w:rPr>
                      <w:rFonts w:hint="default" w:ascii="Times New Roman" w:hAnsi="Times New Roman" w:eastAsia="宋体" w:cs="Times New Roman"/>
                      <w:color w:val="auto"/>
                      <w:sz w:val="21"/>
                      <w:szCs w:val="21"/>
                      <w:lang w:val="en-US" w:eastAsia="zh-CN"/>
                    </w:rPr>
                    <w:t>本次一期工程</w:t>
                  </w:r>
                  <w:r>
                    <w:rPr>
                      <w:rFonts w:hint="eastAsia" w:eastAsia="宋体" w:cs="Times New Roman"/>
                      <w:color w:val="auto"/>
                      <w:sz w:val="21"/>
                      <w:szCs w:val="21"/>
                      <w:lang w:val="en-US" w:eastAsia="zh-CN"/>
                    </w:rPr>
                    <w:t>对吹瓶工序进行验收，一期吹瓶工序</w:t>
                  </w:r>
                  <w:r>
                    <w:rPr>
                      <w:rFonts w:hint="default" w:ascii="Times New Roman" w:hAnsi="Times New Roman" w:eastAsia="宋体" w:cs="Times New Roman"/>
                      <w:color w:val="auto"/>
                      <w:sz w:val="21"/>
                      <w:szCs w:val="21"/>
                      <w:lang w:val="en-US" w:eastAsia="zh-CN"/>
                    </w:rPr>
                    <w:t>原材料为瓶胚</w:t>
                  </w:r>
                  <w:r>
                    <w:rPr>
                      <w:rFonts w:hint="eastAsia" w:eastAsia="宋体" w:cs="Times New Roman"/>
                      <w:color w:val="auto"/>
                      <w:sz w:val="21"/>
                      <w:szCs w:val="21"/>
                      <w:lang w:val="en-US" w:eastAsia="zh-CN"/>
                    </w:rPr>
                    <w:t>，均来源于外购瓶胚</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pt-BR"/>
                    </w:rPr>
                    <w:t>其余</w:t>
                  </w:r>
                  <w:r>
                    <w:rPr>
                      <w:rFonts w:hint="eastAsia" w:eastAsia="宋体" w:cs="Times New Roman"/>
                      <w:color w:val="auto"/>
                      <w:sz w:val="21"/>
                      <w:szCs w:val="21"/>
                      <w:lang w:val="en-US" w:eastAsia="zh-CN"/>
                    </w:rPr>
                    <w:t>配料、注塑工序</w:t>
                  </w:r>
                  <w:r>
                    <w:rPr>
                      <w:rFonts w:hint="default" w:ascii="Times New Roman" w:hAnsi="Times New Roman" w:eastAsia="宋体" w:cs="Times New Roman"/>
                      <w:color w:val="auto"/>
                      <w:sz w:val="21"/>
                      <w:szCs w:val="21"/>
                      <w:lang w:val="pt-BR"/>
                    </w:rPr>
                    <w:t>为</w:t>
                  </w:r>
                  <w:r>
                    <w:rPr>
                      <w:rFonts w:hint="default" w:ascii="Times New Roman" w:hAnsi="Times New Roman" w:eastAsia="宋体" w:cs="Times New Roman"/>
                      <w:color w:val="auto"/>
                      <w:sz w:val="21"/>
                      <w:szCs w:val="21"/>
                      <w:lang w:val="en-US" w:eastAsia="zh-CN"/>
                    </w:rPr>
                    <w:t>二</w:t>
                  </w:r>
                  <w:r>
                    <w:rPr>
                      <w:rFonts w:hint="default" w:ascii="Times New Roman" w:hAnsi="Times New Roman" w:eastAsia="宋体" w:cs="Times New Roman"/>
                      <w:color w:val="auto"/>
                      <w:sz w:val="21"/>
                      <w:szCs w:val="21"/>
                      <w:lang w:val="pt-BR"/>
                    </w:rPr>
                    <w:t>期建设内容</w:t>
                  </w:r>
                  <w:r>
                    <w:rPr>
                      <w:rFonts w:hint="default" w:ascii="Times New Roman" w:hAnsi="Times New Roman" w:eastAsia="宋体" w:cs="Times New Roman"/>
                      <w:color w:val="auto"/>
                      <w:sz w:val="21"/>
                      <w:szCs w:val="21"/>
                      <w:lang w:val="pt-BR" w:eastAsia="zh-CN"/>
                    </w:rPr>
                    <w:t>。</w:t>
                  </w:r>
                </w:p>
              </w:tc>
            </w:tr>
            <w:tr w14:paraId="13A357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49" w:type="pct"/>
                  <w:tcBorders>
                    <w:bottom w:val="single" w:color="auto" w:sz="8" w:space="0"/>
                  </w:tcBorders>
                  <w:noWrap w:val="0"/>
                  <w:vAlign w:val="center"/>
                </w:tcPr>
                <w:p w14:paraId="55BE116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w:t>
                  </w:r>
                </w:p>
              </w:tc>
              <w:tc>
                <w:tcPr>
                  <w:tcW w:w="473" w:type="pct"/>
                  <w:tcBorders>
                    <w:bottom w:val="single" w:color="auto" w:sz="8" w:space="0"/>
                  </w:tcBorders>
                  <w:noWrap w:val="0"/>
                  <w:vAlign w:val="center"/>
                </w:tcPr>
                <w:p w14:paraId="0931E6A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定员与工作制度</w:t>
                  </w:r>
                </w:p>
              </w:tc>
              <w:tc>
                <w:tcPr>
                  <w:tcW w:w="1081" w:type="pct"/>
                  <w:tcBorders>
                    <w:bottom w:val="single" w:color="auto" w:sz="8" w:space="0"/>
                  </w:tcBorders>
                  <w:noWrap w:val="0"/>
                  <w:vAlign w:val="center"/>
                </w:tcPr>
                <w:p w14:paraId="1DA858A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highlight w:val="none"/>
                    </w:rPr>
                    <w:t>员工</w:t>
                  </w:r>
                  <w:r>
                    <w:rPr>
                      <w:rFonts w:hint="default" w:ascii="Times New Roman" w:hAnsi="Times New Roman" w:eastAsia="宋体" w:cs="Times New Roman"/>
                      <w:color w:val="auto"/>
                      <w:szCs w:val="21"/>
                      <w:highlight w:val="none"/>
                      <w:lang w:val="en-US" w:eastAsia="zh-CN"/>
                    </w:rPr>
                    <w:t>40</w:t>
                  </w:r>
                  <w:r>
                    <w:rPr>
                      <w:rFonts w:hint="default" w:ascii="Times New Roman" w:hAnsi="Times New Roman" w:eastAsia="宋体" w:cs="Times New Roman"/>
                      <w:color w:val="auto"/>
                      <w:szCs w:val="21"/>
                      <w:highlight w:val="none"/>
                    </w:rPr>
                    <w:t>人，2班制（每班</w:t>
                  </w:r>
                  <w:r>
                    <w:rPr>
                      <w:rFonts w:hint="default" w:ascii="Times New Roman" w:hAnsi="Times New Roman" w:eastAsia="宋体" w:cs="Times New Roman"/>
                      <w:color w:val="auto"/>
                      <w:szCs w:val="21"/>
                      <w:highlight w:val="none"/>
                      <w:lang w:val="en-US" w:eastAsia="zh-CN"/>
                    </w:rPr>
                    <w:t>12</w:t>
                  </w:r>
                  <w:r>
                    <w:rPr>
                      <w:rFonts w:hint="default" w:ascii="Times New Roman" w:hAnsi="Times New Roman" w:eastAsia="宋体" w:cs="Times New Roman"/>
                      <w:color w:val="auto"/>
                      <w:szCs w:val="21"/>
                      <w:highlight w:val="none"/>
                    </w:rPr>
                    <w:t>小时），年工作</w:t>
                  </w:r>
                  <w:r>
                    <w:rPr>
                      <w:rFonts w:hint="default" w:ascii="Times New Roman" w:hAnsi="Times New Roman" w:eastAsia="宋体" w:cs="Times New Roman"/>
                      <w:color w:val="auto"/>
                      <w:szCs w:val="21"/>
                      <w:highlight w:val="none"/>
                      <w:lang w:val="en-US" w:eastAsia="zh-CN"/>
                    </w:rPr>
                    <w:t>300</w:t>
                  </w:r>
                  <w:r>
                    <w:rPr>
                      <w:rFonts w:hint="default" w:ascii="Times New Roman" w:hAnsi="Times New Roman" w:eastAsia="宋体" w:cs="Times New Roman"/>
                      <w:color w:val="auto"/>
                      <w:szCs w:val="21"/>
                      <w:highlight w:val="none"/>
                    </w:rPr>
                    <w:t>天</w:t>
                  </w:r>
                </w:p>
              </w:tc>
              <w:tc>
                <w:tcPr>
                  <w:tcW w:w="1189" w:type="pct"/>
                  <w:tcBorders>
                    <w:bottom w:val="single" w:color="auto" w:sz="8" w:space="0"/>
                  </w:tcBorders>
                  <w:noWrap w:val="0"/>
                  <w:vAlign w:val="center"/>
                </w:tcPr>
                <w:p w14:paraId="75925BE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员工</w:t>
                  </w:r>
                  <w:r>
                    <w:rPr>
                      <w:rFonts w:hint="default" w:ascii="Times New Roman" w:hAnsi="Times New Roman" w:eastAsia="宋体" w:cs="Times New Roman"/>
                      <w:color w:val="auto"/>
                      <w:szCs w:val="21"/>
                      <w:highlight w:val="none"/>
                      <w:lang w:val="en-US" w:eastAsia="zh-CN"/>
                    </w:rPr>
                    <w:t>40</w:t>
                  </w:r>
                  <w:r>
                    <w:rPr>
                      <w:rFonts w:hint="default" w:ascii="Times New Roman" w:hAnsi="Times New Roman" w:eastAsia="宋体" w:cs="Times New Roman"/>
                      <w:color w:val="auto"/>
                      <w:szCs w:val="21"/>
                      <w:highlight w:val="none"/>
                    </w:rPr>
                    <w:t>人，2班制（每班</w:t>
                  </w:r>
                  <w:r>
                    <w:rPr>
                      <w:rFonts w:hint="default" w:ascii="Times New Roman" w:hAnsi="Times New Roman" w:eastAsia="宋体" w:cs="Times New Roman"/>
                      <w:color w:val="auto"/>
                      <w:szCs w:val="21"/>
                      <w:highlight w:val="none"/>
                      <w:lang w:val="en-US" w:eastAsia="zh-CN"/>
                    </w:rPr>
                    <w:t>12</w:t>
                  </w:r>
                  <w:r>
                    <w:rPr>
                      <w:rFonts w:hint="default" w:ascii="Times New Roman" w:hAnsi="Times New Roman" w:eastAsia="宋体" w:cs="Times New Roman"/>
                      <w:color w:val="auto"/>
                      <w:szCs w:val="21"/>
                      <w:highlight w:val="none"/>
                    </w:rPr>
                    <w:t>小时），年工作</w:t>
                  </w:r>
                  <w:r>
                    <w:rPr>
                      <w:rFonts w:hint="default" w:ascii="Times New Roman" w:hAnsi="Times New Roman" w:eastAsia="宋体" w:cs="Times New Roman"/>
                      <w:color w:val="auto"/>
                      <w:szCs w:val="21"/>
                      <w:highlight w:val="none"/>
                      <w:lang w:val="en-US" w:eastAsia="zh-CN"/>
                    </w:rPr>
                    <w:t>300</w:t>
                  </w:r>
                  <w:r>
                    <w:rPr>
                      <w:rFonts w:hint="default" w:ascii="Times New Roman" w:hAnsi="Times New Roman" w:eastAsia="宋体" w:cs="Times New Roman"/>
                      <w:color w:val="auto"/>
                      <w:szCs w:val="21"/>
                      <w:highlight w:val="none"/>
                    </w:rPr>
                    <w:t>天</w:t>
                  </w:r>
                </w:p>
              </w:tc>
              <w:tc>
                <w:tcPr>
                  <w:tcW w:w="1148" w:type="pct"/>
                  <w:tcBorders>
                    <w:bottom w:val="single" w:color="auto" w:sz="8" w:space="0"/>
                  </w:tcBorders>
                  <w:noWrap w:val="0"/>
                  <w:vAlign w:val="center"/>
                </w:tcPr>
                <w:p w14:paraId="610A314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利用一期</w:t>
                  </w:r>
                </w:p>
              </w:tc>
              <w:tc>
                <w:tcPr>
                  <w:tcW w:w="858" w:type="pct"/>
                  <w:tcBorders>
                    <w:bottom w:val="single" w:color="auto" w:sz="8" w:space="0"/>
                  </w:tcBorders>
                  <w:noWrap w:val="0"/>
                  <w:vAlign w:val="center"/>
                </w:tcPr>
                <w:p w14:paraId="76EF764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一致</w:t>
                  </w:r>
                </w:p>
              </w:tc>
            </w:tr>
          </w:tbl>
          <w:p w14:paraId="7E4ABA2C">
            <w:pPr>
              <w:adjustRightInd/>
              <w:snapToGrid/>
              <w:spacing w:after="0"/>
              <w:rPr>
                <w:rFonts w:eastAsia="仿宋_GB2312"/>
                <w:b/>
                <w:color w:val="auto"/>
                <w:sz w:val="21"/>
                <w:szCs w:val="21"/>
              </w:rPr>
            </w:pPr>
          </w:p>
        </w:tc>
      </w:tr>
    </w:tbl>
    <w:p w14:paraId="67359470">
      <w:pPr>
        <w:spacing w:after="0" w:line="520" w:lineRule="exact"/>
        <w:rPr>
          <w:rFonts w:eastAsia="黑体"/>
          <w:color w:val="auto"/>
          <w:sz w:val="24"/>
          <w:szCs w:val="24"/>
        </w:rPr>
        <w:sectPr>
          <w:pgSz w:w="16838" w:h="11906" w:orient="landscape"/>
          <w:pgMar w:top="1797" w:right="1440" w:bottom="1797" w:left="1440" w:header="709" w:footer="709" w:gutter="0"/>
          <w:pgBorders>
            <w:top w:val="none" w:sz="0" w:space="0"/>
            <w:left w:val="none" w:sz="0" w:space="0"/>
            <w:bottom w:val="none" w:sz="0" w:space="0"/>
            <w:right w:val="none" w:sz="0" w:space="0"/>
          </w:pgBorders>
          <w:cols w:space="720" w:num="1"/>
          <w:docGrid w:linePitch="360" w:charSpace="0"/>
        </w:sectPr>
      </w:pPr>
    </w:p>
    <w:tbl>
      <w:tblPr>
        <w:tblStyle w:val="18"/>
        <w:tblW w:w="90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28"/>
      </w:tblGrid>
      <w:tr w14:paraId="591256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5" w:hRule="atLeast"/>
          <w:jc w:val="center"/>
        </w:trPr>
        <w:tc>
          <w:tcPr>
            <w:tcW w:w="9028" w:type="dxa"/>
          </w:tcPr>
          <w:p w14:paraId="2CF7046E">
            <w:pPr>
              <w:spacing w:line="460" w:lineRule="exact"/>
              <w:ind w:firstLine="480" w:firstLineChars="20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val="0"/>
                <w:bCs w:val="0"/>
                <w:snapToGrid/>
                <w:color w:val="auto"/>
                <w:kern w:val="0"/>
                <w:sz w:val="24"/>
                <w:szCs w:val="24"/>
                <w:highlight w:val="none"/>
                <w:u w:val="none"/>
                <w:lang w:val="en-US" w:eastAsia="zh-CN" w:bidi="ar"/>
              </w:rPr>
              <w:t>本</w:t>
            </w:r>
            <w:r>
              <w:rPr>
                <w:rFonts w:hint="default" w:ascii="Times New Roman" w:hAnsi="Times New Roman" w:eastAsia="宋体" w:cs="Times New Roman"/>
                <w:b w:val="0"/>
                <w:bCs w:val="0"/>
                <w:snapToGrid/>
                <w:color w:val="auto"/>
                <w:kern w:val="0"/>
                <w:sz w:val="24"/>
                <w:szCs w:val="24"/>
                <w:highlight w:val="none"/>
                <w:u w:val="none"/>
                <w:lang w:val="en-US" w:eastAsia="zh-CN" w:bidi="ar"/>
              </w:rPr>
              <w:t>项目分期建设分期验收</w:t>
            </w:r>
            <w:r>
              <w:rPr>
                <w:rFonts w:hint="eastAsia" w:ascii="Times New Roman" w:hAnsi="Times New Roman" w:eastAsia="宋体" w:cs="Times New Roman"/>
                <w:b w:val="0"/>
                <w:bCs w:val="0"/>
                <w:snapToGrid/>
                <w:color w:val="auto"/>
                <w:kern w:val="0"/>
                <w:sz w:val="24"/>
                <w:szCs w:val="24"/>
                <w:highlight w:val="none"/>
                <w:u w:val="none"/>
                <w:lang w:val="en-US" w:eastAsia="zh-CN" w:bidi="ar"/>
              </w:rPr>
              <w:t>，</w:t>
            </w:r>
            <w:r>
              <w:rPr>
                <w:rFonts w:hint="eastAsia" w:ascii="Times New Roman" w:hAnsi="Times New Roman" w:eastAsia="宋体" w:cs="Times New Roman"/>
                <w:color w:val="auto"/>
                <w:sz w:val="24"/>
                <w:szCs w:val="24"/>
                <w:highlight w:val="none"/>
                <w:lang w:val="en-US" w:eastAsia="zh-CN"/>
              </w:rPr>
              <w:t>由上表可知，</w:t>
            </w:r>
            <w:r>
              <w:rPr>
                <w:rFonts w:hint="eastAsia" w:eastAsia="宋体"/>
                <w:color w:val="auto"/>
                <w:sz w:val="24"/>
                <w:lang w:val="en-US" w:eastAsia="zh-CN"/>
              </w:rPr>
              <w:t>项目基本概况未发生变化，与环评一致。</w:t>
            </w:r>
          </w:p>
          <w:p w14:paraId="1C1B02D2">
            <w:pPr>
              <w:spacing w:after="0" w:line="460" w:lineRule="exact"/>
              <w:ind w:firstLine="482" w:firstLineChars="200"/>
              <w:jc w:val="both"/>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4、项目主要组成</w:t>
            </w:r>
          </w:p>
          <w:p w14:paraId="7C63F9B2">
            <w:pPr>
              <w:numPr>
                <w:ilvl w:val="0"/>
                <w:numId w:val="0"/>
              </w:numPr>
              <w:adjustRightInd/>
              <w:snapToGrid/>
              <w:spacing w:after="0"/>
              <w:ind w:leftChars="200"/>
              <w:rPr>
                <w:rFonts w:ascii="Times New Roman" w:hAnsi="Times New Roman" w:eastAsia="黑体" w:cs="Times New Roman"/>
                <w:color w:val="auto"/>
                <w:sz w:val="24"/>
                <w:szCs w:val="21"/>
              </w:rPr>
            </w:pPr>
            <w:r>
              <w:rPr>
                <w:rFonts w:ascii="Times New Roman" w:hAnsi="Times New Roman" w:eastAsia="黑体" w:cs="Times New Roman"/>
                <w:color w:val="auto"/>
                <w:sz w:val="24"/>
                <w:szCs w:val="21"/>
              </w:rPr>
              <w:t>表</w:t>
            </w:r>
            <w:r>
              <w:rPr>
                <w:rFonts w:hint="eastAsia" w:ascii="Times New Roman" w:hAnsi="Times New Roman" w:eastAsia="黑体" w:cs="Times New Roman"/>
                <w:color w:val="auto"/>
                <w:sz w:val="24"/>
                <w:szCs w:val="21"/>
                <w:lang w:val="en-US" w:eastAsia="zh-CN"/>
              </w:rPr>
              <w:t xml:space="preserve">6                      </w:t>
            </w:r>
            <w:r>
              <w:rPr>
                <w:rFonts w:ascii="Times New Roman" w:hAnsi="Times New Roman" w:eastAsia="黑体" w:cs="Times New Roman"/>
                <w:color w:val="auto"/>
                <w:sz w:val="24"/>
                <w:szCs w:val="21"/>
              </w:rPr>
              <w:t>项目组成一览表</w:t>
            </w:r>
          </w:p>
          <w:tbl>
            <w:tblPr>
              <w:tblStyle w:val="18"/>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1" w:type="dxa"/>
                <w:bottom w:w="0" w:type="dxa"/>
                <w:right w:w="11" w:type="dxa"/>
              </w:tblCellMar>
            </w:tblPr>
            <w:tblGrid>
              <w:gridCol w:w="350"/>
              <w:gridCol w:w="1049"/>
              <w:gridCol w:w="525"/>
              <w:gridCol w:w="1096"/>
              <w:gridCol w:w="994"/>
              <w:gridCol w:w="1214"/>
              <w:gridCol w:w="1200"/>
              <w:gridCol w:w="1348"/>
              <w:gridCol w:w="1031"/>
            </w:tblGrid>
            <w:tr w14:paraId="1F391E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99" w:type="pct"/>
                  <w:vMerge w:val="restart"/>
                  <w:noWrap w:val="0"/>
                  <w:vAlign w:val="center"/>
                </w:tcPr>
                <w:p w14:paraId="05D756D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lang w:val="pt-BR"/>
                    </w:rPr>
                  </w:pPr>
                  <w:r>
                    <w:rPr>
                      <w:rFonts w:hint="default" w:ascii="Times New Roman" w:hAnsi="Times New Roman" w:eastAsia="宋体" w:cs="Times New Roman"/>
                      <w:b/>
                      <w:color w:val="auto"/>
                      <w:sz w:val="21"/>
                      <w:szCs w:val="21"/>
                      <w:lang w:val="pt-BR"/>
                    </w:rPr>
                    <w:t>序号</w:t>
                  </w:r>
                </w:p>
              </w:tc>
              <w:tc>
                <w:tcPr>
                  <w:tcW w:w="595" w:type="pct"/>
                  <w:vMerge w:val="restart"/>
                  <w:noWrap w:val="0"/>
                  <w:vAlign w:val="center"/>
                </w:tcPr>
                <w:p w14:paraId="19D6FE9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lang w:val="pt-BR"/>
                    </w:rPr>
                  </w:pPr>
                  <w:r>
                    <w:rPr>
                      <w:rFonts w:hint="default" w:ascii="Times New Roman" w:hAnsi="Times New Roman" w:eastAsia="宋体" w:cs="Times New Roman"/>
                      <w:b/>
                      <w:color w:val="auto"/>
                      <w:sz w:val="21"/>
                      <w:szCs w:val="21"/>
                      <w:lang w:val="pt-BR"/>
                    </w:rPr>
                    <w:t>项目</w:t>
                  </w:r>
                </w:p>
              </w:tc>
              <w:tc>
                <w:tcPr>
                  <w:tcW w:w="920" w:type="pct"/>
                  <w:gridSpan w:val="2"/>
                  <w:vMerge w:val="restart"/>
                  <w:noWrap w:val="0"/>
                  <w:vAlign w:val="center"/>
                </w:tcPr>
                <w:p w14:paraId="16B3643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lang w:val="pt-BR"/>
                    </w:rPr>
                  </w:pPr>
                  <w:r>
                    <w:rPr>
                      <w:rFonts w:hint="default" w:ascii="Times New Roman" w:hAnsi="Times New Roman" w:eastAsia="宋体" w:cs="Times New Roman"/>
                      <w:b/>
                      <w:color w:val="auto"/>
                      <w:sz w:val="21"/>
                      <w:szCs w:val="21"/>
                      <w:lang w:val="pt-BR"/>
                    </w:rPr>
                    <w:t>内容</w:t>
                  </w:r>
                </w:p>
              </w:tc>
              <w:tc>
                <w:tcPr>
                  <w:tcW w:w="2699" w:type="pct"/>
                  <w:gridSpan w:val="4"/>
                  <w:noWrap w:val="0"/>
                  <w:vAlign w:val="center"/>
                </w:tcPr>
                <w:p w14:paraId="348EF16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lang w:val="pt-BR"/>
                    </w:rPr>
                  </w:pPr>
                  <w:r>
                    <w:rPr>
                      <w:rFonts w:hint="default" w:ascii="Times New Roman" w:hAnsi="Times New Roman" w:eastAsia="宋体" w:cs="Times New Roman"/>
                      <w:b/>
                      <w:color w:val="auto"/>
                      <w:sz w:val="21"/>
                      <w:szCs w:val="21"/>
                      <w:lang w:val="pt-BR"/>
                    </w:rPr>
                    <w:t>数量、规模或要求</w:t>
                  </w:r>
                </w:p>
              </w:tc>
              <w:tc>
                <w:tcPr>
                  <w:tcW w:w="585" w:type="pct"/>
                  <w:vMerge w:val="restart"/>
                  <w:noWrap w:val="0"/>
                  <w:vAlign w:val="center"/>
                </w:tcPr>
                <w:p w14:paraId="1ADF539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lang w:val="pt-BR"/>
                    </w:rPr>
                  </w:pPr>
                  <w:r>
                    <w:rPr>
                      <w:rFonts w:hint="eastAsia" w:ascii="Times New Roman" w:hAnsi="Times New Roman" w:eastAsia="宋体"/>
                      <w:b/>
                      <w:color w:val="auto"/>
                      <w:kern w:val="36"/>
                      <w:sz w:val="21"/>
                      <w:szCs w:val="21"/>
                    </w:rPr>
                    <w:t>一致性</w:t>
                  </w:r>
                </w:p>
              </w:tc>
            </w:tr>
            <w:tr w14:paraId="7FCC37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99" w:type="pct"/>
                  <w:vMerge w:val="continue"/>
                  <w:noWrap w:val="0"/>
                  <w:vAlign w:val="center"/>
                </w:tcPr>
                <w:p w14:paraId="5044CF4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lang w:val="pt-BR"/>
                    </w:rPr>
                  </w:pPr>
                </w:p>
              </w:tc>
              <w:tc>
                <w:tcPr>
                  <w:tcW w:w="595" w:type="pct"/>
                  <w:vMerge w:val="continue"/>
                  <w:noWrap w:val="0"/>
                  <w:vAlign w:val="center"/>
                </w:tcPr>
                <w:p w14:paraId="70D0B3D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lang w:val="pt-BR"/>
                    </w:rPr>
                  </w:pPr>
                </w:p>
              </w:tc>
              <w:tc>
                <w:tcPr>
                  <w:tcW w:w="920" w:type="pct"/>
                  <w:gridSpan w:val="2"/>
                  <w:vMerge w:val="continue"/>
                  <w:noWrap w:val="0"/>
                  <w:vAlign w:val="center"/>
                </w:tcPr>
                <w:p w14:paraId="56E100D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lang w:val="pt-BR"/>
                    </w:rPr>
                  </w:pPr>
                </w:p>
              </w:tc>
              <w:tc>
                <w:tcPr>
                  <w:tcW w:w="1253" w:type="pct"/>
                  <w:gridSpan w:val="2"/>
                  <w:noWrap w:val="0"/>
                  <w:vAlign w:val="center"/>
                </w:tcPr>
                <w:p w14:paraId="5B22901E">
                  <w:pPr>
                    <w:spacing w:after="0"/>
                    <w:jc w:val="center"/>
                    <w:rPr>
                      <w:rFonts w:hint="default" w:ascii="Times New Roman" w:hAnsi="Times New Roman" w:eastAsia="宋体" w:cs="Times New Roman"/>
                      <w:b/>
                      <w:color w:val="auto"/>
                      <w:sz w:val="21"/>
                      <w:szCs w:val="21"/>
                      <w:lang w:val="pt-BR"/>
                    </w:rPr>
                  </w:pPr>
                  <w:r>
                    <w:rPr>
                      <w:rFonts w:ascii="Times New Roman" w:hAnsi="Times New Roman" w:eastAsia="宋体"/>
                      <w:b/>
                      <w:color w:val="auto"/>
                      <w:sz w:val="21"/>
                      <w:szCs w:val="21"/>
                    </w:rPr>
                    <w:t>环评批复</w:t>
                  </w:r>
                </w:p>
              </w:tc>
              <w:tc>
                <w:tcPr>
                  <w:tcW w:w="1446" w:type="pct"/>
                  <w:gridSpan w:val="2"/>
                  <w:noWrap w:val="0"/>
                  <w:vAlign w:val="center"/>
                </w:tcPr>
                <w:p w14:paraId="11D8033E">
                  <w:pPr>
                    <w:spacing w:after="0"/>
                    <w:jc w:val="center"/>
                    <w:rPr>
                      <w:rFonts w:hint="default" w:ascii="Times New Roman" w:hAnsi="Times New Roman" w:eastAsia="宋体" w:cs="Times New Roman"/>
                      <w:b/>
                      <w:color w:val="auto"/>
                      <w:sz w:val="21"/>
                      <w:szCs w:val="21"/>
                      <w:lang w:val="pt-BR"/>
                    </w:rPr>
                  </w:pPr>
                  <w:r>
                    <w:rPr>
                      <w:rFonts w:ascii="Times New Roman" w:hAnsi="Times New Roman" w:eastAsia="宋体"/>
                      <w:b/>
                      <w:color w:val="auto"/>
                      <w:sz w:val="21"/>
                      <w:szCs w:val="21"/>
                    </w:rPr>
                    <w:t>实际建设</w:t>
                  </w:r>
                </w:p>
              </w:tc>
              <w:tc>
                <w:tcPr>
                  <w:tcW w:w="585" w:type="pct"/>
                  <w:vMerge w:val="continue"/>
                  <w:noWrap w:val="0"/>
                  <w:vAlign w:val="center"/>
                </w:tcPr>
                <w:p w14:paraId="34A96BB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lang w:val="pt-BR"/>
                    </w:rPr>
                  </w:pPr>
                </w:p>
              </w:tc>
            </w:tr>
            <w:tr w14:paraId="69E61F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99" w:type="pct"/>
                  <w:noWrap w:val="0"/>
                  <w:vAlign w:val="center"/>
                </w:tcPr>
                <w:p w14:paraId="6FEFEEA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1</w:t>
                  </w:r>
                </w:p>
              </w:tc>
              <w:tc>
                <w:tcPr>
                  <w:tcW w:w="595" w:type="pct"/>
                  <w:noWrap w:val="0"/>
                  <w:vAlign w:val="center"/>
                </w:tcPr>
                <w:p w14:paraId="0E8E5F7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主体工程</w:t>
                  </w:r>
                </w:p>
              </w:tc>
              <w:tc>
                <w:tcPr>
                  <w:tcW w:w="920" w:type="pct"/>
                  <w:gridSpan w:val="2"/>
                  <w:noWrap w:val="0"/>
                  <w:vAlign w:val="center"/>
                </w:tcPr>
                <w:p w14:paraId="2F5C5BB1">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生产厂房</w:t>
                  </w:r>
                </w:p>
              </w:tc>
              <w:tc>
                <w:tcPr>
                  <w:tcW w:w="1253" w:type="pct"/>
                  <w:gridSpan w:val="2"/>
                  <w:noWrap w:val="0"/>
                  <w:vAlign w:val="center"/>
                </w:tcPr>
                <w:p w14:paraId="18ABD15D">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建筑面积</w:t>
                  </w:r>
                  <w:r>
                    <w:rPr>
                      <w:rFonts w:hint="default" w:ascii="Times New Roman" w:hAnsi="Times New Roman" w:eastAsia="宋体" w:cs="Times New Roman"/>
                      <w:color w:val="auto"/>
                      <w:sz w:val="21"/>
                      <w:szCs w:val="21"/>
                      <w:lang w:val="en-US" w:eastAsia="zh-CN"/>
                    </w:rPr>
                    <w:t>4978.28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446" w:type="pct"/>
                  <w:gridSpan w:val="2"/>
                  <w:noWrap w:val="0"/>
                  <w:vAlign w:val="center"/>
                </w:tcPr>
                <w:p w14:paraId="75CDC881">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建筑面积</w:t>
                  </w:r>
                  <w:r>
                    <w:rPr>
                      <w:rFonts w:hint="default" w:ascii="Times New Roman" w:hAnsi="Times New Roman" w:eastAsia="宋体" w:cs="Times New Roman"/>
                      <w:color w:val="auto"/>
                      <w:sz w:val="21"/>
                      <w:szCs w:val="21"/>
                      <w:lang w:val="en-US" w:eastAsia="zh-CN"/>
                    </w:rPr>
                    <w:t>4978.28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585" w:type="pct"/>
                  <w:noWrap w:val="0"/>
                  <w:vAlign w:val="center"/>
                </w:tcPr>
                <w:p w14:paraId="64FFA86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一致</w:t>
                  </w:r>
                </w:p>
              </w:tc>
            </w:tr>
            <w:tr w14:paraId="6918FE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99" w:type="pct"/>
                  <w:noWrap w:val="0"/>
                  <w:vAlign w:val="center"/>
                </w:tcPr>
                <w:p w14:paraId="3DB4AD3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2</w:t>
                  </w:r>
                </w:p>
              </w:tc>
              <w:tc>
                <w:tcPr>
                  <w:tcW w:w="595" w:type="pct"/>
                  <w:noWrap w:val="0"/>
                  <w:vAlign w:val="center"/>
                </w:tcPr>
                <w:p w14:paraId="5A0BCB1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辅助工程</w:t>
                  </w:r>
                </w:p>
              </w:tc>
              <w:tc>
                <w:tcPr>
                  <w:tcW w:w="920" w:type="pct"/>
                  <w:gridSpan w:val="2"/>
                  <w:noWrap w:val="0"/>
                  <w:vAlign w:val="center"/>
                </w:tcPr>
                <w:p w14:paraId="2B52C847">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办公</w:t>
                  </w:r>
                  <w:r>
                    <w:rPr>
                      <w:rFonts w:hint="default" w:ascii="Times New Roman" w:hAnsi="Times New Roman" w:eastAsia="宋体" w:cs="Times New Roman"/>
                      <w:color w:val="auto"/>
                      <w:kern w:val="0"/>
                      <w:sz w:val="21"/>
                      <w:szCs w:val="21"/>
                      <w:lang w:val="en-US" w:eastAsia="zh-CN"/>
                    </w:rPr>
                    <w:t>室</w:t>
                  </w:r>
                </w:p>
              </w:tc>
              <w:tc>
                <w:tcPr>
                  <w:tcW w:w="1253" w:type="pct"/>
                  <w:gridSpan w:val="2"/>
                  <w:noWrap w:val="0"/>
                  <w:vAlign w:val="center"/>
                </w:tcPr>
                <w:p w14:paraId="259F6A21">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建筑面积30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1446" w:type="pct"/>
                  <w:gridSpan w:val="2"/>
                  <w:noWrap w:val="0"/>
                  <w:vAlign w:val="center"/>
                </w:tcPr>
                <w:p w14:paraId="3CE5E7A8">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建筑面积30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585" w:type="pct"/>
                  <w:noWrap w:val="0"/>
                  <w:vAlign w:val="center"/>
                </w:tcPr>
                <w:p w14:paraId="59F1D1AE">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一致</w:t>
                  </w:r>
                </w:p>
              </w:tc>
            </w:tr>
            <w:tr w14:paraId="099E53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539" w:hRule="atLeast"/>
                <w:jc w:val="center"/>
              </w:trPr>
              <w:tc>
                <w:tcPr>
                  <w:tcW w:w="199" w:type="pct"/>
                  <w:vMerge w:val="restart"/>
                  <w:noWrap w:val="0"/>
                  <w:vAlign w:val="center"/>
                </w:tcPr>
                <w:p w14:paraId="42EFE0C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3</w:t>
                  </w:r>
                </w:p>
              </w:tc>
              <w:tc>
                <w:tcPr>
                  <w:tcW w:w="595" w:type="pct"/>
                  <w:vMerge w:val="restart"/>
                  <w:noWrap w:val="0"/>
                  <w:vAlign w:val="center"/>
                </w:tcPr>
                <w:p w14:paraId="486C0B8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环保工程</w:t>
                  </w:r>
                </w:p>
              </w:tc>
              <w:tc>
                <w:tcPr>
                  <w:tcW w:w="298" w:type="pct"/>
                  <w:vMerge w:val="restart"/>
                  <w:noWrap w:val="0"/>
                  <w:vAlign w:val="center"/>
                </w:tcPr>
                <w:p w14:paraId="15D90D7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废水</w:t>
                  </w:r>
                </w:p>
              </w:tc>
              <w:tc>
                <w:tcPr>
                  <w:tcW w:w="622" w:type="pct"/>
                  <w:noWrap w:val="0"/>
                  <w:vAlign w:val="center"/>
                </w:tcPr>
                <w:p w14:paraId="302A497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bCs/>
                      <w:color w:val="auto"/>
                      <w:sz w:val="21"/>
                      <w:szCs w:val="21"/>
                      <w:lang w:val="en-US" w:eastAsia="zh-CN"/>
                    </w:rPr>
                    <w:t>生活污水</w:t>
                  </w:r>
                </w:p>
              </w:tc>
              <w:tc>
                <w:tcPr>
                  <w:tcW w:w="564" w:type="pct"/>
                  <w:noWrap w:val="0"/>
                  <w:vAlign w:val="center"/>
                </w:tcPr>
                <w:p w14:paraId="17ABB39E">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化粪池</w:t>
                  </w:r>
                </w:p>
              </w:tc>
              <w:tc>
                <w:tcPr>
                  <w:tcW w:w="689" w:type="pct"/>
                  <w:vMerge w:val="restart"/>
                  <w:noWrap w:val="0"/>
                  <w:vAlign w:val="center"/>
                </w:tcPr>
                <w:p w14:paraId="5AF23376">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kern w:val="0"/>
                      <w:sz w:val="21"/>
                      <w:szCs w:val="21"/>
                      <w:lang w:bidi="ar"/>
                    </w:rPr>
                    <w:t>延津县第一污水处理厂</w:t>
                  </w:r>
                </w:p>
              </w:tc>
              <w:tc>
                <w:tcPr>
                  <w:tcW w:w="681" w:type="pct"/>
                  <w:noWrap w:val="0"/>
                  <w:vAlign w:val="center"/>
                </w:tcPr>
                <w:p w14:paraId="1D759D41">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化粪池</w:t>
                  </w:r>
                </w:p>
              </w:tc>
              <w:tc>
                <w:tcPr>
                  <w:tcW w:w="764" w:type="pct"/>
                  <w:vMerge w:val="restart"/>
                  <w:noWrap w:val="0"/>
                  <w:vAlign w:val="center"/>
                </w:tcPr>
                <w:p w14:paraId="588EDCE3">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kern w:val="0"/>
                      <w:sz w:val="21"/>
                      <w:szCs w:val="21"/>
                      <w:lang w:bidi="ar"/>
                    </w:rPr>
                    <w:t>延津县第一污水处理厂</w:t>
                  </w:r>
                </w:p>
              </w:tc>
              <w:tc>
                <w:tcPr>
                  <w:tcW w:w="585" w:type="pct"/>
                  <w:vMerge w:val="restart"/>
                  <w:noWrap w:val="0"/>
                  <w:vAlign w:val="center"/>
                </w:tcPr>
                <w:p w14:paraId="30FA6294">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一致</w:t>
                  </w:r>
                </w:p>
              </w:tc>
            </w:tr>
            <w:tr w14:paraId="0F44D6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539" w:hRule="atLeast"/>
                <w:jc w:val="center"/>
              </w:trPr>
              <w:tc>
                <w:tcPr>
                  <w:tcW w:w="199" w:type="pct"/>
                  <w:vMerge w:val="continue"/>
                  <w:noWrap w:val="0"/>
                  <w:vAlign w:val="center"/>
                </w:tcPr>
                <w:p w14:paraId="66E323A8">
                  <w:pPr>
                    <w:keepNext w:val="0"/>
                    <w:keepLines w:val="0"/>
                    <w:pageBreakBefore w:val="0"/>
                    <w:widowControl/>
                    <w:kinsoku/>
                    <w:wordWrap/>
                    <w:overflowPunct/>
                    <w:topLinePunct w:val="0"/>
                    <w:autoSpaceDE/>
                    <w:autoSpaceDN/>
                    <w:bidi w:val="0"/>
                    <w:adjustRightInd w:val="0"/>
                    <w:snapToGrid w:val="0"/>
                    <w:spacing w:after="0"/>
                    <w:jc w:val="center"/>
                    <w:rPr>
                      <w:color w:val="auto"/>
                    </w:rPr>
                  </w:pPr>
                </w:p>
              </w:tc>
              <w:tc>
                <w:tcPr>
                  <w:tcW w:w="595" w:type="pct"/>
                  <w:vMerge w:val="continue"/>
                  <w:noWrap w:val="0"/>
                  <w:vAlign w:val="center"/>
                </w:tcPr>
                <w:p w14:paraId="695D001B">
                  <w:pPr>
                    <w:keepNext w:val="0"/>
                    <w:keepLines w:val="0"/>
                    <w:pageBreakBefore w:val="0"/>
                    <w:widowControl/>
                    <w:kinsoku/>
                    <w:wordWrap/>
                    <w:overflowPunct/>
                    <w:topLinePunct w:val="0"/>
                    <w:autoSpaceDE/>
                    <w:autoSpaceDN/>
                    <w:bidi w:val="0"/>
                    <w:adjustRightInd w:val="0"/>
                    <w:snapToGrid w:val="0"/>
                    <w:spacing w:after="0"/>
                    <w:jc w:val="center"/>
                    <w:rPr>
                      <w:color w:val="auto"/>
                    </w:rPr>
                  </w:pPr>
                </w:p>
              </w:tc>
              <w:tc>
                <w:tcPr>
                  <w:tcW w:w="298" w:type="pct"/>
                  <w:vMerge w:val="continue"/>
                  <w:noWrap w:val="0"/>
                  <w:vAlign w:val="center"/>
                </w:tcPr>
                <w:p w14:paraId="26361CD1">
                  <w:pPr>
                    <w:keepNext w:val="0"/>
                    <w:keepLines w:val="0"/>
                    <w:pageBreakBefore w:val="0"/>
                    <w:widowControl/>
                    <w:kinsoku/>
                    <w:wordWrap/>
                    <w:overflowPunct/>
                    <w:topLinePunct w:val="0"/>
                    <w:autoSpaceDE/>
                    <w:autoSpaceDN/>
                    <w:bidi w:val="0"/>
                    <w:adjustRightInd w:val="0"/>
                    <w:snapToGrid w:val="0"/>
                    <w:spacing w:after="0"/>
                    <w:jc w:val="center"/>
                    <w:rPr>
                      <w:color w:val="auto"/>
                    </w:rPr>
                  </w:pPr>
                </w:p>
              </w:tc>
              <w:tc>
                <w:tcPr>
                  <w:tcW w:w="622" w:type="pct"/>
                  <w:noWrap w:val="0"/>
                  <w:vAlign w:val="center"/>
                </w:tcPr>
                <w:p w14:paraId="55BC0A93">
                  <w:pPr>
                    <w:keepNext w:val="0"/>
                    <w:keepLines w:val="0"/>
                    <w:pageBreakBefore w:val="0"/>
                    <w:widowControl/>
                    <w:kinsoku/>
                    <w:wordWrap/>
                    <w:overflowPunct/>
                    <w:topLinePunct w:val="0"/>
                    <w:autoSpaceDE/>
                    <w:autoSpaceDN/>
                    <w:bidi w:val="0"/>
                    <w:adjustRightInd w:val="0"/>
                    <w:snapToGrid w:val="0"/>
                    <w:spacing w:after="0"/>
                    <w:jc w:val="center"/>
                    <w:rPr>
                      <w:color w:val="auto"/>
                    </w:rPr>
                  </w:pPr>
                  <w:r>
                    <w:rPr>
                      <w:rFonts w:hint="default" w:ascii="Times New Roman" w:hAnsi="Times New Roman" w:eastAsia="宋体" w:cs="Times New Roman"/>
                      <w:color w:val="auto"/>
                      <w:sz w:val="21"/>
                      <w:szCs w:val="21"/>
                      <w:lang w:bidi="ar"/>
                    </w:rPr>
                    <w:t>循环冷却</w:t>
                  </w:r>
                  <w:r>
                    <w:rPr>
                      <w:rFonts w:hint="default" w:ascii="Times New Roman" w:hAnsi="Times New Roman" w:eastAsia="宋体" w:cs="Times New Roman"/>
                      <w:color w:val="auto"/>
                      <w:sz w:val="21"/>
                      <w:szCs w:val="21"/>
                      <w:lang w:val="en-US" w:eastAsia="zh-CN" w:bidi="ar"/>
                    </w:rPr>
                    <w:t>水</w:t>
                  </w:r>
                  <w:r>
                    <w:rPr>
                      <w:rFonts w:hint="default" w:ascii="Times New Roman" w:hAnsi="Times New Roman" w:eastAsia="宋体" w:cs="Times New Roman"/>
                      <w:color w:val="auto"/>
                      <w:sz w:val="21"/>
                      <w:szCs w:val="21"/>
                      <w:highlight w:val="none"/>
                      <w:lang w:val="en-US" w:eastAsia="zh-CN"/>
                    </w:rPr>
                    <w:t>排水</w:t>
                  </w:r>
                </w:p>
              </w:tc>
              <w:tc>
                <w:tcPr>
                  <w:tcW w:w="564" w:type="pct"/>
                  <w:noWrap w:val="0"/>
                  <w:vAlign w:val="center"/>
                </w:tcPr>
                <w:p w14:paraId="2A332F53">
                  <w:pPr>
                    <w:keepNext w:val="0"/>
                    <w:keepLines w:val="0"/>
                    <w:pageBreakBefore w:val="0"/>
                    <w:widowControl/>
                    <w:kinsoku/>
                    <w:wordWrap/>
                    <w:overflowPunct/>
                    <w:topLinePunct w:val="0"/>
                    <w:autoSpaceDE/>
                    <w:autoSpaceDN/>
                    <w:bidi w:val="0"/>
                    <w:adjustRightInd w:val="0"/>
                    <w:snapToGrid w:val="0"/>
                    <w:spacing w:after="0"/>
                    <w:jc w:val="center"/>
                    <w:rPr>
                      <w:rFonts w:hint="eastAsia" w:eastAsia="微软雅黑"/>
                      <w:color w:val="auto"/>
                      <w:lang w:val="en-US" w:eastAsia="zh-CN"/>
                    </w:rPr>
                  </w:pPr>
                  <w:r>
                    <w:rPr>
                      <w:rFonts w:hint="eastAsia"/>
                      <w:color w:val="auto"/>
                      <w:lang w:val="en-US" w:eastAsia="zh-CN"/>
                    </w:rPr>
                    <w:t>/</w:t>
                  </w:r>
                </w:p>
              </w:tc>
              <w:tc>
                <w:tcPr>
                  <w:tcW w:w="689" w:type="pct"/>
                  <w:vMerge w:val="continue"/>
                  <w:noWrap w:val="0"/>
                  <w:vAlign w:val="center"/>
                </w:tcPr>
                <w:p w14:paraId="4B767D49">
                  <w:pPr>
                    <w:keepNext w:val="0"/>
                    <w:keepLines w:val="0"/>
                    <w:pageBreakBefore w:val="0"/>
                    <w:widowControl/>
                    <w:kinsoku/>
                    <w:wordWrap/>
                    <w:overflowPunct/>
                    <w:topLinePunct w:val="0"/>
                    <w:autoSpaceDE/>
                    <w:autoSpaceDN/>
                    <w:bidi w:val="0"/>
                    <w:adjustRightInd w:val="0"/>
                    <w:snapToGrid w:val="0"/>
                    <w:spacing w:after="0"/>
                    <w:jc w:val="center"/>
                    <w:rPr>
                      <w:color w:val="auto"/>
                    </w:rPr>
                  </w:pPr>
                </w:p>
              </w:tc>
              <w:tc>
                <w:tcPr>
                  <w:tcW w:w="681" w:type="pct"/>
                  <w:noWrap w:val="0"/>
                  <w:vAlign w:val="center"/>
                </w:tcPr>
                <w:p w14:paraId="2F1FF642">
                  <w:pPr>
                    <w:keepNext w:val="0"/>
                    <w:keepLines w:val="0"/>
                    <w:pageBreakBefore w:val="0"/>
                    <w:widowControl/>
                    <w:kinsoku/>
                    <w:wordWrap/>
                    <w:overflowPunct/>
                    <w:topLinePunct w:val="0"/>
                    <w:autoSpaceDE/>
                    <w:autoSpaceDN/>
                    <w:bidi w:val="0"/>
                    <w:adjustRightInd w:val="0"/>
                    <w:snapToGrid w:val="0"/>
                    <w:spacing w:after="0"/>
                    <w:jc w:val="center"/>
                    <w:rPr>
                      <w:color w:val="auto"/>
                    </w:rPr>
                  </w:pPr>
                  <w:r>
                    <w:rPr>
                      <w:rFonts w:hint="eastAsia"/>
                      <w:color w:val="auto"/>
                      <w:lang w:val="en-US" w:eastAsia="zh-CN"/>
                    </w:rPr>
                    <w:t>/</w:t>
                  </w:r>
                </w:p>
              </w:tc>
              <w:tc>
                <w:tcPr>
                  <w:tcW w:w="764" w:type="pct"/>
                  <w:vMerge w:val="continue"/>
                  <w:noWrap w:val="0"/>
                  <w:vAlign w:val="center"/>
                </w:tcPr>
                <w:p w14:paraId="5BACBBC2">
                  <w:pPr>
                    <w:keepNext w:val="0"/>
                    <w:keepLines w:val="0"/>
                    <w:pageBreakBefore w:val="0"/>
                    <w:widowControl/>
                    <w:kinsoku/>
                    <w:wordWrap/>
                    <w:overflowPunct/>
                    <w:topLinePunct w:val="0"/>
                    <w:autoSpaceDE/>
                    <w:autoSpaceDN/>
                    <w:bidi w:val="0"/>
                    <w:adjustRightInd w:val="0"/>
                    <w:snapToGrid w:val="0"/>
                    <w:spacing w:after="0"/>
                    <w:jc w:val="center"/>
                    <w:rPr>
                      <w:color w:val="auto"/>
                    </w:rPr>
                  </w:pPr>
                </w:p>
              </w:tc>
              <w:tc>
                <w:tcPr>
                  <w:tcW w:w="585" w:type="pct"/>
                  <w:vMerge w:val="continue"/>
                  <w:noWrap w:val="0"/>
                  <w:vAlign w:val="center"/>
                </w:tcPr>
                <w:p w14:paraId="63DE0BCE">
                  <w:pPr>
                    <w:keepNext w:val="0"/>
                    <w:keepLines w:val="0"/>
                    <w:pageBreakBefore w:val="0"/>
                    <w:widowControl/>
                    <w:kinsoku/>
                    <w:wordWrap/>
                    <w:overflowPunct/>
                    <w:topLinePunct w:val="0"/>
                    <w:autoSpaceDE/>
                    <w:autoSpaceDN/>
                    <w:bidi w:val="0"/>
                    <w:adjustRightInd w:val="0"/>
                    <w:snapToGrid w:val="0"/>
                    <w:spacing w:after="0"/>
                    <w:jc w:val="center"/>
                    <w:rPr>
                      <w:color w:val="auto"/>
                    </w:rPr>
                  </w:pPr>
                </w:p>
              </w:tc>
            </w:tr>
            <w:tr w14:paraId="66888D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48" w:hRule="atLeast"/>
                <w:jc w:val="center"/>
              </w:trPr>
              <w:tc>
                <w:tcPr>
                  <w:tcW w:w="199" w:type="pct"/>
                  <w:vMerge w:val="continue"/>
                  <w:noWrap w:val="0"/>
                  <w:vAlign w:val="center"/>
                </w:tcPr>
                <w:p w14:paraId="4C49675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595" w:type="pct"/>
                  <w:vMerge w:val="continue"/>
                  <w:noWrap w:val="0"/>
                  <w:vAlign w:val="center"/>
                </w:tcPr>
                <w:p w14:paraId="2DF9244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298" w:type="pct"/>
                  <w:vMerge w:val="restart"/>
                  <w:noWrap w:val="0"/>
                  <w:vAlign w:val="center"/>
                </w:tcPr>
                <w:p w14:paraId="0AA744F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废气</w:t>
                  </w:r>
                </w:p>
              </w:tc>
              <w:tc>
                <w:tcPr>
                  <w:tcW w:w="622" w:type="pct"/>
                  <w:noWrap w:val="0"/>
                  <w:vAlign w:val="center"/>
                </w:tcPr>
                <w:p w14:paraId="244D4C2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注塑废气</w:t>
                  </w:r>
                </w:p>
              </w:tc>
              <w:tc>
                <w:tcPr>
                  <w:tcW w:w="564" w:type="pct"/>
                  <w:vMerge w:val="restart"/>
                  <w:noWrap w:val="0"/>
                  <w:vAlign w:val="center"/>
                </w:tcPr>
                <w:p w14:paraId="54055929">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注塑、吹瓶工序</w:t>
                  </w:r>
                  <w:r>
                    <w:rPr>
                      <w:rFonts w:hint="default" w:ascii="Times New Roman" w:hAnsi="Times New Roman" w:eastAsia="宋体" w:cs="Times New Roman"/>
                      <w:bCs/>
                      <w:color w:val="auto"/>
                      <w:sz w:val="21"/>
                      <w:szCs w:val="21"/>
                      <w:lang w:val="en-US" w:eastAsia="zh-CN"/>
                    </w:rPr>
                    <w:t>密闭，</w:t>
                  </w:r>
                  <w:r>
                    <w:rPr>
                      <w:rFonts w:hint="default" w:ascii="Times New Roman" w:hAnsi="Times New Roman" w:eastAsia="宋体" w:cs="Times New Roman"/>
                      <w:color w:val="auto"/>
                      <w:sz w:val="21"/>
                      <w:szCs w:val="21"/>
                    </w:rPr>
                    <w:t>负压管道收集</w:t>
                  </w:r>
                </w:p>
              </w:tc>
              <w:tc>
                <w:tcPr>
                  <w:tcW w:w="689" w:type="pct"/>
                  <w:vMerge w:val="restart"/>
                  <w:noWrap w:val="0"/>
                  <w:vAlign w:val="center"/>
                </w:tcPr>
                <w:p w14:paraId="7A08A7CE">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活性炭吸附/脱附装置-催化燃烧装置</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15m高排气筒</w:t>
                  </w:r>
                  <w:r>
                    <w:rPr>
                      <w:rFonts w:hint="default" w:ascii="Times New Roman" w:hAnsi="Times New Roman" w:eastAsia="宋体" w:cs="Times New Roman"/>
                      <w:color w:val="auto"/>
                      <w:sz w:val="21"/>
                      <w:szCs w:val="21"/>
                      <w:lang w:val="en-US" w:eastAsia="zh-CN"/>
                    </w:rPr>
                    <w:t>（P1）</w:t>
                  </w:r>
                </w:p>
              </w:tc>
              <w:tc>
                <w:tcPr>
                  <w:tcW w:w="681" w:type="pct"/>
                  <w:noWrap w:val="0"/>
                  <w:vAlign w:val="center"/>
                </w:tcPr>
                <w:p w14:paraId="1417E3B9">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64" w:type="pct"/>
                  <w:vMerge w:val="restart"/>
                  <w:noWrap w:val="0"/>
                  <w:vAlign w:val="center"/>
                </w:tcPr>
                <w:p w14:paraId="1B4D1304">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活性炭吸附/脱附装置-催化燃烧装置</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15m高排气筒</w:t>
                  </w:r>
                  <w:r>
                    <w:rPr>
                      <w:rFonts w:hint="default" w:ascii="Times New Roman" w:hAnsi="Times New Roman" w:eastAsia="宋体" w:cs="Times New Roman"/>
                      <w:color w:val="auto"/>
                      <w:sz w:val="21"/>
                      <w:szCs w:val="21"/>
                      <w:lang w:val="en-US" w:eastAsia="zh-CN"/>
                    </w:rPr>
                    <w:t>（P1）</w:t>
                  </w:r>
                </w:p>
              </w:tc>
              <w:tc>
                <w:tcPr>
                  <w:tcW w:w="585" w:type="pct"/>
                  <w:vMerge w:val="restart"/>
                  <w:noWrap w:val="0"/>
                  <w:vAlign w:val="center"/>
                </w:tcPr>
                <w:p w14:paraId="68A529F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分期建设，本次一期仅建设吹瓶生产线</w:t>
                  </w:r>
                </w:p>
              </w:tc>
            </w:tr>
            <w:tr w14:paraId="78CE7B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48" w:hRule="atLeast"/>
                <w:jc w:val="center"/>
              </w:trPr>
              <w:tc>
                <w:tcPr>
                  <w:tcW w:w="199" w:type="pct"/>
                  <w:vMerge w:val="continue"/>
                  <w:noWrap w:val="0"/>
                  <w:vAlign w:val="center"/>
                </w:tcPr>
                <w:p w14:paraId="67671D0C">
                  <w:pPr>
                    <w:keepNext w:val="0"/>
                    <w:keepLines w:val="0"/>
                    <w:pageBreakBefore w:val="0"/>
                    <w:widowControl/>
                    <w:kinsoku/>
                    <w:wordWrap/>
                    <w:overflowPunct/>
                    <w:topLinePunct w:val="0"/>
                    <w:autoSpaceDE/>
                    <w:autoSpaceDN/>
                    <w:bidi w:val="0"/>
                    <w:adjustRightInd w:val="0"/>
                    <w:snapToGrid w:val="0"/>
                    <w:spacing w:after="0"/>
                    <w:jc w:val="center"/>
                    <w:rPr>
                      <w:color w:val="auto"/>
                    </w:rPr>
                  </w:pPr>
                </w:p>
              </w:tc>
              <w:tc>
                <w:tcPr>
                  <w:tcW w:w="595" w:type="pct"/>
                  <w:vMerge w:val="continue"/>
                  <w:noWrap w:val="0"/>
                  <w:vAlign w:val="center"/>
                </w:tcPr>
                <w:p w14:paraId="08A0B844">
                  <w:pPr>
                    <w:keepNext w:val="0"/>
                    <w:keepLines w:val="0"/>
                    <w:pageBreakBefore w:val="0"/>
                    <w:widowControl/>
                    <w:kinsoku/>
                    <w:wordWrap/>
                    <w:overflowPunct/>
                    <w:topLinePunct w:val="0"/>
                    <w:autoSpaceDE/>
                    <w:autoSpaceDN/>
                    <w:bidi w:val="0"/>
                    <w:adjustRightInd w:val="0"/>
                    <w:snapToGrid w:val="0"/>
                    <w:spacing w:after="0"/>
                    <w:jc w:val="center"/>
                    <w:rPr>
                      <w:color w:val="auto"/>
                    </w:rPr>
                  </w:pPr>
                </w:p>
              </w:tc>
              <w:tc>
                <w:tcPr>
                  <w:tcW w:w="298" w:type="pct"/>
                  <w:vMerge w:val="continue"/>
                  <w:noWrap w:val="0"/>
                  <w:vAlign w:val="center"/>
                </w:tcPr>
                <w:p w14:paraId="6F834B8F">
                  <w:pPr>
                    <w:keepNext w:val="0"/>
                    <w:keepLines w:val="0"/>
                    <w:pageBreakBefore w:val="0"/>
                    <w:widowControl/>
                    <w:kinsoku/>
                    <w:wordWrap/>
                    <w:overflowPunct/>
                    <w:topLinePunct w:val="0"/>
                    <w:autoSpaceDE/>
                    <w:autoSpaceDN/>
                    <w:bidi w:val="0"/>
                    <w:adjustRightInd w:val="0"/>
                    <w:snapToGrid w:val="0"/>
                    <w:spacing w:after="0"/>
                    <w:jc w:val="center"/>
                    <w:rPr>
                      <w:color w:val="auto"/>
                    </w:rPr>
                  </w:pPr>
                </w:p>
              </w:tc>
              <w:tc>
                <w:tcPr>
                  <w:tcW w:w="622" w:type="pct"/>
                  <w:noWrap w:val="0"/>
                  <w:vAlign w:val="center"/>
                </w:tcPr>
                <w:p w14:paraId="55174829">
                  <w:pPr>
                    <w:keepNext w:val="0"/>
                    <w:keepLines w:val="0"/>
                    <w:pageBreakBefore w:val="0"/>
                    <w:widowControl/>
                    <w:kinsoku/>
                    <w:wordWrap/>
                    <w:overflowPunct/>
                    <w:topLinePunct w:val="0"/>
                    <w:autoSpaceDE/>
                    <w:autoSpaceDN/>
                    <w:bidi w:val="0"/>
                    <w:adjustRightInd w:val="0"/>
                    <w:snapToGrid w:val="0"/>
                    <w:spacing w:after="0"/>
                    <w:jc w:val="center"/>
                    <w:rPr>
                      <w:rFonts w:hint="default" w:eastAsia="微软雅黑"/>
                      <w:color w:val="auto"/>
                      <w:lang w:val="en-US" w:eastAsia="zh-CN"/>
                    </w:rPr>
                  </w:pPr>
                  <w:r>
                    <w:rPr>
                      <w:rFonts w:hint="eastAsia" w:ascii="Times New Roman" w:hAnsi="Times New Roman" w:eastAsia="宋体" w:cs="Times New Roman"/>
                      <w:color w:val="auto"/>
                      <w:sz w:val="21"/>
                      <w:szCs w:val="21"/>
                      <w:lang w:val="en-US" w:eastAsia="zh-CN"/>
                    </w:rPr>
                    <w:t>吹瓶废气</w:t>
                  </w:r>
                </w:p>
              </w:tc>
              <w:tc>
                <w:tcPr>
                  <w:tcW w:w="564" w:type="pct"/>
                  <w:vMerge w:val="continue"/>
                  <w:noWrap w:val="0"/>
                  <w:vAlign w:val="center"/>
                </w:tcPr>
                <w:p w14:paraId="7E376490">
                  <w:pPr>
                    <w:keepNext w:val="0"/>
                    <w:keepLines w:val="0"/>
                    <w:pageBreakBefore w:val="0"/>
                    <w:widowControl/>
                    <w:kinsoku/>
                    <w:wordWrap/>
                    <w:overflowPunct/>
                    <w:topLinePunct w:val="0"/>
                    <w:autoSpaceDE/>
                    <w:autoSpaceDN/>
                    <w:bidi w:val="0"/>
                    <w:adjustRightInd w:val="0"/>
                    <w:snapToGrid w:val="0"/>
                    <w:spacing w:after="0"/>
                    <w:jc w:val="center"/>
                    <w:rPr>
                      <w:color w:val="auto"/>
                    </w:rPr>
                  </w:pPr>
                </w:p>
              </w:tc>
              <w:tc>
                <w:tcPr>
                  <w:tcW w:w="689" w:type="pct"/>
                  <w:vMerge w:val="continue"/>
                  <w:noWrap w:val="0"/>
                  <w:vAlign w:val="center"/>
                </w:tcPr>
                <w:p w14:paraId="2C86A6EF">
                  <w:pPr>
                    <w:keepNext w:val="0"/>
                    <w:keepLines w:val="0"/>
                    <w:pageBreakBefore w:val="0"/>
                    <w:widowControl/>
                    <w:kinsoku/>
                    <w:wordWrap/>
                    <w:overflowPunct/>
                    <w:topLinePunct w:val="0"/>
                    <w:autoSpaceDE/>
                    <w:autoSpaceDN/>
                    <w:bidi w:val="0"/>
                    <w:adjustRightInd w:val="0"/>
                    <w:snapToGrid w:val="0"/>
                    <w:spacing w:after="0"/>
                    <w:jc w:val="center"/>
                    <w:rPr>
                      <w:color w:val="auto"/>
                    </w:rPr>
                  </w:pPr>
                </w:p>
              </w:tc>
              <w:tc>
                <w:tcPr>
                  <w:tcW w:w="681" w:type="pct"/>
                  <w:noWrap w:val="0"/>
                  <w:vAlign w:val="center"/>
                </w:tcPr>
                <w:p w14:paraId="1BD8D203">
                  <w:pPr>
                    <w:keepNext w:val="0"/>
                    <w:keepLines w:val="0"/>
                    <w:pageBreakBefore w:val="0"/>
                    <w:widowControl/>
                    <w:kinsoku/>
                    <w:wordWrap/>
                    <w:overflowPunct/>
                    <w:topLinePunct w:val="0"/>
                    <w:autoSpaceDE/>
                    <w:autoSpaceDN/>
                    <w:bidi w:val="0"/>
                    <w:adjustRightInd w:val="0"/>
                    <w:snapToGrid w:val="0"/>
                    <w:spacing w:after="0"/>
                    <w:jc w:val="center"/>
                    <w:rPr>
                      <w:color w:val="auto"/>
                    </w:rPr>
                  </w:pPr>
                  <w:r>
                    <w:rPr>
                      <w:rFonts w:hint="eastAsia" w:ascii="Times New Roman" w:hAnsi="Times New Roman" w:eastAsia="宋体" w:cs="Times New Roman"/>
                      <w:bCs/>
                      <w:color w:val="auto"/>
                      <w:sz w:val="21"/>
                      <w:szCs w:val="21"/>
                      <w:lang w:val="en-US" w:eastAsia="zh-CN"/>
                    </w:rPr>
                    <w:t>吹瓶工序</w:t>
                  </w:r>
                  <w:r>
                    <w:rPr>
                      <w:rFonts w:hint="default" w:ascii="Times New Roman" w:hAnsi="Times New Roman" w:eastAsia="宋体" w:cs="Times New Roman"/>
                      <w:bCs/>
                      <w:color w:val="auto"/>
                      <w:sz w:val="21"/>
                      <w:szCs w:val="21"/>
                      <w:lang w:val="en-US" w:eastAsia="zh-CN"/>
                    </w:rPr>
                    <w:t>密闭，</w:t>
                  </w:r>
                  <w:r>
                    <w:rPr>
                      <w:rFonts w:hint="default" w:ascii="Times New Roman" w:hAnsi="Times New Roman" w:eastAsia="宋体" w:cs="Times New Roman"/>
                      <w:color w:val="auto"/>
                      <w:sz w:val="21"/>
                      <w:szCs w:val="21"/>
                    </w:rPr>
                    <w:t>负压管道收集</w:t>
                  </w:r>
                </w:p>
              </w:tc>
              <w:tc>
                <w:tcPr>
                  <w:tcW w:w="764" w:type="pct"/>
                  <w:vMerge w:val="continue"/>
                  <w:noWrap w:val="0"/>
                  <w:vAlign w:val="center"/>
                </w:tcPr>
                <w:p w14:paraId="7EB675B6">
                  <w:pPr>
                    <w:keepNext w:val="0"/>
                    <w:keepLines w:val="0"/>
                    <w:pageBreakBefore w:val="0"/>
                    <w:widowControl/>
                    <w:kinsoku/>
                    <w:wordWrap/>
                    <w:overflowPunct/>
                    <w:topLinePunct w:val="0"/>
                    <w:autoSpaceDE/>
                    <w:autoSpaceDN/>
                    <w:bidi w:val="0"/>
                    <w:adjustRightInd w:val="0"/>
                    <w:snapToGrid w:val="0"/>
                    <w:spacing w:after="0"/>
                    <w:jc w:val="center"/>
                    <w:rPr>
                      <w:color w:val="auto"/>
                    </w:rPr>
                  </w:pPr>
                </w:p>
              </w:tc>
              <w:tc>
                <w:tcPr>
                  <w:tcW w:w="585" w:type="pct"/>
                  <w:vMerge w:val="continue"/>
                  <w:noWrap w:val="0"/>
                  <w:vAlign w:val="center"/>
                </w:tcPr>
                <w:p w14:paraId="6B17FD7F">
                  <w:pPr>
                    <w:keepNext w:val="0"/>
                    <w:keepLines w:val="0"/>
                    <w:pageBreakBefore w:val="0"/>
                    <w:widowControl/>
                    <w:kinsoku/>
                    <w:wordWrap/>
                    <w:overflowPunct/>
                    <w:topLinePunct w:val="0"/>
                    <w:autoSpaceDE/>
                    <w:autoSpaceDN/>
                    <w:bidi w:val="0"/>
                    <w:adjustRightInd w:val="0"/>
                    <w:snapToGrid w:val="0"/>
                    <w:spacing w:after="0"/>
                    <w:jc w:val="center"/>
                    <w:rPr>
                      <w:color w:val="auto"/>
                    </w:rPr>
                  </w:pPr>
                </w:p>
              </w:tc>
            </w:tr>
            <w:tr w14:paraId="7BAD68B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48" w:hRule="atLeast"/>
                <w:jc w:val="center"/>
              </w:trPr>
              <w:tc>
                <w:tcPr>
                  <w:tcW w:w="199" w:type="pct"/>
                  <w:vMerge w:val="continue"/>
                  <w:noWrap w:val="0"/>
                  <w:vAlign w:val="center"/>
                </w:tcPr>
                <w:p w14:paraId="64028819">
                  <w:pPr>
                    <w:keepNext w:val="0"/>
                    <w:keepLines w:val="0"/>
                    <w:pageBreakBefore w:val="0"/>
                    <w:widowControl/>
                    <w:kinsoku/>
                    <w:wordWrap/>
                    <w:overflowPunct/>
                    <w:topLinePunct w:val="0"/>
                    <w:autoSpaceDE/>
                    <w:autoSpaceDN/>
                    <w:bidi w:val="0"/>
                    <w:adjustRightInd w:val="0"/>
                    <w:snapToGrid w:val="0"/>
                    <w:spacing w:after="0"/>
                    <w:jc w:val="center"/>
                    <w:rPr>
                      <w:color w:val="auto"/>
                    </w:rPr>
                  </w:pPr>
                </w:p>
              </w:tc>
              <w:tc>
                <w:tcPr>
                  <w:tcW w:w="595" w:type="pct"/>
                  <w:vMerge w:val="continue"/>
                  <w:noWrap w:val="0"/>
                  <w:vAlign w:val="center"/>
                </w:tcPr>
                <w:p w14:paraId="0E148C11">
                  <w:pPr>
                    <w:keepNext w:val="0"/>
                    <w:keepLines w:val="0"/>
                    <w:pageBreakBefore w:val="0"/>
                    <w:widowControl/>
                    <w:kinsoku/>
                    <w:wordWrap/>
                    <w:overflowPunct/>
                    <w:topLinePunct w:val="0"/>
                    <w:autoSpaceDE/>
                    <w:autoSpaceDN/>
                    <w:bidi w:val="0"/>
                    <w:adjustRightInd w:val="0"/>
                    <w:snapToGrid w:val="0"/>
                    <w:spacing w:after="0"/>
                    <w:jc w:val="center"/>
                    <w:rPr>
                      <w:color w:val="auto"/>
                    </w:rPr>
                  </w:pPr>
                </w:p>
              </w:tc>
              <w:tc>
                <w:tcPr>
                  <w:tcW w:w="298" w:type="pct"/>
                  <w:vMerge w:val="continue"/>
                  <w:noWrap w:val="0"/>
                  <w:vAlign w:val="center"/>
                </w:tcPr>
                <w:p w14:paraId="6CDE5EBE">
                  <w:pPr>
                    <w:keepNext w:val="0"/>
                    <w:keepLines w:val="0"/>
                    <w:pageBreakBefore w:val="0"/>
                    <w:widowControl/>
                    <w:kinsoku/>
                    <w:wordWrap/>
                    <w:overflowPunct/>
                    <w:topLinePunct w:val="0"/>
                    <w:autoSpaceDE/>
                    <w:autoSpaceDN/>
                    <w:bidi w:val="0"/>
                    <w:adjustRightInd w:val="0"/>
                    <w:snapToGrid w:val="0"/>
                    <w:spacing w:after="0"/>
                    <w:jc w:val="center"/>
                    <w:rPr>
                      <w:color w:val="auto"/>
                    </w:rPr>
                  </w:pPr>
                </w:p>
              </w:tc>
              <w:tc>
                <w:tcPr>
                  <w:tcW w:w="622" w:type="pct"/>
                  <w:noWrap w:val="0"/>
                  <w:vAlign w:val="center"/>
                </w:tcPr>
                <w:p w14:paraId="4F523C7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危废贮存库废气</w:t>
                  </w:r>
                </w:p>
              </w:tc>
              <w:tc>
                <w:tcPr>
                  <w:tcW w:w="564" w:type="pct"/>
                  <w:noWrap w:val="0"/>
                  <w:vAlign w:val="center"/>
                </w:tcPr>
                <w:p w14:paraId="0AF6CB33">
                  <w:pPr>
                    <w:keepNext w:val="0"/>
                    <w:keepLines w:val="0"/>
                    <w:pageBreakBefore w:val="0"/>
                    <w:widowControl/>
                    <w:kinsoku/>
                    <w:wordWrap/>
                    <w:overflowPunct/>
                    <w:topLinePunct w:val="0"/>
                    <w:autoSpaceDE/>
                    <w:autoSpaceDN/>
                    <w:bidi w:val="0"/>
                    <w:adjustRightInd w:val="0"/>
                    <w:snapToGrid w:val="0"/>
                    <w:spacing w:after="0"/>
                    <w:jc w:val="center"/>
                    <w:rPr>
                      <w:rFonts w:hint="default" w:eastAsia="微软雅黑"/>
                      <w:color w:val="auto"/>
                      <w:sz w:val="21"/>
                      <w:szCs w:val="21"/>
                      <w:lang w:val="en-US" w:eastAsia="zh-CN"/>
                    </w:rPr>
                  </w:pPr>
                  <w:r>
                    <w:rPr>
                      <w:rFonts w:hint="eastAsia" w:ascii="宋体" w:hAnsi="宋体" w:eastAsia="宋体" w:cs="宋体"/>
                      <w:color w:val="auto"/>
                      <w:sz w:val="21"/>
                      <w:szCs w:val="21"/>
                      <w:lang w:val="en-US" w:eastAsia="zh-CN"/>
                    </w:rPr>
                    <w:t>集气管道收集</w:t>
                  </w:r>
                </w:p>
              </w:tc>
              <w:tc>
                <w:tcPr>
                  <w:tcW w:w="689" w:type="pct"/>
                  <w:vMerge w:val="continue"/>
                  <w:noWrap w:val="0"/>
                  <w:vAlign w:val="center"/>
                </w:tcPr>
                <w:p w14:paraId="3B120D23">
                  <w:pPr>
                    <w:keepNext w:val="0"/>
                    <w:keepLines w:val="0"/>
                    <w:pageBreakBefore w:val="0"/>
                    <w:widowControl/>
                    <w:kinsoku/>
                    <w:wordWrap/>
                    <w:overflowPunct/>
                    <w:topLinePunct w:val="0"/>
                    <w:autoSpaceDE/>
                    <w:autoSpaceDN/>
                    <w:bidi w:val="0"/>
                    <w:adjustRightInd w:val="0"/>
                    <w:snapToGrid w:val="0"/>
                    <w:spacing w:after="0"/>
                    <w:jc w:val="center"/>
                    <w:rPr>
                      <w:color w:val="auto"/>
                      <w:sz w:val="21"/>
                      <w:szCs w:val="21"/>
                    </w:rPr>
                  </w:pPr>
                </w:p>
              </w:tc>
              <w:tc>
                <w:tcPr>
                  <w:tcW w:w="681" w:type="pct"/>
                  <w:noWrap w:val="0"/>
                  <w:vAlign w:val="center"/>
                </w:tcPr>
                <w:p w14:paraId="0FC05969">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Cs/>
                      <w:color w:val="auto"/>
                      <w:sz w:val="21"/>
                      <w:szCs w:val="21"/>
                      <w:lang w:val="en-US" w:eastAsia="zh-CN"/>
                    </w:rPr>
                  </w:pPr>
                  <w:r>
                    <w:rPr>
                      <w:rFonts w:hint="eastAsia" w:eastAsia="宋体" w:cs="Times New Roman"/>
                      <w:color w:val="auto"/>
                      <w:sz w:val="21"/>
                      <w:szCs w:val="21"/>
                      <w:lang w:val="en-US" w:eastAsia="zh-CN"/>
                    </w:rPr>
                    <w:t>危废贮存库废气</w:t>
                  </w:r>
                </w:p>
              </w:tc>
              <w:tc>
                <w:tcPr>
                  <w:tcW w:w="764" w:type="pct"/>
                  <w:noWrap w:val="0"/>
                  <w:vAlign w:val="center"/>
                </w:tcPr>
                <w:p w14:paraId="67E92431">
                  <w:pPr>
                    <w:keepNext w:val="0"/>
                    <w:keepLines w:val="0"/>
                    <w:pageBreakBefore w:val="0"/>
                    <w:widowControl/>
                    <w:kinsoku/>
                    <w:wordWrap/>
                    <w:overflowPunct/>
                    <w:topLinePunct w:val="0"/>
                    <w:autoSpaceDE/>
                    <w:autoSpaceDN/>
                    <w:bidi w:val="0"/>
                    <w:adjustRightInd w:val="0"/>
                    <w:snapToGrid w:val="0"/>
                    <w:spacing w:after="0"/>
                    <w:jc w:val="center"/>
                    <w:rPr>
                      <w:color w:val="auto"/>
                      <w:sz w:val="21"/>
                      <w:szCs w:val="21"/>
                    </w:rPr>
                  </w:pPr>
                  <w:r>
                    <w:rPr>
                      <w:rFonts w:hint="eastAsia" w:ascii="宋体" w:hAnsi="宋体" w:eastAsia="宋体" w:cs="宋体"/>
                      <w:color w:val="auto"/>
                      <w:sz w:val="21"/>
                      <w:szCs w:val="21"/>
                      <w:lang w:val="en-US" w:eastAsia="zh-CN"/>
                    </w:rPr>
                    <w:t>集气管道收集</w:t>
                  </w:r>
                </w:p>
              </w:tc>
              <w:tc>
                <w:tcPr>
                  <w:tcW w:w="585" w:type="pct"/>
                  <w:vMerge w:val="continue"/>
                  <w:noWrap w:val="0"/>
                  <w:vAlign w:val="center"/>
                </w:tcPr>
                <w:p w14:paraId="65FF0714">
                  <w:pPr>
                    <w:keepNext w:val="0"/>
                    <w:keepLines w:val="0"/>
                    <w:pageBreakBefore w:val="0"/>
                    <w:widowControl/>
                    <w:kinsoku/>
                    <w:wordWrap/>
                    <w:overflowPunct/>
                    <w:topLinePunct w:val="0"/>
                    <w:autoSpaceDE/>
                    <w:autoSpaceDN/>
                    <w:bidi w:val="0"/>
                    <w:adjustRightInd w:val="0"/>
                    <w:snapToGrid w:val="0"/>
                    <w:spacing w:after="0"/>
                    <w:jc w:val="center"/>
                    <w:rPr>
                      <w:color w:val="auto"/>
                    </w:rPr>
                  </w:pPr>
                </w:p>
              </w:tc>
            </w:tr>
            <w:tr w14:paraId="2ABED5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99" w:type="pct"/>
                  <w:vMerge w:val="continue"/>
                  <w:noWrap w:val="0"/>
                  <w:vAlign w:val="center"/>
                </w:tcPr>
                <w:p w14:paraId="768CD0B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595" w:type="pct"/>
                  <w:vMerge w:val="continue"/>
                  <w:noWrap w:val="0"/>
                  <w:vAlign w:val="center"/>
                </w:tcPr>
                <w:p w14:paraId="67217FD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920" w:type="pct"/>
                  <w:gridSpan w:val="2"/>
                  <w:noWrap w:val="0"/>
                  <w:vAlign w:val="center"/>
                </w:tcPr>
                <w:p w14:paraId="64E3357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噪声</w:t>
                  </w:r>
                </w:p>
              </w:tc>
              <w:tc>
                <w:tcPr>
                  <w:tcW w:w="1253" w:type="pct"/>
                  <w:gridSpan w:val="2"/>
                  <w:noWrap w:val="0"/>
                  <w:vAlign w:val="center"/>
                </w:tcPr>
                <w:p w14:paraId="639746B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基础减振、厂房隔声</w:t>
                  </w:r>
                </w:p>
              </w:tc>
              <w:tc>
                <w:tcPr>
                  <w:tcW w:w="1446" w:type="pct"/>
                  <w:gridSpan w:val="2"/>
                  <w:noWrap w:val="0"/>
                  <w:vAlign w:val="center"/>
                </w:tcPr>
                <w:p w14:paraId="3C5F390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基础减振、厂房隔声</w:t>
                  </w:r>
                </w:p>
              </w:tc>
              <w:tc>
                <w:tcPr>
                  <w:tcW w:w="585" w:type="pct"/>
                  <w:noWrap w:val="0"/>
                  <w:vAlign w:val="center"/>
                </w:tcPr>
                <w:p w14:paraId="4E2277D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一致</w:t>
                  </w:r>
                </w:p>
              </w:tc>
            </w:tr>
            <w:tr w14:paraId="15CE85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99" w:type="pct"/>
                  <w:vMerge w:val="continue"/>
                  <w:noWrap w:val="0"/>
                  <w:vAlign w:val="center"/>
                </w:tcPr>
                <w:p w14:paraId="314D3DA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595" w:type="pct"/>
                  <w:vMerge w:val="continue"/>
                  <w:noWrap w:val="0"/>
                  <w:vAlign w:val="center"/>
                </w:tcPr>
                <w:p w14:paraId="1AF0636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920" w:type="pct"/>
                  <w:gridSpan w:val="2"/>
                  <w:vMerge w:val="restart"/>
                  <w:noWrap w:val="0"/>
                  <w:vAlign w:val="center"/>
                </w:tcPr>
                <w:p w14:paraId="1B44390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固废</w:t>
                  </w:r>
                </w:p>
              </w:tc>
              <w:tc>
                <w:tcPr>
                  <w:tcW w:w="1253" w:type="pct"/>
                  <w:gridSpan w:val="2"/>
                  <w:noWrap w:val="0"/>
                  <w:vAlign w:val="center"/>
                </w:tcPr>
                <w:p w14:paraId="2862132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rPr>
                    <w:t>一般固废间1座（</w:t>
                  </w: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1446" w:type="pct"/>
                  <w:gridSpan w:val="2"/>
                  <w:noWrap w:val="0"/>
                  <w:vAlign w:val="center"/>
                </w:tcPr>
                <w:p w14:paraId="59010B7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一般固废间1座（</w:t>
                  </w: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585" w:type="pct"/>
                  <w:noWrap w:val="0"/>
                  <w:vAlign w:val="center"/>
                </w:tcPr>
                <w:p w14:paraId="6FE12DB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eastAsia" w:ascii="Times New Roman" w:hAnsi="Times New Roman" w:eastAsia="宋体" w:cs="Times New Roman"/>
                      <w:color w:val="auto"/>
                      <w:sz w:val="21"/>
                      <w:szCs w:val="21"/>
                      <w:lang w:val="en-US" w:eastAsia="zh-CN"/>
                    </w:rPr>
                    <w:t>一致</w:t>
                  </w:r>
                </w:p>
              </w:tc>
            </w:tr>
            <w:tr w14:paraId="06726E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99" w:type="pct"/>
                  <w:vMerge w:val="continue"/>
                  <w:noWrap w:val="0"/>
                  <w:vAlign w:val="center"/>
                </w:tcPr>
                <w:p w14:paraId="776906D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595" w:type="pct"/>
                  <w:vMerge w:val="continue"/>
                  <w:noWrap w:val="0"/>
                  <w:vAlign w:val="center"/>
                </w:tcPr>
                <w:p w14:paraId="5784318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920" w:type="pct"/>
                  <w:gridSpan w:val="2"/>
                  <w:vMerge w:val="continue"/>
                  <w:noWrap w:val="0"/>
                  <w:vAlign w:val="center"/>
                </w:tcPr>
                <w:p w14:paraId="47127B7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1253" w:type="pct"/>
                  <w:gridSpan w:val="2"/>
                  <w:noWrap w:val="0"/>
                  <w:vAlign w:val="center"/>
                </w:tcPr>
                <w:p w14:paraId="051CC2E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w:t>
                  </w:r>
                  <w:r>
                    <w:rPr>
                      <w:rFonts w:hint="default" w:ascii="Times New Roman" w:hAnsi="Times New Roman" w:eastAsia="宋体" w:cs="Times New Roman"/>
                      <w:color w:val="auto"/>
                      <w:sz w:val="21"/>
                      <w:szCs w:val="21"/>
                      <w:lang w:val="en-US" w:eastAsia="zh-CN"/>
                    </w:rPr>
                    <w:t>贮存库</w:t>
                  </w:r>
                  <w:r>
                    <w:rPr>
                      <w:rFonts w:hint="default" w:ascii="Times New Roman" w:hAnsi="Times New Roman" w:eastAsia="宋体" w:cs="Times New Roman"/>
                      <w:color w:val="auto"/>
                      <w:sz w:val="21"/>
                      <w:szCs w:val="21"/>
                      <w:highlight w:val="none"/>
                    </w:rPr>
                    <w:t>1座（</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1446" w:type="pct"/>
                  <w:gridSpan w:val="2"/>
                  <w:noWrap w:val="0"/>
                  <w:vAlign w:val="center"/>
                </w:tcPr>
                <w:p w14:paraId="7DD5CAA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w:t>
                  </w:r>
                  <w:r>
                    <w:rPr>
                      <w:rFonts w:hint="default" w:ascii="Times New Roman" w:hAnsi="Times New Roman" w:eastAsia="宋体" w:cs="Times New Roman"/>
                      <w:color w:val="auto"/>
                      <w:sz w:val="21"/>
                      <w:szCs w:val="21"/>
                      <w:lang w:val="en-US" w:eastAsia="zh-CN"/>
                    </w:rPr>
                    <w:t>贮存库</w:t>
                  </w:r>
                  <w:r>
                    <w:rPr>
                      <w:rFonts w:hint="default" w:ascii="Times New Roman" w:hAnsi="Times New Roman" w:eastAsia="宋体" w:cs="Times New Roman"/>
                      <w:color w:val="auto"/>
                      <w:sz w:val="21"/>
                      <w:szCs w:val="21"/>
                      <w:highlight w:val="none"/>
                    </w:rPr>
                    <w:t>1座（</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585" w:type="pct"/>
                  <w:noWrap w:val="0"/>
                  <w:vAlign w:val="center"/>
                </w:tcPr>
                <w:p w14:paraId="28EF572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一致</w:t>
                  </w:r>
                </w:p>
              </w:tc>
            </w:tr>
            <w:tr w14:paraId="2D32D6A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99" w:type="pct"/>
                  <w:vMerge w:val="restart"/>
                  <w:noWrap w:val="0"/>
                  <w:vAlign w:val="center"/>
                </w:tcPr>
                <w:p w14:paraId="206D40A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4</w:t>
                  </w:r>
                </w:p>
              </w:tc>
              <w:tc>
                <w:tcPr>
                  <w:tcW w:w="595" w:type="pct"/>
                  <w:vMerge w:val="restart"/>
                  <w:noWrap w:val="0"/>
                  <w:vAlign w:val="center"/>
                </w:tcPr>
                <w:p w14:paraId="531BAF7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公用工程</w:t>
                  </w:r>
                </w:p>
              </w:tc>
              <w:tc>
                <w:tcPr>
                  <w:tcW w:w="920" w:type="pct"/>
                  <w:gridSpan w:val="2"/>
                  <w:noWrap w:val="0"/>
                  <w:vAlign w:val="center"/>
                </w:tcPr>
                <w:p w14:paraId="587F899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水</w:t>
                  </w:r>
                </w:p>
              </w:tc>
              <w:tc>
                <w:tcPr>
                  <w:tcW w:w="1253" w:type="pct"/>
                  <w:gridSpan w:val="2"/>
                  <w:noWrap w:val="0"/>
                  <w:vAlign w:val="center"/>
                </w:tcPr>
                <w:p w14:paraId="76D050B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园区供水管网</w:t>
                  </w:r>
                </w:p>
              </w:tc>
              <w:tc>
                <w:tcPr>
                  <w:tcW w:w="1446" w:type="pct"/>
                  <w:gridSpan w:val="2"/>
                  <w:noWrap w:val="0"/>
                  <w:vAlign w:val="center"/>
                </w:tcPr>
                <w:p w14:paraId="4563E43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园区供水管网</w:t>
                  </w:r>
                </w:p>
              </w:tc>
              <w:tc>
                <w:tcPr>
                  <w:tcW w:w="585" w:type="pct"/>
                  <w:noWrap w:val="0"/>
                  <w:vAlign w:val="center"/>
                </w:tcPr>
                <w:p w14:paraId="04FB840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eastAsia" w:ascii="Times New Roman" w:hAnsi="Times New Roman" w:eastAsia="宋体" w:cs="Times New Roman"/>
                      <w:color w:val="auto"/>
                      <w:sz w:val="21"/>
                      <w:szCs w:val="21"/>
                      <w:lang w:val="en-US" w:eastAsia="zh-CN"/>
                    </w:rPr>
                    <w:t>一致</w:t>
                  </w:r>
                </w:p>
              </w:tc>
            </w:tr>
            <w:tr w14:paraId="2216FE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99" w:type="pct"/>
                  <w:vMerge w:val="continue"/>
                  <w:noWrap w:val="0"/>
                  <w:vAlign w:val="center"/>
                </w:tcPr>
                <w:p w14:paraId="2463C8C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595" w:type="pct"/>
                  <w:vMerge w:val="continue"/>
                  <w:noWrap w:val="0"/>
                  <w:vAlign w:val="center"/>
                </w:tcPr>
                <w:p w14:paraId="1C01179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920" w:type="pct"/>
                  <w:gridSpan w:val="2"/>
                  <w:noWrap w:val="0"/>
                  <w:vAlign w:val="center"/>
                </w:tcPr>
                <w:p w14:paraId="4BF4EB3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电</w:t>
                  </w:r>
                </w:p>
              </w:tc>
              <w:tc>
                <w:tcPr>
                  <w:tcW w:w="1253" w:type="pct"/>
                  <w:gridSpan w:val="2"/>
                  <w:noWrap w:val="0"/>
                  <w:vAlign w:val="center"/>
                </w:tcPr>
                <w:p w14:paraId="28CD0A2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园区电网供电</w:t>
                  </w:r>
                </w:p>
              </w:tc>
              <w:tc>
                <w:tcPr>
                  <w:tcW w:w="1446" w:type="pct"/>
                  <w:gridSpan w:val="2"/>
                  <w:noWrap w:val="0"/>
                  <w:vAlign w:val="center"/>
                </w:tcPr>
                <w:p w14:paraId="1301C77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园区电网供电</w:t>
                  </w:r>
                </w:p>
              </w:tc>
              <w:tc>
                <w:tcPr>
                  <w:tcW w:w="585" w:type="pct"/>
                  <w:noWrap w:val="0"/>
                  <w:vAlign w:val="center"/>
                </w:tcPr>
                <w:p w14:paraId="1960BF7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eastAsia" w:ascii="Times New Roman" w:hAnsi="Times New Roman" w:eastAsia="宋体" w:cs="Times New Roman"/>
                      <w:color w:val="auto"/>
                      <w:sz w:val="21"/>
                      <w:szCs w:val="21"/>
                      <w:lang w:val="en-US" w:eastAsia="zh-CN"/>
                    </w:rPr>
                    <w:t>一致</w:t>
                  </w:r>
                </w:p>
              </w:tc>
            </w:tr>
          </w:tbl>
          <w:p w14:paraId="1BD60E44">
            <w:pPr>
              <w:keepNext w:val="0"/>
              <w:keepLines w:val="0"/>
              <w:pageBreakBefore w:val="0"/>
              <w:widowControl/>
              <w:numPr>
                <w:ilvl w:val="0"/>
                <w:numId w:val="0"/>
              </w:numPr>
              <w:kinsoku/>
              <w:wordWrap/>
              <w:overflowPunct/>
              <w:topLinePunct w:val="0"/>
              <w:autoSpaceDE/>
              <w:autoSpaceDN/>
              <w:bidi w:val="0"/>
              <w:adjustRightInd/>
              <w:snapToGrid/>
              <w:spacing w:after="0" w:line="460" w:lineRule="exact"/>
              <w:ind w:leftChars="200"/>
              <w:textAlignment w:val="auto"/>
              <w:rPr>
                <w:rFonts w:hint="eastAsia" w:eastAsia="宋体"/>
                <w:color w:val="auto"/>
                <w:kern w:val="2"/>
                <w:sz w:val="24"/>
                <w:szCs w:val="20"/>
              </w:rPr>
            </w:pPr>
            <w:r>
              <w:rPr>
                <w:rFonts w:hint="eastAsia" w:ascii="Times New Roman" w:hAnsi="Times New Roman" w:eastAsia="宋体" w:cs="Times New Roman"/>
                <w:color w:val="auto"/>
                <w:sz w:val="24"/>
                <w:szCs w:val="24"/>
                <w:highlight w:val="none"/>
                <w:lang w:val="en-US" w:eastAsia="zh-CN"/>
              </w:rPr>
              <w:t>本项目分期建设，由上表可知，</w:t>
            </w:r>
            <w:r>
              <w:rPr>
                <w:rFonts w:hint="default" w:ascii="Times New Roman" w:hAnsi="Times New Roman" w:eastAsia="宋体" w:cs="Times New Roman"/>
                <w:color w:val="auto"/>
                <w:sz w:val="24"/>
                <w:szCs w:val="24"/>
                <w:highlight w:val="none"/>
              </w:rPr>
              <w:t>项目实际建设内容与环评及批复一致</w:t>
            </w:r>
            <w:r>
              <w:rPr>
                <w:rFonts w:hint="eastAsia" w:eastAsia="宋体" w:cs="Times New Roman"/>
                <w:color w:val="auto"/>
                <w:sz w:val="24"/>
                <w:szCs w:val="24"/>
                <w:highlight w:val="none"/>
                <w:lang w:eastAsia="zh-CN"/>
              </w:rPr>
              <w:t>。</w:t>
            </w:r>
          </w:p>
          <w:p w14:paraId="556F3E19">
            <w:pPr>
              <w:spacing w:after="0" w:line="460" w:lineRule="exact"/>
              <w:ind w:firstLine="482" w:firstLineChars="200"/>
              <w:jc w:val="both"/>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5、工程主要设备：</w:t>
            </w:r>
          </w:p>
          <w:p w14:paraId="27AE1E66">
            <w:pPr>
              <w:spacing w:after="0" w:line="480" w:lineRule="exact"/>
              <w:ind w:firstLine="480" w:firstLineChars="200"/>
              <w:textAlignment w:val="baseline"/>
              <w:rPr>
                <w:rFonts w:eastAsia="黑体"/>
                <w:color w:val="auto"/>
                <w:sz w:val="24"/>
                <w:szCs w:val="21"/>
              </w:rPr>
            </w:pPr>
            <w:r>
              <w:rPr>
                <w:rFonts w:eastAsia="黑体"/>
                <w:color w:val="auto"/>
                <w:sz w:val="24"/>
                <w:szCs w:val="21"/>
              </w:rPr>
              <w:t>表</w:t>
            </w:r>
            <w:r>
              <w:rPr>
                <w:rFonts w:hint="eastAsia" w:eastAsia="黑体"/>
                <w:color w:val="auto"/>
                <w:sz w:val="24"/>
                <w:szCs w:val="21"/>
                <w:lang w:val="en-US" w:eastAsia="zh-CN"/>
              </w:rPr>
              <w:t>7</w:t>
            </w:r>
            <w:r>
              <w:rPr>
                <w:rFonts w:hint="eastAsia" w:eastAsia="黑体"/>
                <w:color w:val="auto"/>
                <w:sz w:val="24"/>
                <w:szCs w:val="21"/>
              </w:rPr>
              <w:t xml:space="preserve"> </w:t>
            </w:r>
            <w:r>
              <w:rPr>
                <w:rFonts w:eastAsia="黑体"/>
                <w:color w:val="auto"/>
                <w:sz w:val="24"/>
                <w:szCs w:val="21"/>
              </w:rPr>
              <w:t xml:space="preserve">             </w:t>
            </w:r>
            <w:r>
              <w:rPr>
                <w:rFonts w:hint="eastAsia" w:eastAsia="黑体"/>
                <w:color w:val="auto"/>
                <w:sz w:val="24"/>
                <w:szCs w:val="21"/>
              </w:rPr>
              <w:t xml:space="preserve">    </w:t>
            </w:r>
            <w:r>
              <w:rPr>
                <w:rFonts w:hint="eastAsia" w:eastAsia="黑体"/>
                <w:color w:val="auto"/>
                <w:sz w:val="24"/>
                <w:szCs w:val="21"/>
                <w:lang w:val="en-US" w:eastAsia="zh-CN"/>
              </w:rPr>
              <w:t xml:space="preserve"> </w:t>
            </w:r>
            <w:r>
              <w:rPr>
                <w:rFonts w:hint="eastAsia" w:eastAsia="黑体"/>
                <w:color w:val="auto"/>
                <w:sz w:val="24"/>
                <w:szCs w:val="21"/>
              </w:rPr>
              <w:t xml:space="preserve">  </w:t>
            </w:r>
            <w:r>
              <w:rPr>
                <w:rFonts w:eastAsia="黑体"/>
                <w:color w:val="auto"/>
                <w:sz w:val="24"/>
                <w:szCs w:val="21"/>
              </w:rPr>
              <w:t>项目设备一览表</w:t>
            </w:r>
          </w:p>
          <w:tbl>
            <w:tblPr>
              <w:tblStyle w:val="18"/>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1" w:type="dxa"/>
                <w:bottom w:w="0" w:type="dxa"/>
                <w:right w:w="11" w:type="dxa"/>
              </w:tblCellMar>
            </w:tblPr>
            <w:tblGrid>
              <w:gridCol w:w="906"/>
              <w:gridCol w:w="1898"/>
              <w:gridCol w:w="1502"/>
              <w:gridCol w:w="1068"/>
              <w:gridCol w:w="1332"/>
              <w:gridCol w:w="1154"/>
              <w:gridCol w:w="948"/>
            </w:tblGrid>
            <w:tr w14:paraId="1CA175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14" w:type="pct"/>
                  <w:vMerge w:val="restart"/>
                  <w:tcBorders>
                    <w:top w:val="single" w:color="auto" w:sz="8" w:space="0"/>
                  </w:tcBorders>
                  <w:noWrap w:val="0"/>
                  <w:vAlign w:val="center"/>
                </w:tcPr>
                <w:p w14:paraId="501B9E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lang w:val="pt-BR"/>
                    </w:rPr>
                  </w:pPr>
                  <w:r>
                    <w:rPr>
                      <w:rFonts w:hint="default" w:ascii="Times New Roman" w:hAnsi="Times New Roman" w:eastAsia="宋体" w:cs="Times New Roman"/>
                      <w:b/>
                      <w:color w:val="auto"/>
                      <w:sz w:val="21"/>
                      <w:szCs w:val="21"/>
                      <w:lang w:val="pt-BR"/>
                    </w:rPr>
                    <w:t>序号</w:t>
                  </w:r>
                </w:p>
              </w:tc>
              <w:tc>
                <w:tcPr>
                  <w:tcW w:w="1077" w:type="pct"/>
                  <w:vMerge w:val="restart"/>
                  <w:tcBorders>
                    <w:top w:val="single" w:color="auto" w:sz="8" w:space="0"/>
                  </w:tcBorders>
                  <w:noWrap w:val="0"/>
                  <w:vAlign w:val="center"/>
                </w:tcPr>
                <w:p w14:paraId="449E83F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lang w:val="pt-BR"/>
                    </w:rPr>
                  </w:pPr>
                  <w:r>
                    <w:rPr>
                      <w:rFonts w:hint="default" w:ascii="Times New Roman" w:hAnsi="Times New Roman" w:eastAsia="宋体" w:cs="Times New Roman"/>
                      <w:b/>
                      <w:color w:val="auto"/>
                      <w:sz w:val="21"/>
                      <w:szCs w:val="21"/>
                      <w:lang w:val="pt-BR"/>
                    </w:rPr>
                    <w:t>设备名称</w:t>
                  </w:r>
                </w:p>
              </w:tc>
              <w:tc>
                <w:tcPr>
                  <w:tcW w:w="1458" w:type="pct"/>
                  <w:gridSpan w:val="2"/>
                  <w:tcBorders>
                    <w:top w:val="single" w:color="auto" w:sz="8" w:space="0"/>
                    <w:bottom w:val="single" w:color="auto" w:sz="4" w:space="0"/>
                  </w:tcBorders>
                  <w:noWrap w:val="0"/>
                  <w:vAlign w:val="center"/>
                </w:tcPr>
                <w:p w14:paraId="6D8C8E35">
                  <w:pPr>
                    <w:spacing w:after="0"/>
                    <w:jc w:val="center"/>
                    <w:rPr>
                      <w:rFonts w:hint="default" w:ascii="Times New Roman" w:hAnsi="Times New Roman" w:eastAsia="宋体" w:cs="Times New Roman"/>
                      <w:b/>
                      <w:color w:val="auto"/>
                      <w:sz w:val="21"/>
                      <w:szCs w:val="21"/>
                      <w:lang w:val="pt-BR"/>
                    </w:rPr>
                  </w:pPr>
                  <w:r>
                    <w:rPr>
                      <w:rFonts w:ascii="Times New Roman" w:hAnsi="Times New Roman" w:eastAsia="宋体"/>
                      <w:b/>
                      <w:color w:val="auto"/>
                      <w:sz w:val="21"/>
                      <w:szCs w:val="21"/>
                    </w:rPr>
                    <w:t>环评批复</w:t>
                  </w:r>
                </w:p>
              </w:tc>
              <w:tc>
                <w:tcPr>
                  <w:tcW w:w="1411" w:type="pct"/>
                  <w:gridSpan w:val="2"/>
                  <w:tcBorders>
                    <w:top w:val="single" w:color="auto" w:sz="8" w:space="0"/>
                    <w:bottom w:val="single" w:color="auto" w:sz="4" w:space="0"/>
                  </w:tcBorders>
                  <w:noWrap w:val="0"/>
                  <w:vAlign w:val="center"/>
                </w:tcPr>
                <w:p w14:paraId="3FDCE3AC">
                  <w:pPr>
                    <w:pStyle w:val="9"/>
                    <w:spacing w:after="0"/>
                    <w:jc w:val="center"/>
                    <w:rPr>
                      <w:rFonts w:hint="eastAsia" w:ascii="Times New Roman" w:hAnsi="Times New Roman" w:eastAsia="宋体" w:cs="Times New Roman"/>
                      <w:b/>
                      <w:color w:val="auto"/>
                      <w:sz w:val="21"/>
                      <w:szCs w:val="21"/>
                      <w:lang w:val="pt-BR" w:eastAsia="zh-CN"/>
                    </w:rPr>
                  </w:pPr>
                  <w:r>
                    <w:rPr>
                      <w:rFonts w:ascii="Times New Roman" w:hAnsi="Times New Roman" w:cs="Times New Roman"/>
                      <w:b/>
                      <w:color w:val="auto"/>
                    </w:rPr>
                    <w:t>实际建设</w:t>
                  </w:r>
                  <w:r>
                    <w:rPr>
                      <w:rFonts w:hint="eastAsia" w:ascii="Times New Roman" w:hAnsi="Times New Roman" w:cs="Times New Roman"/>
                      <w:b/>
                      <w:color w:val="auto"/>
                      <w:lang w:eastAsia="zh-CN"/>
                    </w:rPr>
                    <w:t>（</w:t>
                  </w:r>
                  <w:r>
                    <w:rPr>
                      <w:rFonts w:hint="eastAsia" w:ascii="Times New Roman" w:hAnsi="Times New Roman" w:cs="Times New Roman"/>
                      <w:b/>
                      <w:color w:val="auto"/>
                      <w:lang w:val="en-US" w:eastAsia="zh-CN"/>
                    </w:rPr>
                    <w:t>本次验收</w:t>
                  </w:r>
                  <w:r>
                    <w:rPr>
                      <w:rFonts w:hint="eastAsia" w:ascii="Times New Roman" w:hAnsi="Times New Roman" w:cs="Times New Roman"/>
                      <w:b/>
                      <w:color w:val="auto"/>
                      <w:lang w:eastAsia="zh-CN"/>
                    </w:rPr>
                    <w:t>）</w:t>
                  </w:r>
                </w:p>
              </w:tc>
              <w:tc>
                <w:tcPr>
                  <w:tcW w:w="538" w:type="pct"/>
                  <w:vMerge w:val="restart"/>
                  <w:tcBorders>
                    <w:top w:val="single" w:color="auto" w:sz="8" w:space="0"/>
                  </w:tcBorders>
                  <w:noWrap w:val="0"/>
                  <w:vAlign w:val="center"/>
                </w:tcPr>
                <w:p w14:paraId="74377A5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lang w:val="pt-BR"/>
                    </w:rPr>
                  </w:pPr>
                  <w:r>
                    <w:rPr>
                      <w:rFonts w:ascii="Times New Roman" w:hAnsi="Times New Roman" w:eastAsia="宋体" w:cs="Times New Roman"/>
                      <w:b/>
                      <w:color w:val="auto"/>
                      <w:sz w:val="21"/>
                      <w:szCs w:val="21"/>
                      <w:lang w:val="en-US" w:eastAsia="zh-CN" w:bidi="ar-SA"/>
                    </w:rPr>
                    <w:t>一致性</w:t>
                  </w:r>
                </w:p>
              </w:tc>
            </w:tr>
            <w:tr w14:paraId="00FFA1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14" w:type="pct"/>
                  <w:vMerge w:val="continue"/>
                  <w:tcBorders>
                    <w:bottom w:val="single" w:color="auto" w:sz="4" w:space="0"/>
                  </w:tcBorders>
                  <w:noWrap w:val="0"/>
                  <w:vAlign w:val="center"/>
                </w:tcPr>
                <w:p w14:paraId="59F7CFF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lang w:val="pt-BR"/>
                    </w:rPr>
                  </w:pPr>
                </w:p>
              </w:tc>
              <w:tc>
                <w:tcPr>
                  <w:tcW w:w="1077" w:type="pct"/>
                  <w:vMerge w:val="continue"/>
                  <w:tcBorders>
                    <w:bottom w:val="single" w:color="auto" w:sz="4" w:space="0"/>
                  </w:tcBorders>
                  <w:noWrap w:val="0"/>
                  <w:vAlign w:val="center"/>
                </w:tcPr>
                <w:p w14:paraId="3C7B8D2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lang w:val="pt-BR"/>
                    </w:rPr>
                  </w:pPr>
                </w:p>
              </w:tc>
              <w:tc>
                <w:tcPr>
                  <w:tcW w:w="852" w:type="pct"/>
                  <w:tcBorders>
                    <w:top w:val="single" w:color="auto" w:sz="8" w:space="0"/>
                    <w:bottom w:val="single" w:color="auto" w:sz="4" w:space="0"/>
                  </w:tcBorders>
                  <w:noWrap w:val="0"/>
                  <w:vAlign w:val="center"/>
                </w:tcPr>
                <w:p w14:paraId="5AEE890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color w:val="auto"/>
                      <w:sz w:val="21"/>
                      <w:szCs w:val="21"/>
                      <w:lang w:val="pt-BR" w:eastAsia="zh-CN"/>
                    </w:rPr>
                  </w:pPr>
                  <w:r>
                    <w:rPr>
                      <w:rFonts w:hint="eastAsia" w:ascii="Times New Roman" w:hAnsi="Times New Roman" w:eastAsia="宋体" w:cs="Times New Roman"/>
                      <w:b/>
                      <w:color w:val="auto"/>
                      <w:sz w:val="21"/>
                      <w:szCs w:val="21"/>
                      <w:lang w:val="en-US" w:eastAsia="zh-CN"/>
                    </w:rPr>
                    <w:t>型号</w:t>
                  </w:r>
                </w:p>
              </w:tc>
              <w:tc>
                <w:tcPr>
                  <w:tcW w:w="605" w:type="pct"/>
                  <w:tcBorders>
                    <w:top w:val="single" w:color="auto" w:sz="8" w:space="0"/>
                    <w:bottom w:val="single" w:color="auto" w:sz="4" w:space="0"/>
                  </w:tcBorders>
                  <w:noWrap w:val="0"/>
                  <w:vAlign w:val="center"/>
                </w:tcPr>
                <w:p w14:paraId="717B0A0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lang w:val="pt-BR"/>
                    </w:rPr>
                  </w:pPr>
                  <w:r>
                    <w:rPr>
                      <w:rFonts w:hint="default" w:ascii="Times New Roman" w:hAnsi="Times New Roman" w:eastAsia="宋体" w:cs="Times New Roman"/>
                      <w:b/>
                      <w:color w:val="auto"/>
                      <w:sz w:val="21"/>
                      <w:szCs w:val="21"/>
                      <w:lang w:val="pt-BR"/>
                    </w:rPr>
                    <w:t>数量</w:t>
                  </w:r>
                </w:p>
              </w:tc>
              <w:tc>
                <w:tcPr>
                  <w:tcW w:w="756" w:type="pct"/>
                  <w:tcBorders>
                    <w:top w:val="single" w:color="auto" w:sz="8" w:space="0"/>
                    <w:bottom w:val="single" w:color="auto" w:sz="4" w:space="0"/>
                  </w:tcBorders>
                  <w:noWrap w:val="0"/>
                  <w:vAlign w:val="center"/>
                </w:tcPr>
                <w:p w14:paraId="31B9BE3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lang w:val="pt-BR"/>
                    </w:rPr>
                  </w:pPr>
                  <w:r>
                    <w:rPr>
                      <w:rFonts w:hint="eastAsia" w:ascii="Times New Roman" w:hAnsi="Times New Roman" w:eastAsia="宋体" w:cs="Times New Roman"/>
                      <w:b/>
                      <w:color w:val="auto"/>
                      <w:sz w:val="21"/>
                      <w:szCs w:val="21"/>
                      <w:lang w:val="en-US" w:eastAsia="zh-CN"/>
                    </w:rPr>
                    <w:t>型号</w:t>
                  </w:r>
                </w:p>
              </w:tc>
              <w:tc>
                <w:tcPr>
                  <w:tcW w:w="654" w:type="pct"/>
                  <w:tcBorders>
                    <w:top w:val="single" w:color="auto" w:sz="8" w:space="0"/>
                    <w:bottom w:val="single" w:color="auto" w:sz="4" w:space="0"/>
                  </w:tcBorders>
                  <w:noWrap w:val="0"/>
                  <w:vAlign w:val="center"/>
                </w:tcPr>
                <w:p w14:paraId="65BEC55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lang w:val="pt-BR"/>
                    </w:rPr>
                  </w:pPr>
                  <w:r>
                    <w:rPr>
                      <w:rFonts w:hint="default" w:ascii="Times New Roman" w:hAnsi="Times New Roman" w:eastAsia="宋体" w:cs="Times New Roman"/>
                      <w:b/>
                      <w:color w:val="auto"/>
                      <w:sz w:val="21"/>
                      <w:szCs w:val="21"/>
                      <w:lang w:val="pt-BR"/>
                    </w:rPr>
                    <w:t>数量</w:t>
                  </w:r>
                </w:p>
              </w:tc>
              <w:tc>
                <w:tcPr>
                  <w:tcW w:w="538" w:type="pct"/>
                  <w:vMerge w:val="continue"/>
                  <w:tcBorders>
                    <w:bottom w:val="single" w:color="auto" w:sz="4" w:space="0"/>
                  </w:tcBorders>
                  <w:noWrap w:val="0"/>
                  <w:vAlign w:val="center"/>
                </w:tcPr>
                <w:p w14:paraId="3ADB670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lang w:val="pt-BR"/>
                    </w:rPr>
                  </w:pPr>
                </w:p>
              </w:tc>
            </w:tr>
            <w:tr w14:paraId="453756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14" w:type="pct"/>
                  <w:tcBorders>
                    <w:top w:val="single" w:color="auto" w:sz="4" w:space="0"/>
                    <w:bottom w:val="single" w:color="auto" w:sz="4" w:space="0"/>
                  </w:tcBorders>
                  <w:noWrap w:val="0"/>
                  <w:vAlign w:val="center"/>
                </w:tcPr>
                <w:p w14:paraId="04A8FA0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077" w:type="pct"/>
                  <w:tcBorders>
                    <w:top w:val="single" w:color="auto" w:sz="4" w:space="0"/>
                    <w:bottom w:val="single" w:color="auto" w:sz="4" w:space="0"/>
                  </w:tcBorders>
                  <w:noWrap w:val="0"/>
                  <w:vAlign w:val="center"/>
                </w:tcPr>
                <w:p w14:paraId="4B41A3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混料机</w:t>
                  </w:r>
                </w:p>
              </w:tc>
              <w:tc>
                <w:tcPr>
                  <w:tcW w:w="852" w:type="pct"/>
                  <w:tcBorders>
                    <w:top w:val="single" w:color="auto" w:sz="4" w:space="0"/>
                    <w:bottom w:val="single" w:color="auto" w:sz="4" w:space="0"/>
                  </w:tcBorders>
                  <w:noWrap w:val="0"/>
                  <w:vAlign w:val="center"/>
                </w:tcPr>
                <w:p w14:paraId="0214C81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05" w:type="pct"/>
                  <w:tcBorders>
                    <w:top w:val="single" w:color="auto" w:sz="4" w:space="0"/>
                    <w:bottom w:val="single" w:color="auto" w:sz="4" w:space="0"/>
                  </w:tcBorders>
                  <w:noWrap w:val="0"/>
                  <w:vAlign w:val="center"/>
                </w:tcPr>
                <w:p w14:paraId="394C34F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1台</w:t>
                  </w:r>
                </w:p>
              </w:tc>
              <w:tc>
                <w:tcPr>
                  <w:tcW w:w="756" w:type="pct"/>
                  <w:tcBorders>
                    <w:top w:val="single" w:color="auto" w:sz="4" w:space="0"/>
                    <w:bottom w:val="single" w:color="auto" w:sz="4" w:space="0"/>
                  </w:tcBorders>
                  <w:noWrap w:val="0"/>
                  <w:vAlign w:val="center"/>
                </w:tcPr>
                <w:p w14:paraId="572FBEA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654" w:type="pct"/>
                  <w:tcBorders>
                    <w:top w:val="single" w:color="auto" w:sz="4" w:space="0"/>
                    <w:bottom w:val="single" w:color="auto" w:sz="4" w:space="0"/>
                  </w:tcBorders>
                  <w:noWrap w:val="0"/>
                  <w:vAlign w:val="center"/>
                </w:tcPr>
                <w:p w14:paraId="3595FD6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538" w:type="pct"/>
                  <w:vMerge w:val="restart"/>
                  <w:tcBorders>
                    <w:top w:val="single" w:color="auto" w:sz="4" w:space="0"/>
                  </w:tcBorders>
                  <w:noWrap w:val="0"/>
                  <w:vAlign w:val="center"/>
                </w:tcPr>
                <w:p w14:paraId="4700C0B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分期建设，二期建设内容</w:t>
                  </w:r>
                </w:p>
              </w:tc>
            </w:tr>
            <w:tr w14:paraId="29837E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14" w:type="pct"/>
                  <w:tcBorders>
                    <w:top w:val="single" w:color="auto" w:sz="4" w:space="0"/>
                    <w:bottom w:val="single" w:color="auto" w:sz="4" w:space="0"/>
                  </w:tcBorders>
                  <w:noWrap w:val="0"/>
                  <w:vAlign w:val="center"/>
                </w:tcPr>
                <w:p w14:paraId="6DA002C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077" w:type="pct"/>
                  <w:tcBorders>
                    <w:top w:val="single" w:color="auto" w:sz="4" w:space="0"/>
                    <w:bottom w:val="single" w:color="auto" w:sz="4" w:space="0"/>
                  </w:tcBorders>
                  <w:noWrap w:val="0"/>
                  <w:vAlign w:val="center"/>
                </w:tcPr>
                <w:p w14:paraId="23A006E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上料机</w:t>
                  </w:r>
                </w:p>
              </w:tc>
              <w:tc>
                <w:tcPr>
                  <w:tcW w:w="852" w:type="pct"/>
                  <w:tcBorders>
                    <w:top w:val="single" w:color="auto" w:sz="4" w:space="0"/>
                    <w:bottom w:val="single" w:color="auto" w:sz="4" w:space="0"/>
                  </w:tcBorders>
                  <w:noWrap w:val="0"/>
                  <w:vAlign w:val="center"/>
                </w:tcPr>
                <w:p w14:paraId="1428CD0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注塑机配套</w:t>
                  </w:r>
                </w:p>
              </w:tc>
              <w:tc>
                <w:tcPr>
                  <w:tcW w:w="605" w:type="pct"/>
                  <w:tcBorders>
                    <w:top w:val="single" w:color="auto" w:sz="4" w:space="0"/>
                    <w:bottom w:val="single" w:color="auto" w:sz="4" w:space="0"/>
                  </w:tcBorders>
                  <w:noWrap w:val="0"/>
                  <w:vAlign w:val="center"/>
                </w:tcPr>
                <w:p w14:paraId="41925F9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3台</w:t>
                  </w:r>
                </w:p>
              </w:tc>
              <w:tc>
                <w:tcPr>
                  <w:tcW w:w="756" w:type="pct"/>
                  <w:tcBorders>
                    <w:top w:val="single" w:color="auto" w:sz="4" w:space="0"/>
                    <w:bottom w:val="single" w:color="auto" w:sz="4" w:space="0"/>
                  </w:tcBorders>
                  <w:noWrap w:val="0"/>
                  <w:vAlign w:val="center"/>
                </w:tcPr>
                <w:p w14:paraId="4B90438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654" w:type="pct"/>
                  <w:tcBorders>
                    <w:top w:val="single" w:color="auto" w:sz="4" w:space="0"/>
                    <w:bottom w:val="single" w:color="auto" w:sz="4" w:space="0"/>
                  </w:tcBorders>
                  <w:noWrap w:val="0"/>
                  <w:vAlign w:val="center"/>
                </w:tcPr>
                <w:p w14:paraId="69FED3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538" w:type="pct"/>
                  <w:vMerge w:val="continue"/>
                  <w:noWrap w:val="0"/>
                  <w:vAlign w:val="center"/>
                </w:tcPr>
                <w:p w14:paraId="63315CC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p>
              </w:tc>
            </w:tr>
            <w:tr w14:paraId="1CBC3E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14" w:type="pct"/>
                  <w:tcBorders>
                    <w:top w:val="single" w:color="auto" w:sz="4" w:space="0"/>
                    <w:bottom w:val="single" w:color="auto" w:sz="4" w:space="0"/>
                  </w:tcBorders>
                  <w:noWrap w:val="0"/>
                  <w:vAlign w:val="center"/>
                </w:tcPr>
                <w:p w14:paraId="2D35C9D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077" w:type="pct"/>
                  <w:tcBorders>
                    <w:top w:val="single" w:color="auto" w:sz="4" w:space="0"/>
                    <w:bottom w:val="single" w:color="auto" w:sz="4" w:space="0"/>
                  </w:tcBorders>
                  <w:noWrap w:val="0"/>
                  <w:vAlign w:val="center"/>
                </w:tcPr>
                <w:p w14:paraId="4419F42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注塑机</w:t>
                  </w:r>
                </w:p>
              </w:tc>
              <w:tc>
                <w:tcPr>
                  <w:tcW w:w="852" w:type="pct"/>
                  <w:tcBorders>
                    <w:top w:val="single" w:color="auto" w:sz="4" w:space="0"/>
                    <w:bottom w:val="single" w:color="auto" w:sz="4" w:space="0"/>
                  </w:tcBorders>
                  <w:noWrap w:val="0"/>
                  <w:vAlign w:val="center"/>
                </w:tcPr>
                <w:p w14:paraId="0035F2B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t/h</w:t>
                  </w:r>
                </w:p>
              </w:tc>
              <w:tc>
                <w:tcPr>
                  <w:tcW w:w="605" w:type="pct"/>
                  <w:tcBorders>
                    <w:top w:val="single" w:color="auto" w:sz="4" w:space="0"/>
                    <w:bottom w:val="single" w:color="auto" w:sz="4" w:space="0"/>
                  </w:tcBorders>
                  <w:noWrap w:val="0"/>
                  <w:vAlign w:val="center"/>
                </w:tcPr>
                <w:p w14:paraId="72C09C1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3台</w:t>
                  </w:r>
                </w:p>
              </w:tc>
              <w:tc>
                <w:tcPr>
                  <w:tcW w:w="756" w:type="pct"/>
                  <w:tcBorders>
                    <w:top w:val="single" w:color="auto" w:sz="4" w:space="0"/>
                    <w:bottom w:val="single" w:color="auto" w:sz="4" w:space="0"/>
                  </w:tcBorders>
                  <w:noWrap w:val="0"/>
                  <w:vAlign w:val="center"/>
                </w:tcPr>
                <w:p w14:paraId="3A4FBB9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654" w:type="pct"/>
                  <w:tcBorders>
                    <w:top w:val="single" w:color="auto" w:sz="4" w:space="0"/>
                    <w:bottom w:val="single" w:color="auto" w:sz="4" w:space="0"/>
                  </w:tcBorders>
                  <w:noWrap w:val="0"/>
                  <w:vAlign w:val="center"/>
                </w:tcPr>
                <w:p w14:paraId="0D9D230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538" w:type="pct"/>
                  <w:vMerge w:val="continue"/>
                  <w:noWrap w:val="0"/>
                  <w:vAlign w:val="center"/>
                </w:tcPr>
                <w:p w14:paraId="21D3147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p>
              </w:tc>
            </w:tr>
            <w:tr w14:paraId="68064D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14" w:type="pct"/>
                  <w:tcBorders>
                    <w:top w:val="single" w:color="auto" w:sz="4" w:space="0"/>
                    <w:bottom w:val="single" w:color="auto" w:sz="4" w:space="0"/>
                  </w:tcBorders>
                  <w:noWrap w:val="0"/>
                  <w:vAlign w:val="center"/>
                </w:tcPr>
                <w:p w14:paraId="70E1AC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077" w:type="pct"/>
                  <w:tcBorders>
                    <w:top w:val="single" w:color="auto" w:sz="4" w:space="0"/>
                    <w:bottom w:val="single" w:color="auto" w:sz="4" w:space="0"/>
                  </w:tcBorders>
                  <w:noWrap w:val="0"/>
                  <w:vAlign w:val="center"/>
                </w:tcPr>
                <w:p w14:paraId="7219A30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瓶胚模具</w:t>
                  </w:r>
                </w:p>
              </w:tc>
              <w:tc>
                <w:tcPr>
                  <w:tcW w:w="852" w:type="pct"/>
                  <w:tcBorders>
                    <w:top w:val="single" w:color="auto" w:sz="4" w:space="0"/>
                    <w:bottom w:val="single" w:color="auto" w:sz="4" w:space="0"/>
                  </w:tcBorders>
                  <w:noWrap w:val="0"/>
                  <w:vAlign w:val="center"/>
                </w:tcPr>
                <w:p w14:paraId="1D2D811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72腔</w:t>
                  </w:r>
                </w:p>
              </w:tc>
              <w:tc>
                <w:tcPr>
                  <w:tcW w:w="605" w:type="pct"/>
                  <w:tcBorders>
                    <w:top w:val="single" w:color="auto" w:sz="4" w:space="0"/>
                    <w:bottom w:val="single" w:color="auto" w:sz="4" w:space="0"/>
                  </w:tcBorders>
                  <w:noWrap w:val="0"/>
                  <w:vAlign w:val="center"/>
                </w:tcPr>
                <w:p w14:paraId="64BCCD9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1套</w:t>
                  </w:r>
                </w:p>
              </w:tc>
              <w:tc>
                <w:tcPr>
                  <w:tcW w:w="756" w:type="pct"/>
                  <w:tcBorders>
                    <w:top w:val="single" w:color="auto" w:sz="4" w:space="0"/>
                    <w:bottom w:val="single" w:color="auto" w:sz="4" w:space="0"/>
                  </w:tcBorders>
                  <w:noWrap w:val="0"/>
                  <w:vAlign w:val="center"/>
                </w:tcPr>
                <w:p w14:paraId="72EB9E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654" w:type="pct"/>
                  <w:tcBorders>
                    <w:top w:val="single" w:color="auto" w:sz="4" w:space="0"/>
                    <w:bottom w:val="single" w:color="auto" w:sz="4" w:space="0"/>
                  </w:tcBorders>
                  <w:noWrap w:val="0"/>
                  <w:vAlign w:val="center"/>
                </w:tcPr>
                <w:p w14:paraId="1DB2192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538" w:type="pct"/>
                  <w:vMerge w:val="continue"/>
                  <w:noWrap w:val="0"/>
                  <w:vAlign w:val="center"/>
                </w:tcPr>
                <w:p w14:paraId="3FD3DD8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p>
              </w:tc>
            </w:tr>
            <w:tr w14:paraId="1514C6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14" w:type="pct"/>
                  <w:tcBorders>
                    <w:top w:val="single" w:color="auto" w:sz="4" w:space="0"/>
                    <w:bottom w:val="single" w:color="auto" w:sz="4" w:space="0"/>
                  </w:tcBorders>
                  <w:noWrap w:val="0"/>
                  <w:vAlign w:val="center"/>
                </w:tcPr>
                <w:p w14:paraId="24B71C3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077" w:type="pct"/>
                  <w:tcBorders>
                    <w:top w:val="single" w:color="auto" w:sz="4" w:space="0"/>
                    <w:bottom w:val="single" w:color="auto" w:sz="4" w:space="0"/>
                  </w:tcBorders>
                  <w:noWrap w:val="0"/>
                  <w:vAlign w:val="center"/>
                </w:tcPr>
                <w:p w14:paraId="30642C8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冷水机</w:t>
                  </w:r>
                </w:p>
              </w:tc>
              <w:tc>
                <w:tcPr>
                  <w:tcW w:w="852" w:type="pct"/>
                  <w:tcBorders>
                    <w:top w:val="single" w:color="auto" w:sz="4" w:space="0"/>
                    <w:bottom w:val="single" w:color="auto" w:sz="4" w:space="0"/>
                  </w:tcBorders>
                  <w:noWrap w:val="0"/>
                  <w:vAlign w:val="center"/>
                </w:tcPr>
                <w:p w14:paraId="4F01CAF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05" w:type="pct"/>
                  <w:tcBorders>
                    <w:top w:val="single" w:color="auto" w:sz="4" w:space="0"/>
                    <w:bottom w:val="single" w:color="auto" w:sz="4" w:space="0"/>
                  </w:tcBorders>
                  <w:noWrap w:val="0"/>
                  <w:vAlign w:val="center"/>
                </w:tcPr>
                <w:p w14:paraId="441E041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1台</w:t>
                  </w:r>
                </w:p>
              </w:tc>
              <w:tc>
                <w:tcPr>
                  <w:tcW w:w="756" w:type="pct"/>
                  <w:tcBorders>
                    <w:top w:val="single" w:color="auto" w:sz="4" w:space="0"/>
                    <w:bottom w:val="single" w:color="auto" w:sz="4" w:space="0"/>
                  </w:tcBorders>
                  <w:noWrap w:val="0"/>
                  <w:vAlign w:val="center"/>
                </w:tcPr>
                <w:p w14:paraId="04AAF5E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654" w:type="pct"/>
                  <w:tcBorders>
                    <w:top w:val="single" w:color="auto" w:sz="4" w:space="0"/>
                    <w:bottom w:val="single" w:color="auto" w:sz="4" w:space="0"/>
                  </w:tcBorders>
                  <w:noWrap w:val="0"/>
                  <w:vAlign w:val="center"/>
                </w:tcPr>
                <w:p w14:paraId="64E3A20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538" w:type="pct"/>
                  <w:vMerge w:val="continue"/>
                  <w:tcBorders>
                    <w:bottom w:val="single" w:color="auto" w:sz="4" w:space="0"/>
                  </w:tcBorders>
                  <w:noWrap w:val="0"/>
                  <w:vAlign w:val="center"/>
                </w:tcPr>
                <w:p w14:paraId="40E9408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p>
              </w:tc>
            </w:tr>
            <w:tr w14:paraId="2E158C3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14" w:type="pct"/>
                  <w:tcBorders>
                    <w:top w:val="single" w:color="auto" w:sz="4" w:space="0"/>
                    <w:bottom w:val="single" w:color="auto" w:sz="4" w:space="0"/>
                  </w:tcBorders>
                  <w:noWrap w:val="0"/>
                  <w:vAlign w:val="center"/>
                </w:tcPr>
                <w:p w14:paraId="627755D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077" w:type="pct"/>
                  <w:tcBorders>
                    <w:top w:val="single" w:color="auto" w:sz="4" w:space="0"/>
                    <w:bottom w:val="single" w:color="auto" w:sz="4" w:space="0"/>
                  </w:tcBorders>
                  <w:shd w:val="clear" w:color="auto" w:fill="auto"/>
                  <w:noWrap w:val="0"/>
                  <w:vAlign w:val="center"/>
                </w:tcPr>
                <w:p w14:paraId="5A2BB81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瓶胚翻斗机</w:t>
                  </w:r>
                </w:p>
              </w:tc>
              <w:tc>
                <w:tcPr>
                  <w:tcW w:w="852" w:type="pct"/>
                  <w:tcBorders>
                    <w:top w:val="single" w:color="auto" w:sz="4" w:space="0"/>
                    <w:bottom w:val="single" w:color="auto" w:sz="4" w:space="0"/>
                  </w:tcBorders>
                  <w:shd w:val="clear" w:color="auto" w:fill="auto"/>
                  <w:noWrap w:val="0"/>
                  <w:vAlign w:val="center"/>
                </w:tcPr>
                <w:p w14:paraId="44AFEC6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吹瓶机配套</w:t>
                  </w:r>
                </w:p>
              </w:tc>
              <w:tc>
                <w:tcPr>
                  <w:tcW w:w="605" w:type="pct"/>
                  <w:tcBorders>
                    <w:top w:val="single" w:color="auto" w:sz="4" w:space="0"/>
                    <w:bottom w:val="single" w:color="auto" w:sz="4" w:space="0"/>
                  </w:tcBorders>
                  <w:shd w:val="clear" w:color="auto" w:fill="auto"/>
                  <w:noWrap w:val="0"/>
                  <w:vAlign w:val="center"/>
                </w:tcPr>
                <w:p w14:paraId="50D205B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1台</w:t>
                  </w:r>
                </w:p>
              </w:tc>
              <w:tc>
                <w:tcPr>
                  <w:tcW w:w="756" w:type="pct"/>
                  <w:tcBorders>
                    <w:top w:val="single" w:color="auto" w:sz="4" w:space="0"/>
                    <w:bottom w:val="single" w:color="auto" w:sz="4" w:space="0"/>
                  </w:tcBorders>
                  <w:shd w:val="clear" w:color="auto" w:fill="auto"/>
                  <w:noWrap w:val="0"/>
                  <w:vAlign w:val="center"/>
                </w:tcPr>
                <w:p w14:paraId="13CEA66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吹瓶机配套</w:t>
                  </w:r>
                </w:p>
              </w:tc>
              <w:tc>
                <w:tcPr>
                  <w:tcW w:w="654" w:type="pct"/>
                  <w:tcBorders>
                    <w:top w:val="single" w:color="auto" w:sz="4" w:space="0"/>
                    <w:bottom w:val="single" w:color="auto" w:sz="4" w:space="0"/>
                  </w:tcBorders>
                  <w:shd w:val="clear" w:color="auto" w:fill="auto"/>
                  <w:noWrap w:val="0"/>
                  <w:vAlign w:val="center"/>
                </w:tcPr>
                <w:p w14:paraId="138423E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1台</w:t>
                  </w:r>
                </w:p>
              </w:tc>
              <w:tc>
                <w:tcPr>
                  <w:tcW w:w="538" w:type="pct"/>
                  <w:tcBorders>
                    <w:top w:val="single" w:color="auto" w:sz="4" w:space="0"/>
                    <w:bottom w:val="single" w:color="auto" w:sz="4" w:space="0"/>
                  </w:tcBorders>
                  <w:shd w:val="clear" w:color="auto" w:fill="auto"/>
                  <w:noWrap w:val="0"/>
                  <w:vAlign w:val="center"/>
                </w:tcPr>
                <w:p w14:paraId="0C1F046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一致</w:t>
                  </w:r>
                </w:p>
              </w:tc>
            </w:tr>
            <w:tr w14:paraId="68E76A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14" w:type="pct"/>
                  <w:tcBorders>
                    <w:top w:val="single" w:color="auto" w:sz="4" w:space="0"/>
                    <w:bottom w:val="single" w:color="auto" w:sz="4" w:space="0"/>
                  </w:tcBorders>
                  <w:noWrap w:val="0"/>
                  <w:vAlign w:val="center"/>
                </w:tcPr>
                <w:p w14:paraId="2C36975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077" w:type="pct"/>
                  <w:tcBorders>
                    <w:top w:val="single" w:color="auto" w:sz="4" w:space="0"/>
                    <w:bottom w:val="single" w:color="auto" w:sz="4" w:space="0"/>
                  </w:tcBorders>
                  <w:shd w:val="clear" w:color="auto" w:fill="auto"/>
                  <w:noWrap w:val="0"/>
                  <w:vAlign w:val="center"/>
                </w:tcPr>
                <w:p w14:paraId="1E5900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自动进胚、理胚机</w:t>
                  </w:r>
                </w:p>
              </w:tc>
              <w:tc>
                <w:tcPr>
                  <w:tcW w:w="852" w:type="pct"/>
                  <w:tcBorders>
                    <w:top w:val="single" w:color="auto" w:sz="4" w:space="0"/>
                    <w:bottom w:val="single" w:color="auto" w:sz="4" w:space="0"/>
                  </w:tcBorders>
                  <w:shd w:val="clear" w:color="auto" w:fill="auto"/>
                  <w:noWrap w:val="0"/>
                  <w:vAlign w:val="center"/>
                </w:tcPr>
                <w:p w14:paraId="5A4BB7F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吹瓶机配套</w:t>
                  </w:r>
                </w:p>
              </w:tc>
              <w:tc>
                <w:tcPr>
                  <w:tcW w:w="605" w:type="pct"/>
                  <w:tcBorders>
                    <w:top w:val="single" w:color="auto" w:sz="4" w:space="0"/>
                    <w:bottom w:val="single" w:color="auto" w:sz="4" w:space="0"/>
                  </w:tcBorders>
                  <w:shd w:val="clear" w:color="auto" w:fill="auto"/>
                  <w:noWrap w:val="0"/>
                  <w:vAlign w:val="center"/>
                </w:tcPr>
                <w:p w14:paraId="0C18FD6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1套</w:t>
                  </w:r>
                </w:p>
              </w:tc>
              <w:tc>
                <w:tcPr>
                  <w:tcW w:w="756" w:type="pct"/>
                  <w:tcBorders>
                    <w:top w:val="single" w:color="auto" w:sz="4" w:space="0"/>
                    <w:bottom w:val="single" w:color="auto" w:sz="4" w:space="0"/>
                  </w:tcBorders>
                  <w:shd w:val="clear" w:color="auto" w:fill="auto"/>
                  <w:noWrap w:val="0"/>
                  <w:vAlign w:val="center"/>
                </w:tcPr>
                <w:p w14:paraId="0E10B04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吹瓶机配套</w:t>
                  </w:r>
                </w:p>
              </w:tc>
              <w:tc>
                <w:tcPr>
                  <w:tcW w:w="654" w:type="pct"/>
                  <w:tcBorders>
                    <w:top w:val="single" w:color="auto" w:sz="4" w:space="0"/>
                    <w:bottom w:val="single" w:color="auto" w:sz="4" w:space="0"/>
                  </w:tcBorders>
                  <w:shd w:val="clear" w:color="auto" w:fill="auto"/>
                  <w:noWrap w:val="0"/>
                  <w:vAlign w:val="center"/>
                </w:tcPr>
                <w:p w14:paraId="050E6BE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1套</w:t>
                  </w:r>
                </w:p>
              </w:tc>
              <w:tc>
                <w:tcPr>
                  <w:tcW w:w="538" w:type="pct"/>
                  <w:tcBorders>
                    <w:top w:val="single" w:color="auto" w:sz="4" w:space="0"/>
                    <w:bottom w:val="single" w:color="auto" w:sz="4" w:space="0"/>
                  </w:tcBorders>
                  <w:shd w:val="clear" w:color="auto" w:fill="auto"/>
                  <w:noWrap w:val="0"/>
                  <w:vAlign w:val="center"/>
                </w:tcPr>
                <w:p w14:paraId="4E1BC32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一致</w:t>
                  </w:r>
                </w:p>
              </w:tc>
            </w:tr>
            <w:tr w14:paraId="3B115E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14" w:type="pct"/>
                  <w:tcBorders>
                    <w:top w:val="single" w:color="auto" w:sz="4" w:space="0"/>
                    <w:bottom w:val="single" w:color="auto" w:sz="4" w:space="0"/>
                  </w:tcBorders>
                  <w:noWrap w:val="0"/>
                  <w:vAlign w:val="center"/>
                </w:tcPr>
                <w:p w14:paraId="0C0AC5E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077" w:type="pct"/>
                  <w:tcBorders>
                    <w:top w:val="single" w:color="auto" w:sz="4" w:space="0"/>
                    <w:bottom w:val="single" w:color="auto" w:sz="4" w:space="0"/>
                  </w:tcBorders>
                  <w:shd w:val="clear" w:color="auto" w:fill="auto"/>
                  <w:noWrap w:val="0"/>
                  <w:vAlign w:val="center"/>
                </w:tcPr>
                <w:p w14:paraId="7961767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吹瓶机</w:t>
                  </w:r>
                </w:p>
              </w:tc>
              <w:tc>
                <w:tcPr>
                  <w:tcW w:w="852" w:type="pct"/>
                  <w:tcBorders>
                    <w:top w:val="single" w:color="auto" w:sz="4" w:space="0"/>
                    <w:bottom w:val="single" w:color="auto" w:sz="4" w:space="0"/>
                  </w:tcBorders>
                  <w:shd w:val="clear" w:color="auto" w:fill="auto"/>
                  <w:noWrap w:val="0"/>
                  <w:vAlign w:val="center"/>
                </w:tcPr>
                <w:p w14:paraId="2E15952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t/h</w:t>
                  </w:r>
                </w:p>
              </w:tc>
              <w:tc>
                <w:tcPr>
                  <w:tcW w:w="605" w:type="pct"/>
                  <w:tcBorders>
                    <w:top w:val="single" w:color="auto" w:sz="4" w:space="0"/>
                    <w:bottom w:val="single" w:color="auto" w:sz="4" w:space="0"/>
                  </w:tcBorders>
                  <w:shd w:val="clear" w:color="auto" w:fill="auto"/>
                  <w:noWrap w:val="0"/>
                  <w:vAlign w:val="center"/>
                </w:tcPr>
                <w:p w14:paraId="0E91B52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台</w:t>
                  </w:r>
                </w:p>
              </w:tc>
              <w:tc>
                <w:tcPr>
                  <w:tcW w:w="756" w:type="pct"/>
                  <w:tcBorders>
                    <w:top w:val="single" w:color="auto" w:sz="4" w:space="0"/>
                    <w:bottom w:val="single" w:color="auto" w:sz="4" w:space="0"/>
                  </w:tcBorders>
                  <w:shd w:val="clear" w:color="auto" w:fill="auto"/>
                  <w:noWrap w:val="0"/>
                  <w:vAlign w:val="center"/>
                </w:tcPr>
                <w:p w14:paraId="397FEC3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t/h</w:t>
                  </w:r>
                </w:p>
              </w:tc>
              <w:tc>
                <w:tcPr>
                  <w:tcW w:w="654" w:type="pct"/>
                  <w:tcBorders>
                    <w:top w:val="single" w:color="auto" w:sz="4" w:space="0"/>
                    <w:bottom w:val="single" w:color="auto" w:sz="4" w:space="0"/>
                  </w:tcBorders>
                  <w:shd w:val="clear" w:color="auto" w:fill="auto"/>
                  <w:noWrap w:val="0"/>
                  <w:vAlign w:val="center"/>
                </w:tcPr>
                <w:p w14:paraId="4A3CEFE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台</w:t>
                  </w:r>
                </w:p>
              </w:tc>
              <w:tc>
                <w:tcPr>
                  <w:tcW w:w="538" w:type="pct"/>
                  <w:tcBorders>
                    <w:top w:val="single" w:color="auto" w:sz="4" w:space="0"/>
                    <w:bottom w:val="single" w:color="auto" w:sz="4" w:space="0"/>
                  </w:tcBorders>
                  <w:shd w:val="clear" w:color="auto" w:fill="auto"/>
                  <w:noWrap w:val="0"/>
                  <w:vAlign w:val="center"/>
                </w:tcPr>
                <w:p w14:paraId="14A1AB5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一致</w:t>
                  </w:r>
                </w:p>
              </w:tc>
            </w:tr>
            <w:tr w14:paraId="6AC7A9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14" w:type="pct"/>
                  <w:tcBorders>
                    <w:top w:val="single" w:color="auto" w:sz="4" w:space="0"/>
                    <w:bottom w:val="single" w:color="auto" w:sz="4" w:space="0"/>
                  </w:tcBorders>
                  <w:noWrap w:val="0"/>
                  <w:vAlign w:val="center"/>
                </w:tcPr>
                <w:p w14:paraId="7527FC2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1077" w:type="pct"/>
                  <w:tcBorders>
                    <w:top w:val="single" w:color="auto" w:sz="4" w:space="0"/>
                    <w:bottom w:val="single" w:color="auto" w:sz="4" w:space="0"/>
                  </w:tcBorders>
                  <w:shd w:val="clear" w:color="auto" w:fill="auto"/>
                  <w:noWrap w:val="0"/>
                  <w:vAlign w:val="center"/>
                </w:tcPr>
                <w:p w14:paraId="26768A7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高压气回收单元</w:t>
                  </w:r>
                </w:p>
              </w:tc>
              <w:tc>
                <w:tcPr>
                  <w:tcW w:w="852" w:type="pct"/>
                  <w:tcBorders>
                    <w:top w:val="single" w:color="auto" w:sz="4" w:space="0"/>
                    <w:bottom w:val="single" w:color="auto" w:sz="4" w:space="0"/>
                  </w:tcBorders>
                  <w:shd w:val="clear" w:color="auto" w:fill="auto"/>
                  <w:noWrap w:val="0"/>
                  <w:vAlign w:val="center"/>
                </w:tcPr>
                <w:p w14:paraId="2F4D411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吹瓶机配套</w:t>
                  </w:r>
                </w:p>
              </w:tc>
              <w:tc>
                <w:tcPr>
                  <w:tcW w:w="605" w:type="pct"/>
                  <w:tcBorders>
                    <w:top w:val="single" w:color="auto" w:sz="4" w:space="0"/>
                    <w:bottom w:val="single" w:color="auto" w:sz="4" w:space="0"/>
                  </w:tcBorders>
                  <w:shd w:val="clear" w:color="auto" w:fill="auto"/>
                  <w:noWrap w:val="0"/>
                  <w:vAlign w:val="center"/>
                </w:tcPr>
                <w:p w14:paraId="2B24FA2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1套</w:t>
                  </w:r>
                </w:p>
              </w:tc>
              <w:tc>
                <w:tcPr>
                  <w:tcW w:w="756" w:type="pct"/>
                  <w:tcBorders>
                    <w:top w:val="single" w:color="auto" w:sz="4" w:space="0"/>
                    <w:bottom w:val="single" w:color="auto" w:sz="4" w:space="0"/>
                  </w:tcBorders>
                  <w:shd w:val="clear" w:color="auto" w:fill="auto"/>
                  <w:noWrap w:val="0"/>
                  <w:vAlign w:val="center"/>
                </w:tcPr>
                <w:p w14:paraId="229CF5F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吹瓶机配套</w:t>
                  </w:r>
                </w:p>
              </w:tc>
              <w:tc>
                <w:tcPr>
                  <w:tcW w:w="654" w:type="pct"/>
                  <w:tcBorders>
                    <w:top w:val="single" w:color="auto" w:sz="4" w:space="0"/>
                    <w:bottom w:val="single" w:color="auto" w:sz="4" w:space="0"/>
                  </w:tcBorders>
                  <w:shd w:val="clear" w:color="auto" w:fill="auto"/>
                  <w:noWrap w:val="0"/>
                  <w:vAlign w:val="center"/>
                </w:tcPr>
                <w:p w14:paraId="3AC3A01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1套</w:t>
                  </w:r>
                </w:p>
              </w:tc>
              <w:tc>
                <w:tcPr>
                  <w:tcW w:w="538" w:type="pct"/>
                  <w:tcBorders>
                    <w:top w:val="single" w:color="auto" w:sz="4" w:space="0"/>
                    <w:bottom w:val="single" w:color="auto" w:sz="4" w:space="0"/>
                  </w:tcBorders>
                  <w:shd w:val="clear" w:color="auto" w:fill="auto"/>
                  <w:noWrap w:val="0"/>
                  <w:vAlign w:val="center"/>
                </w:tcPr>
                <w:p w14:paraId="1001093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一致</w:t>
                  </w:r>
                </w:p>
              </w:tc>
            </w:tr>
            <w:tr w14:paraId="580162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14" w:type="pct"/>
                  <w:tcBorders>
                    <w:top w:val="single" w:color="auto" w:sz="4" w:space="0"/>
                    <w:bottom w:val="single" w:color="auto" w:sz="4" w:space="0"/>
                  </w:tcBorders>
                  <w:noWrap w:val="0"/>
                  <w:vAlign w:val="center"/>
                </w:tcPr>
                <w:p w14:paraId="66A655F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077" w:type="pct"/>
                  <w:tcBorders>
                    <w:top w:val="single" w:color="auto" w:sz="4" w:space="0"/>
                    <w:bottom w:val="single" w:color="auto" w:sz="4" w:space="0"/>
                  </w:tcBorders>
                  <w:shd w:val="clear" w:color="auto" w:fill="auto"/>
                  <w:noWrap w:val="0"/>
                  <w:vAlign w:val="center"/>
                </w:tcPr>
                <w:p w14:paraId="23ADAD4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吹气压力检测</w:t>
                  </w:r>
                </w:p>
              </w:tc>
              <w:tc>
                <w:tcPr>
                  <w:tcW w:w="852" w:type="pct"/>
                  <w:tcBorders>
                    <w:top w:val="single" w:color="auto" w:sz="4" w:space="0"/>
                    <w:bottom w:val="single" w:color="auto" w:sz="4" w:space="0"/>
                  </w:tcBorders>
                  <w:shd w:val="clear" w:color="auto" w:fill="auto"/>
                  <w:noWrap w:val="0"/>
                  <w:vAlign w:val="center"/>
                </w:tcPr>
                <w:p w14:paraId="24B7B0D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吹瓶机配套</w:t>
                  </w:r>
                </w:p>
              </w:tc>
              <w:tc>
                <w:tcPr>
                  <w:tcW w:w="605" w:type="pct"/>
                  <w:tcBorders>
                    <w:top w:val="single" w:color="auto" w:sz="4" w:space="0"/>
                    <w:bottom w:val="single" w:color="auto" w:sz="4" w:space="0"/>
                  </w:tcBorders>
                  <w:shd w:val="clear" w:color="auto" w:fill="auto"/>
                  <w:noWrap w:val="0"/>
                  <w:vAlign w:val="center"/>
                </w:tcPr>
                <w:p w14:paraId="5F9E2B5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1套</w:t>
                  </w:r>
                </w:p>
              </w:tc>
              <w:tc>
                <w:tcPr>
                  <w:tcW w:w="756" w:type="pct"/>
                  <w:tcBorders>
                    <w:top w:val="single" w:color="auto" w:sz="4" w:space="0"/>
                    <w:bottom w:val="single" w:color="auto" w:sz="4" w:space="0"/>
                  </w:tcBorders>
                  <w:shd w:val="clear" w:color="auto" w:fill="auto"/>
                  <w:noWrap w:val="0"/>
                  <w:vAlign w:val="center"/>
                </w:tcPr>
                <w:p w14:paraId="214CA0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吹瓶机配套</w:t>
                  </w:r>
                </w:p>
              </w:tc>
              <w:tc>
                <w:tcPr>
                  <w:tcW w:w="654" w:type="pct"/>
                  <w:tcBorders>
                    <w:top w:val="single" w:color="auto" w:sz="4" w:space="0"/>
                    <w:bottom w:val="single" w:color="auto" w:sz="4" w:space="0"/>
                  </w:tcBorders>
                  <w:shd w:val="clear" w:color="auto" w:fill="auto"/>
                  <w:noWrap w:val="0"/>
                  <w:vAlign w:val="center"/>
                </w:tcPr>
                <w:p w14:paraId="05AF183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1套</w:t>
                  </w:r>
                </w:p>
              </w:tc>
              <w:tc>
                <w:tcPr>
                  <w:tcW w:w="538" w:type="pct"/>
                  <w:tcBorders>
                    <w:top w:val="single" w:color="auto" w:sz="4" w:space="0"/>
                    <w:bottom w:val="single" w:color="auto" w:sz="4" w:space="0"/>
                  </w:tcBorders>
                  <w:shd w:val="clear" w:color="auto" w:fill="auto"/>
                  <w:noWrap w:val="0"/>
                  <w:vAlign w:val="center"/>
                </w:tcPr>
                <w:p w14:paraId="652064E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一致</w:t>
                  </w:r>
                </w:p>
              </w:tc>
            </w:tr>
            <w:tr w14:paraId="5C1845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14" w:type="pct"/>
                  <w:tcBorders>
                    <w:top w:val="single" w:color="auto" w:sz="4" w:space="0"/>
                    <w:bottom w:val="single" w:color="auto" w:sz="4" w:space="0"/>
                  </w:tcBorders>
                  <w:noWrap w:val="0"/>
                  <w:vAlign w:val="center"/>
                </w:tcPr>
                <w:p w14:paraId="42D8635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1077" w:type="pct"/>
                  <w:tcBorders>
                    <w:top w:val="single" w:color="auto" w:sz="4" w:space="0"/>
                    <w:bottom w:val="single" w:color="auto" w:sz="4" w:space="0"/>
                  </w:tcBorders>
                  <w:shd w:val="clear" w:color="auto" w:fill="auto"/>
                  <w:noWrap w:val="0"/>
                  <w:vAlign w:val="center"/>
                </w:tcPr>
                <w:p w14:paraId="23DD95B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伺服拉伸系统</w:t>
                  </w:r>
                </w:p>
              </w:tc>
              <w:tc>
                <w:tcPr>
                  <w:tcW w:w="852" w:type="pct"/>
                  <w:tcBorders>
                    <w:top w:val="single" w:color="auto" w:sz="4" w:space="0"/>
                    <w:bottom w:val="single" w:color="auto" w:sz="4" w:space="0"/>
                  </w:tcBorders>
                  <w:shd w:val="clear" w:color="auto" w:fill="auto"/>
                  <w:noWrap w:val="0"/>
                  <w:vAlign w:val="center"/>
                </w:tcPr>
                <w:p w14:paraId="38F6C9C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吹瓶机配套</w:t>
                  </w:r>
                </w:p>
              </w:tc>
              <w:tc>
                <w:tcPr>
                  <w:tcW w:w="605" w:type="pct"/>
                  <w:tcBorders>
                    <w:top w:val="single" w:color="auto" w:sz="4" w:space="0"/>
                    <w:bottom w:val="single" w:color="auto" w:sz="4" w:space="0"/>
                  </w:tcBorders>
                  <w:shd w:val="clear" w:color="auto" w:fill="auto"/>
                  <w:noWrap w:val="0"/>
                  <w:vAlign w:val="center"/>
                </w:tcPr>
                <w:p w14:paraId="6AD219D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1套</w:t>
                  </w:r>
                </w:p>
              </w:tc>
              <w:tc>
                <w:tcPr>
                  <w:tcW w:w="756" w:type="pct"/>
                  <w:tcBorders>
                    <w:top w:val="single" w:color="auto" w:sz="4" w:space="0"/>
                    <w:bottom w:val="single" w:color="auto" w:sz="4" w:space="0"/>
                  </w:tcBorders>
                  <w:shd w:val="clear" w:color="auto" w:fill="auto"/>
                  <w:noWrap w:val="0"/>
                  <w:vAlign w:val="center"/>
                </w:tcPr>
                <w:p w14:paraId="52D5FA9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吹瓶机配套</w:t>
                  </w:r>
                </w:p>
              </w:tc>
              <w:tc>
                <w:tcPr>
                  <w:tcW w:w="654" w:type="pct"/>
                  <w:tcBorders>
                    <w:top w:val="single" w:color="auto" w:sz="4" w:space="0"/>
                    <w:bottom w:val="single" w:color="auto" w:sz="4" w:space="0"/>
                  </w:tcBorders>
                  <w:shd w:val="clear" w:color="auto" w:fill="auto"/>
                  <w:noWrap w:val="0"/>
                  <w:vAlign w:val="center"/>
                </w:tcPr>
                <w:p w14:paraId="72D86B5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1套</w:t>
                  </w:r>
                </w:p>
              </w:tc>
              <w:tc>
                <w:tcPr>
                  <w:tcW w:w="538" w:type="pct"/>
                  <w:tcBorders>
                    <w:top w:val="single" w:color="auto" w:sz="4" w:space="0"/>
                    <w:bottom w:val="single" w:color="auto" w:sz="4" w:space="0"/>
                  </w:tcBorders>
                  <w:shd w:val="clear" w:color="auto" w:fill="auto"/>
                  <w:noWrap w:val="0"/>
                  <w:vAlign w:val="center"/>
                </w:tcPr>
                <w:p w14:paraId="2D1FDF5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一致</w:t>
                  </w:r>
                </w:p>
              </w:tc>
            </w:tr>
            <w:tr w14:paraId="246C7C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14" w:type="pct"/>
                  <w:tcBorders>
                    <w:top w:val="single" w:color="auto" w:sz="4" w:space="0"/>
                    <w:bottom w:val="single" w:color="auto" w:sz="4" w:space="0"/>
                  </w:tcBorders>
                  <w:noWrap w:val="0"/>
                  <w:vAlign w:val="center"/>
                </w:tcPr>
                <w:p w14:paraId="3E78472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1077" w:type="pct"/>
                  <w:tcBorders>
                    <w:top w:val="single" w:color="auto" w:sz="4" w:space="0"/>
                    <w:bottom w:val="single" w:color="auto" w:sz="4" w:space="0"/>
                  </w:tcBorders>
                  <w:shd w:val="clear" w:color="auto" w:fill="auto"/>
                  <w:noWrap w:val="0"/>
                  <w:vAlign w:val="center"/>
                </w:tcPr>
                <w:p w14:paraId="43A3270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吹瓶模具</w:t>
                  </w:r>
                </w:p>
              </w:tc>
              <w:tc>
                <w:tcPr>
                  <w:tcW w:w="852" w:type="pct"/>
                  <w:tcBorders>
                    <w:top w:val="single" w:color="auto" w:sz="4" w:space="0"/>
                    <w:bottom w:val="single" w:color="auto" w:sz="4" w:space="0"/>
                  </w:tcBorders>
                  <w:shd w:val="clear" w:color="auto" w:fill="auto"/>
                  <w:noWrap w:val="0"/>
                  <w:vAlign w:val="center"/>
                </w:tcPr>
                <w:p w14:paraId="7B3C9D6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10腔</w:t>
                  </w:r>
                </w:p>
              </w:tc>
              <w:tc>
                <w:tcPr>
                  <w:tcW w:w="605" w:type="pct"/>
                  <w:tcBorders>
                    <w:top w:val="single" w:color="auto" w:sz="4" w:space="0"/>
                    <w:bottom w:val="single" w:color="auto" w:sz="4" w:space="0"/>
                  </w:tcBorders>
                  <w:shd w:val="clear" w:color="auto" w:fill="auto"/>
                  <w:noWrap w:val="0"/>
                  <w:vAlign w:val="center"/>
                </w:tcPr>
                <w:p w14:paraId="2871DD9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1套</w:t>
                  </w:r>
                </w:p>
              </w:tc>
              <w:tc>
                <w:tcPr>
                  <w:tcW w:w="756" w:type="pct"/>
                  <w:tcBorders>
                    <w:top w:val="single" w:color="auto" w:sz="4" w:space="0"/>
                    <w:bottom w:val="single" w:color="auto" w:sz="4" w:space="0"/>
                  </w:tcBorders>
                  <w:shd w:val="clear" w:color="auto" w:fill="auto"/>
                  <w:noWrap w:val="0"/>
                  <w:vAlign w:val="center"/>
                </w:tcPr>
                <w:p w14:paraId="2DB16DF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10腔</w:t>
                  </w:r>
                </w:p>
              </w:tc>
              <w:tc>
                <w:tcPr>
                  <w:tcW w:w="654" w:type="pct"/>
                  <w:tcBorders>
                    <w:top w:val="single" w:color="auto" w:sz="4" w:space="0"/>
                    <w:bottom w:val="single" w:color="auto" w:sz="4" w:space="0"/>
                  </w:tcBorders>
                  <w:shd w:val="clear" w:color="auto" w:fill="auto"/>
                  <w:noWrap w:val="0"/>
                  <w:vAlign w:val="center"/>
                </w:tcPr>
                <w:p w14:paraId="53D67E2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1套</w:t>
                  </w:r>
                </w:p>
              </w:tc>
              <w:tc>
                <w:tcPr>
                  <w:tcW w:w="538" w:type="pct"/>
                  <w:tcBorders>
                    <w:top w:val="single" w:color="auto" w:sz="4" w:space="0"/>
                    <w:bottom w:val="single" w:color="auto" w:sz="4" w:space="0"/>
                  </w:tcBorders>
                  <w:shd w:val="clear" w:color="auto" w:fill="auto"/>
                  <w:noWrap w:val="0"/>
                  <w:vAlign w:val="center"/>
                </w:tcPr>
                <w:p w14:paraId="0DD3C87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一致</w:t>
                  </w:r>
                </w:p>
              </w:tc>
            </w:tr>
            <w:tr w14:paraId="6188900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14" w:type="pct"/>
                  <w:tcBorders>
                    <w:top w:val="single" w:color="auto" w:sz="4" w:space="0"/>
                    <w:bottom w:val="single" w:color="auto" w:sz="4" w:space="0"/>
                  </w:tcBorders>
                  <w:noWrap w:val="0"/>
                  <w:vAlign w:val="center"/>
                </w:tcPr>
                <w:p w14:paraId="3DE25AF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077" w:type="pct"/>
                  <w:tcBorders>
                    <w:top w:val="single" w:color="auto" w:sz="4" w:space="0"/>
                    <w:bottom w:val="single" w:color="auto" w:sz="4" w:space="0"/>
                  </w:tcBorders>
                  <w:shd w:val="clear" w:color="auto" w:fill="auto"/>
                  <w:noWrap w:val="0"/>
                  <w:vAlign w:val="center"/>
                </w:tcPr>
                <w:p w14:paraId="2729ADB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瓶口检测</w:t>
                  </w:r>
                </w:p>
              </w:tc>
              <w:tc>
                <w:tcPr>
                  <w:tcW w:w="852" w:type="pct"/>
                  <w:tcBorders>
                    <w:top w:val="single" w:color="auto" w:sz="4" w:space="0"/>
                    <w:bottom w:val="single" w:color="auto" w:sz="4" w:space="0"/>
                  </w:tcBorders>
                  <w:shd w:val="clear" w:color="auto" w:fill="auto"/>
                  <w:noWrap w:val="0"/>
                  <w:vAlign w:val="center"/>
                </w:tcPr>
                <w:p w14:paraId="6298B00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吹瓶机配套</w:t>
                  </w:r>
                </w:p>
              </w:tc>
              <w:tc>
                <w:tcPr>
                  <w:tcW w:w="605" w:type="pct"/>
                  <w:tcBorders>
                    <w:top w:val="single" w:color="auto" w:sz="4" w:space="0"/>
                    <w:bottom w:val="single" w:color="auto" w:sz="4" w:space="0"/>
                  </w:tcBorders>
                  <w:shd w:val="clear" w:color="auto" w:fill="auto"/>
                  <w:noWrap w:val="0"/>
                  <w:vAlign w:val="center"/>
                </w:tcPr>
                <w:p w14:paraId="6916AC5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1台</w:t>
                  </w:r>
                </w:p>
              </w:tc>
              <w:tc>
                <w:tcPr>
                  <w:tcW w:w="756" w:type="pct"/>
                  <w:tcBorders>
                    <w:top w:val="single" w:color="auto" w:sz="4" w:space="0"/>
                    <w:bottom w:val="single" w:color="auto" w:sz="4" w:space="0"/>
                  </w:tcBorders>
                  <w:shd w:val="clear" w:color="auto" w:fill="auto"/>
                  <w:noWrap w:val="0"/>
                  <w:vAlign w:val="center"/>
                </w:tcPr>
                <w:p w14:paraId="3C31965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吹瓶机配套</w:t>
                  </w:r>
                </w:p>
              </w:tc>
              <w:tc>
                <w:tcPr>
                  <w:tcW w:w="654" w:type="pct"/>
                  <w:tcBorders>
                    <w:top w:val="single" w:color="auto" w:sz="4" w:space="0"/>
                    <w:bottom w:val="single" w:color="auto" w:sz="4" w:space="0"/>
                  </w:tcBorders>
                  <w:shd w:val="clear" w:color="auto" w:fill="auto"/>
                  <w:noWrap w:val="0"/>
                  <w:vAlign w:val="center"/>
                </w:tcPr>
                <w:p w14:paraId="19A35E7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1台</w:t>
                  </w:r>
                </w:p>
              </w:tc>
              <w:tc>
                <w:tcPr>
                  <w:tcW w:w="538" w:type="pct"/>
                  <w:tcBorders>
                    <w:top w:val="single" w:color="auto" w:sz="4" w:space="0"/>
                    <w:bottom w:val="single" w:color="auto" w:sz="4" w:space="0"/>
                  </w:tcBorders>
                  <w:shd w:val="clear" w:color="auto" w:fill="auto"/>
                  <w:noWrap w:val="0"/>
                  <w:vAlign w:val="center"/>
                </w:tcPr>
                <w:p w14:paraId="0247769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一致</w:t>
                  </w:r>
                </w:p>
              </w:tc>
            </w:tr>
            <w:tr w14:paraId="5C530C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514" w:type="pct"/>
                  <w:tcBorders>
                    <w:top w:val="single" w:color="auto" w:sz="4" w:space="0"/>
                    <w:bottom w:val="single" w:color="auto" w:sz="4" w:space="0"/>
                  </w:tcBorders>
                  <w:noWrap w:val="0"/>
                  <w:vAlign w:val="center"/>
                </w:tcPr>
                <w:p w14:paraId="5418A72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1077" w:type="pct"/>
                  <w:tcBorders>
                    <w:top w:val="single" w:color="auto" w:sz="4" w:space="0"/>
                    <w:bottom w:val="single" w:color="auto" w:sz="4" w:space="0"/>
                  </w:tcBorders>
                  <w:shd w:val="clear" w:color="auto" w:fill="auto"/>
                  <w:noWrap w:val="0"/>
                  <w:vAlign w:val="center"/>
                </w:tcPr>
                <w:p w14:paraId="2BADFDA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冷水机</w:t>
                  </w:r>
                </w:p>
              </w:tc>
              <w:tc>
                <w:tcPr>
                  <w:tcW w:w="852" w:type="pct"/>
                  <w:tcBorders>
                    <w:top w:val="single" w:color="auto" w:sz="4" w:space="0"/>
                    <w:bottom w:val="single" w:color="auto" w:sz="4" w:space="0"/>
                  </w:tcBorders>
                  <w:shd w:val="clear" w:color="auto" w:fill="auto"/>
                  <w:noWrap w:val="0"/>
                  <w:vAlign w:val="center"/>
                </w:tcPr>
                <w:p w14:paraId="0CD2230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05" w:type="pct"/>
                  <w:tcBorders>
                    <w:top w:val="single" w:color="auto" w:sz="4" w:space="0"/>
                    <w:bottom w:val="single" w:color="auto" w:sz="4" w:space="0"/>
                  </w:tcBorders>
                  <w:shd w:val="clear" w:color="auto" w:fill="auto"/>
                  <w:noWrap w:val="0"/>
                  <w:vAlign w:val="center"/>
                </w:tcPr>
                <w:p w14:paraId="46144F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2套</w:t>
                  </w:r>
                </w:p>
              </w:tc>
              <w:tc>
                <w:tcPr>
                  <w:tcW w:w="756" w:type="pct"/>
                  <w:tcBorders>
                    <w:top w:val="single" w:color="auto" w:sz="4" w:space="0"/>
                    <w:bottom w:val="single" w:color="auto" w:sz="4" w:space="0"/>
                  </w:tcBorders>
                  <w:shd w:val="clear" w:color="auto" w:fill="auto"/>
                  <w:noWrap w:val="0"/>
                  <w:vAlign w:val="center"/>
                </w:tcPr>
                <w:p w14:paraId="1459B63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54" w:type="pct"/>
                  <w:tcBorders>
                    <w:top w:val="single" w:color="auto" w:sz="4" w:space="0"/>
                    <w:bottom w:val="single" w:color="auto" w:sz="4" w:space="0"/>
                  </w:tcBorders>
                  <w:shd w:val="clear" w:color="auto" w:fill="auto"/>
                  <w:noWrap w:val="0"/>
                  <w:vAlign w:val="center"/>
                </w:tcPr>
                <w:p w14:paraId="0015350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kern w:val="2"/>
                      <w:sz w:val="21"/>
                      <w:szCs w:val="21"/>
                      <w:lang w:val="en-US" w:eastAsia="zh-CN" w:bidi="ar-SA"/>
                    </w:rPr>
                    <w:t>1套</w:t>
                  </w:r>
                </w:p>
              </w:tc>
              <w:tc>
                <w:tcPr>
                  <w:tcW w:w="538" w:type="pct"/>
                  <w:tcBorders>
                    <w:top w:val="single" w:color="auto" w:sz="4" w:space="0"/>
                    <w:bottom w:val="single" w:color="auto" w:sz="4" w:space="0"/>
                  </w:tcBorders>
                  <w:shd w:val="clear" w:color="auto" w:fill="auto"/>
                  <w:noWrap w:val="0"/>
                  <w:vAlign w:val="center"/>
                </w:tcPr>
                <w:p w14:paraId="4ACF3E6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减少1套</w:t>
                  </w:r>
                </w:p>
              </w:tc>
            </w:tr>
          </w:tbl>
          <w:p w14:paraId="6E17E96C">
            <w:pPr>
              <w:spacing w:after="0" w:line="480" w:lineRule="exact"/>
              <w:ind w:firstLine="480" w:firstLineChars="200"/>
              <w:textAlignment w:val="baseline"/>
              <w:rPr>
                <w:rFonts w:eastAsia="黑体"/>
                <w:color w:val="auto"/>
                <w:sz w:val="24"/>
                <w:szCs w:val="21"/>
              </w:rPr>
            </w:pPr>
            <w:r>
              <w:rPr>
                <w:rFonts w:hint="eastAsia" w:ascii="Times New Roman" w:hAnsi="Times New Roman" w:eastAsia="宋体" w:cs="Times New Roman"/>
                <w:color w:val="auto"/>
                <w:sz w:val="24"/>
                <w:szCs w:val="24"/>
                <w:highlight w:val="none"/>
                <w:lang w:val="en-US" w:eastAsia="zh-CN"/>
              </w:rPr>
              <w:t>本项目分期建设，</w:t>
            </w:r>
            <w:r>
              <w:rPr>
                <w:rFonts w:hint="eastAsia" w:ascii="Times New Roman" w:hAnsi="Times New Roman" w:eastAsia="宋体" w:cs="Times New Roman"/>
                <w:color w:val="auto"/>
                <w:sz w:val="24"/>
                <w:szCs w:val="24"/>
                <w:lang w:val="en-US" w:eastAsia="zh-CN"/>
              </w:rPr>
              <w:t>本次一期仅建设</w:t>
            </w:r>
            <w:r>
              <w:rPr>
                <w:rFonts w:hint="default" w:ascii="Times New Roman" w:hAnsi="Times New Roman" w:eastAsia="宋体" w:cs="Times New Roman"/>
                <w:color w:val="auto"/>
                <w:sz w:val="24"/>
                <w:szCs w:val="24"/>
              </w:rPr>
              <w:t>年产</w:t>
            </w:r>
            <w:r>
              <w:rPr>
                <w:rFonts w:hint="default" w:ascii="Times New Roman" w:hAnsi="Times New Roman" w:eastAsia="宋体" w:cs="Times New Roman"/>
                <w:color w:val="auto"/>
                <w:sz w:val="24"/>
                <w:szCs w:val="24"/>
                <w:lang w:val="en-US" w:eastAsia="zh-CN"/>
              </w:rPr>
              <w:t>6000</w:t>
            </w:r>
            <w:r>
              <w:rPr>
                <w:rFonts w:hint="default" w:ascii="Times New Roman" w:hAnsi="Times New Roman" w:eastAsia="宋体" w:cs="Times New Roman"/>
                <w:color w:val="auto"/>
                <w:sz w:val="24"/>
                <w:szCs w:val="24"/>
              </w:rPr>
              <w:t>万只塑料</w:t>
            </w:r>
            <w:r>
              <w:rPr>
                <w:rFonts w:hint="default" w:ascii="Times New Roman" w:hAnsi="Times New Roman" w:eastAsia="宋体" w:cs="Times New Roman"/>
                <w:color w:val="auto"/>
                <w:sz w:val="24"/>
                <w:szCs w:val="24"/>
                <w:lang w:val="en-US" w:eastAsia="zh-CN"/>
              </w:rPr>
              <w:t>瓶</w:t>
            </w:r>
            <w:r>
              <w:rPr>
                <w:rFonts w:hint="eastAsia" w:ascii="Times New Roman" w:hAnsi="Times New Roman" w:eastAsia="宋体" w:cs="Times New Roman"/>
                <w:color w:val="auto"/>
                <w:sz w:val="24"/>
                <w:szCs w:val="24"/>
                <w:lang w:val="en-US" w:eastAsia="zh-CN"/>
              </w:rPr>
              <w:t>吹塑生产线</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lang w:val="en-US" w:eastAsia="zh-CN"/>
              </w:rPr>
              <w:t>本次一期工程</w:t>
            </w:r>
            <w:r>
              <w:rPr>
                <w:rFonts w:hint="eastAsia" w:eastAsia="宋体" w:cs="Times New Roman"/>
                <w:color w:val="auto"/>
                <w:sz w:val="24"/>
                <w:szCs w:val="24"/>
                <w:lang w:val="en-US" w:eastAsia="zh-CN"/>
              </w:rPr>
              <w:t>对吹瓶工序进行验收，一期吹瓶工序</w:t>
            </w:r>
            <w:r>
              <w:rPr>
                <w:rFonts w:hint="default" w:ascii="Times New Roman" w:hAnsi="Times New Roman" w:eastAsia="宋体" w:cs="Times New Roman"/>
                <w:color w:val="auto"/>
                <w:sz w:val="24"/>
                <w:szCs w:val="24"/>
                <w:lang w:val="en-US" w:eastAsia="zh-CN"/>
              </w:rPr>
              <w:t>原材料为瓶胚</w:t>
            </w:r>
            <w:r>
              <w:rPr>
                <w:rFonts w:hint="eastAsia" w:eastAsia="宋体" w:cs="Times New Roman"/>
                <w:color w:val="auto"/>
                <w:sz w:val="24"/>
                <w:szCs w:val="24"/>
                <w:lang w:val="en-US" w:eastAsia="zh-CN"/>
              </w:rPr>
              <w:t>，均来源于外购瓶胚</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pt-BR"/>
              </w:rPr>
              <w:t>其余</w:t>
            </w:r>
            <w:r>
              <w:rPr>
                <w:rFonts w:hint="eastAsia" w:eastAsia="宋体" w:cs="Times New Roman"/>
                <w:color w:val="auto"/>
                <w:sz w:val="24"/>
                <w:szCs w:val="24"/>
                <w:lang w:val="en-US" w:eastAsia="zh-CN"/>
              </w:rPr>
              <w:t>配料、注塑工序</w:t>
            </w:r>
            <w:r>
              <w:rPr>
                <w:rFonts w:hint="default" w:ascii="Times New Roman" w:hAnsi="Times New Roman" w:eastAsia="宋体" w:cs="Times New Roman"/>
                <w:color w:val="auto"/>
                <w:sz w:val="24"/>
                <w:szCs w:val="24"/>
                <w:lang w:val="pt-BR"/>
              </w:rPr>
              <w:t>为</w:t>
            </w:r>
            <w:r>
              <w:rPr>
                <w:rFonts w:hint="default" w:ascii="Times New Roman" w:hAnsi="Times New Roman" w:eastAsia="宋体" w:cs="Times New Roman"/>
                <w:color w:val="auto"/>
                <w:sz w:val="24"/>
                <w:szCs w:val="24"/>
                <w:lang w:val="en-US" w:eastAsia="zh-CN"/>
              </w:rPr>
              <w:t>二</w:t>
            </w:r>
            <w:r>
              <w:rPr>
                <w:rFonts w:hint="default" w:ascii="Times New Roman" w:hAnsi="Times New Roman" w:eastAsia="宋体" w:cs="Times New Roman"/>
                <w:color w:val="auto"/>
                <w:sz w:val="24"/>
                <w:szCs w:val="24"/>
                <w:lang w:val="pt-BR"/>
              </w:rPr>
              <w:t>期建设内容</w:t>
            </w:r>
            <w:r>
              <w:rPr>
                <w:rFonts w:hint="default" w:ascii="Times New Roman" w:hAnsi="Times New Roman" w:eastAsia="宋体" w:cs="Times New Roman"/>
                <w:color w:val="auto"/>
                <w:sz w:val="24"/>
                <w:szCs w:val="24"/>
                <w:lang w:val="pt-BR" w:eastAsia="zh-CN"/>
              </w:rPr>
              <w:t>。</w:t>
            </w:r>
            <w:r>
              <w:rPr>
                <w:rFonts w:hint="eastAsia" w:ascii="Times New Roman" w:hAnsi="Times New Roman" w:eastAsia="宋体" w:cs="Times New Roman"/>
                <w:color w:val="auto"/>
                <w:sz w:val="24"/>
                <w:szCs w:val="24"/>
                <w:highlight w:val="none"/>
                <w:lang w:val="en-US" w:eastAsia="zh-CN"/>
              </w:rPr>
              <w:t>由上表可知，</w:t>
            </w:r>
            <w:r>
              <w:rPr>
                <w:rFonts w:hint="default" w:ascii="Times New Roman" w:hAnsi="Times New Roman" w:eastAsia="宋体" w:cs="Times New Roman"/>
                <w:color w:val="auto"/>
                <w:sz w:val="24"/>
                <w:szCs w:val="24"/>
                <w:highlight w:val="none"/>
              </w:rPr>
              <w:t>项目实际建设内容与环评及批复一致</w:t>
            </w:r>
            <w:r>
              <w:rPr>
                <w:rFonts w:hint="eastAsia" w:eastAsia="宋体" w:cs="Times New Roman"/>
                <w:color w:val="auto"/>
                <w:sz w:val="24"/>
                <w:szCs w:val="24"/>
                <w:highlight w:val="none"/>
                <w:lang w:eastAsia="zh-CN"/>
              </w:rPr>
              <w:t>。</w:t>
            </w:r>
          </w:p>
          <w:p w14:paraId="00C88EDC">
            <w:pPr>
              <w:spacing w:after="0" w:line="460" w:lineRule="exact"/>
              <w:ind w:firstLine="482" w:firstLineChars="200"/>
              <w:jc w:val="both"/>
              <w:rPr>
                <w:rFonts w:eastAsia="宋体"/>
                <w:color w:val="auto"/>
                <w:kern w:val="2"/>
                <w:sz w:val="24"/>
                <w:szCs w:val="20"/>
                <w:highlight w:val="none"/>
              </w:rPr>
            </w:pPr>
            <w:r>
              <w:rPr>
                <w:rFonts w:hint="eastAsia" w:ascii="Times New Roman" w:hAnsi="Times New Roman" w:eastAsia="宋体"/>
                <w:b/>
                <w:bCs/>
                <w:color w:val="auto"/>
                <w:sz w:val="24"/>
                <w:szCs w:val="24"/>
              </w:rPr>
              <w:t>6、</w:t>
            </w:r>
            <w:r>
              <w:rPr>
                <w:rFonts w:ascii="Times New Roman" w:hAnsi="Times New Roman" w:eastAsia="宋体"/>
                <w:b/>
                <w:bCs/>
                <w:color w:val="auto"/>
                <w:sz w:val="24"/>
                <w:szCs w:val="24"/>
              </w:rPr>
              <w:t>原辅材料消耗</w:t>
            </w:r>
          </w:p>
          <w:p w14:paraId="291D4033">
            <w:pPr>
              <w:spacing w:after="0" w:line="480" w:lineRule="exact"/>
              <w:ind w:firstLine="480" w:firstLineChars="200"/>
              <w:textAlignment w:val="baseline"/>
              <w:rPr>
                <w:rFonts w:eastAsia="黑体"/>
                <w:color w:val="auto"/>
                <w:sz w:val="24"/>
                <w:szCs w:val="21"/>
              </w:rPr>
            </w:pPr>
            <w:r>
              <w:rPr>
                <w:rFonts w:eastAsia="黑体"/>
                <w:color w:val="auto"/>
                <w:sz w:val="24"/>
                <w:szCs w:val="21"/>
              </w:rPr>
              <w:t>表</w:t>
            </w:r>
            <w:r>
              <w:rPr>
                <w:rFonts w:hint="eastAsia" w:eastAsia="黑体"/>
                <w:color w:val="auto"/>
                <w:sz w:val="24"/>
                <w:szCs w:val="21"/>
                <w:lang w:val="en-US" w:eastAsia="zh-CN"/>
              </w:rPr>
              <w:t>8</w:t>
            </w:r>
            <w:r>
              <w:rPr>
                <w:rFonts w:hint="eastAsia" w:eastAsia="黑体"/>
                <w:color w:val="auto"/>
                <w:sz w:val="24"/>
                <w:szCs w:val="21"/>
              </w:rPr>
              <w:t xml:space="preserve">  </w:t>
            </w:r>
            <w:r>
              <w:rPr>
                <w:rFonts w:eastAsia="黑体"/>
                <w:color w:val="auto"/>
                <w:sz w:val="24"/>
                <w:szCs w:val="21"/>
              </w:rPr>
              <w:t xml:space="preserve">             原辅材料及资（能）源消耗一览表</w:t>
            </w:r>
          </w:p>
          <w:tbl>
            <w:tblPr>
              <w:tblStyle w:val="18"/>
              <w:tblW w:w="4997"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autofit"/>
              <w:tblCellMar>
                <w:top w:w="0" w:type="dxa"/>
                <w:left w:w="11" w:type="dxa"/>
                <w:bottom w:w="0" w:type="dxa"/>
                <w:right w:w="11" w:type="dxa"/>
              </w:tblCellMar>
            </w:tblPr>
            <w:tblGrid>
              <w:gridCol w:w="582"/>
              <w:gridCol w:w="1715"/>
              <w:gridCol w:w="1769"/>
              <w:gridCol w:w="1891"/>
              <w:gridCol w:w="2850"/>
            </w:tblGrid>
            <w:tr w14:paraId="6C52FE45">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1" w:type="dxa"/>
                  <w:bottom w:w="0" w:type="dxa"/>
                  <w:right w:w="11" w:type="dxa"/>
                </w:tblCellMar>
              </w:tblPrEx>
              <w:trPr>
                <w:trHeight w:val="397" w:hRule="atLeast"/>
                <w:tblHeader/>
                <w:jc w:val="center"/>
              </w:trPr>
              <w:tc>
                <w:tcPr>
                  <w:tcW w:w="582" w:type="dxa"/>
                  <w:noWrap w:val="0"/>
                  <w:vAlign w:val="center"/>
                </w:tcPr>
                <w:p w14:paraId="3E3F1194">
                  <w:pPr>
                    <w:spacing w:after="0"/>
                    <w:jc w:val="center"/>
                    <w:rPr>
                      <w:rFonts w:hint="default" w:ascii="Times New Roman" w:hAnsi="Times New Roman" w:eastAsia="宋体" w:cs="Times New Roman"/>
                      <w:b/>
                      <w:color w:val="auto"/>
                      <w:sz w:val="21"/>
                      <w:szCs w:val="21"/>
                      <w:lang w:val="pt-BR"/>
                    </w:rPr>
                  </w:pPr>
                  <w:r>
                    <w:rPr>
                      <w:rFonts w:hint="default" w:ascii="Times New Roman" w:hAnsi="Times New Roman" w:eastAsia="宋体" w:cs="Times New Roman"/>
                      <w:b/>
                      <w:color w:val="auto"/>
                      <w:sz w:val="21"/>
                      <w:szCs w:val="21"/>
                    </w:rPr>
                    <w:t>序号</w:t>
                  </w:r>
                </w:p>
              </w:tc>
              <w:tc>
                <w:tcPr>
                  <w:tcW w:w="1715" w:type="dxa"/>
                  <w:noWrap w:val="0"/>
                  <w:vAlign w:val="center"/>
                </w:tcPr>
                <w:p w14:paraId="1C4DF140">
                  <w:pPr>
                    <w:spacing w:after="0"/>
                    <w:jc w:val="center"/>
                    <w:rPr>
                      <w:rFonts w:hint="default" w:ascii="Times New Roman" w:hAnsi="Times New Roman" w:eastAsia="宋体" w:cs="Times New Roman"/>
                      <w:b/>
                      <w:color w:val="auto"/>
                      <w:sz w:val="21"/>
                      <w:szCs w:val="21"/>
                      <w:lang w:val="pt-BR"/>
                    </w:rPr>
                  </w:pPr>
                  <w:r>
                    <w:rPr>
                      <w:rFonts w:hint="default" w:ascii="Times New Roman" w:hAnsi="Times New Roman" w:eastAsia="宋体" w:cs="Times New Roman"/>
                      <w:b/>
                      <w:color w:val="auto"/>
                      <w:sz w:val="21"/>
                      <w:szCs w:val="21"/>
                    </w:rPr>
                    <w:t>原辅料名称</w:t>
                  </w:r>
                </w:p>
              </w:tc>
              <w:tc>
                <w:tcPr>
                  <w:tcW w:w="1769" w:type="dxa"/>
                  <w:tcBorders>
                    <w:right w:val="single" w:color="auto" w:sz="4" w:space="0"/>
                  </w:tcBorders>
                  <w:noWrap w:val="0"/>
                  <w:vAlign w:val="center"/>
                </w:tcPr>
                <w:p w14:paraId="11C8D163">
                  <w:pPr>
                    <w:spacing w:after="0"/>
                    <w:jc w:val="center"/>
                    <w:rPr>
                      <w:rFonts w:hint="default" w:ascii="Times New Roman" w:hAnsi="Times New Roman" w:eastAsia="宋体" w:cs="Times New Roman"/>
                      <w:b/>
                      <w:color w:val="auto"/>
                      <w:sz w:val="21"/>
                      <w:szCs w:val="21"/>
                      <w:lang w:val="pt-BR"/>
                    </w:rPr>
                  </w:pPr>
                  <w:r>
                    <w:rPr>
                      <w:rFonts w:hint="default" w:ascii="Times New Roman" w:hAnsi="Times New Roman" w:eastAsia="宋体" w:cs="Times New Roman"/>
                      <w:b/>
                      <w:color w:val="auto"/>
                      <w:sz w:val="21"/>
                      <w:szCs w:val="21"/>
                    </w:rPr>
                    <w:t>环评批复用量</w:t>
                  </w:r>
                </w:p>
              </w:tc>
              <w:tc>
                <w:tcPr>
                  <w:tcW w:w="1891" w:type="dxa"/>
                  <w:tcBorders>
                    <w:left w:val="single" w:color="auto" w:sz="4" w:space="0"/>
                  </w:tcBorders>
                  <w:noWrap w:val="0"/>
                  <w:vAlign w:val="center"/>
                </w:tcPr>
                <w:p w14:paraId="3224E305">
                  <w:pPr>
                    <w:spacing w:after="0"/>
                    <w:jc w:val="center"/>
                    <w:rPr>
                      <w:rFonts w:hint="default" w:ascii="Times New Roman" w:hAnsi="Times New Roman" w:eastAsia="宋体" w:cs="Times New Roman"/>
                      <w:b/>
                      <w:color w:val="auto"/>
                      <w:sz w:val="21"/>
                      <w:szCs w:val="21"/>
                      <w:lang w:val="pt-BR"/>
                    </w:rPr>
                  </w:pPr>
                  <w:r>
                    <w:rPr>
                      <w:rFonts w:hint="default" w:ascii="Times New Roman" w:hAnsi="Times New Roman" w:eastAsia="宋体" w:cs="Times New Roman"/>
                      <w:b/>
                      <w:color w:val="auto"/>
                      <w:sz w:val="21"/>
                      <w:szCs w:val="21"/>
                      <w:lang w:val="pt-BR"/>
                    </w:rPr>
                    <w:t>实际使用量</w:t>
                  </w:r>
                </w:p>
              </w:tc>
              <w:tc>
                <w:tcPr>
                  <w:tcW w:w="2850" w:type="dxa"/>
                  <w:tcBorders>
                    <w:left w:val="single" w:color="auto" w:sz="4" w:space="0"/>
                  </w:tcBorders>
                  <w:noWrap w:val="0"/>
                  <w:vAlign w:val="center"/>
                </w:tcPr>
                <w:p w14:paraId="6217D560">
                  <w:pPr>
                    <w:spacing w:after="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一致性</w:t>
                  </w:r>
                </w:p>
              </w:tc>
            </w:tr>
            <w:tr w14:paraId="5734E17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1" w:type="dxa"/>
                  <w:bottom w:w="0" w:type="dxa"/>
                  <w:right w:w="11" w:type="dxa"/>
                </w:tblCellMar>
              </w:tblPrEx>
              <w:trPr>
                <w:trHeight w:val="397" w:hRule="atLeast"/>
                <w:jc w:val="center"/>
              </w:trPr>
              <w:tc>
                <w:tcPr>
                  <w:tcW w:w="582" w:type="dxa"/>
                  <w:noWrap w:val="0"/>
                  <w:vAlign w:val="center"/>
                </w:tcPr>
                <w:p w14:paraId="17FB48E1">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kern w:val="0"/>
                      <w:sz w:val="21"/>
                      <w:szCs w:val="21"/>
                      <w:lang w:val="pt-BR"/>
                    </w:rPr>
                  </w:pPr>
                  <w:r>
                    <w:rPr>
                      <w:rFonts w:hint="default" w:ascii="Times New Roman" w:hAnsi="Times New Roman" w:eastAsia="宋体" w:cs="Times New Roman"/>
                      <w:color w:val="auto"/>
                      <w:sz w:val="21"/>
                      <w:szCs w:val="21"/>
                    </w:rPr>
                    <w:t>1</w:t>
                  </w:r>
                </w:p>
              </w:tc>
              <w:tc>
                <w:tcPr>
                  <w:tcW w:w="1715" w:type="dxa"/>
                  <w:noWrap w:val="0"/>
                  <w:vAlign w:val="center"/>
                </w:tcPr>
                <w:p w14:paraId="260190E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PE</w:t>
                  </w:r>
                </w:p>
              </w:tc>
              <w:tc>
                <w:tcPr>
                  <w:tcW w:w="1769" w:type="dxa"/>
                  <w:tcBorders>
                    <w:right w:val="single" w:color="auto" w:sz="4" w:space="0"/>
                  </w:tcBorders>
                  <w:noWrap w:val="0"/>
                  <w:vAlign w:val="center"/>
                </w:tcPr>
                <w:p w14:paraId="1969E72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1795t/a</w:t>
                  </w:r>
                </w:p>
              </w:tc>
              <w:tc>
                <w:tcPr>
                  <w:tcW w:w="1891" w:type="dxa"/>
                  <w:tcBorders>
                    <w:left w:val="single" w:color="auto" w:sz="4" w:space="0"/>
                  </w:tcBorders>
                  <w:noWrap w:val="0"/>
                  <w:vAlign w:val="center"/>
                </w:tcPr>
                <w:p w14:paraId="5405F61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850" w:type="dxa"/>
                  <w:vMerge w:val="restart"/>
                  <w:tcBorders>
                    <w:left w:val="single" w:color="auto" w:sz="4" w:space="0"/>
                  </w:tcBorders>
                  <w:noWrap w:val="0"/>
                  <w:vAlign w:val="center"/>
                </w:tcPr>
                <w:p w14:paraId="2F9A3A1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本次一期仅建设</w:t>
                  </w:r>
                  <w:r>
                    <w:rPr>
                      <w:rFonts w:hint="default" w:ascii="Times New Roman" w:hAnsi="Times New Roman" w:eastAsia="宋体" w:cs="Times New Roman"/>
                      <w:color w:val="auto"/>
                      <w:sz w:val="21"/>
                      <w:szCs w:val="21"/>
                      <w:lang w:val="en-US" w:eastAsia="zh-CN"/>
                    </w:rPr>
                    <w:t>年产6000万只塑料瓶</w:t>
                  </w:r>
                  <w:r>
                    <w:rPr>
                      <w:rFonts w:hint="eastAsia" w:ascii="Times New Roman" w:hAnsi="Times New Roman" w:eastAsia="宋体" w:cs="Times New Roman"/>
                      <w:color w:val="auto"/>
                      <w:sz w:val="21"/>
                      <w:szCs w:val="21"/>
                      <w:lang w:val="en-US" w:eastAsia="zh-CN"/>
                    </w:rPr>
                    <w:t>吹塑生产线，</w:t>
                  </w:r>
                  <w:r>
                    <w:rPr>
                      <w:rFonts w:hint="default" w:ascii="Times New Roman" w:hAnsi="Times New Roman" w:eastAsia="宋体" w:cs="Times New Roman"/>
                      <w:color w:val="auto"/>
                      <w:sz w:val="21"/>
                      <w:szCs w:val="21"/>
                      <w:lang w:val="en-US" w:eastAsia="zh-CN"/>
                    </w:rPr>
                    <w:t>本次一期工程</w:t>
                  </w:r>
                  <w:r>
                    <w:rPr>
                      <w:rFonts w:hint="eastAsia" w:ascii="Times New Roman" w:hAnsi="Times New Roman" w:eastAsia="宋体" w:cs="Times New Roman"/>
                      <w:color w:val="auto"/>
                      <w:sz w:val="21"/>
                      <w:szCs w:val="21"/>
                      <w:lang w:val="en-US" w:eastAsia="zh-CN"/>
                    </w:rPr>
                    <w:t>对吹瓶工序进行验收，一期吹瓶工序</w:t>
                  </w:r>
                  <w:r>
                    <w:rPr>
                      <w:rFonts w:hint="default" w:ascii="Times New Roman" w:hAnsi="Times New Roman" w:eastAsia="宋体" w:cs="Times New Roman"/>
                      <w:color w:val="auto"/>
                      <w:sz w:val="21"/>
                      <w:szCs w:val="21"/>
                      <w:lang w:val="en-US" w:eastAsia="zh-CN"/>
                    </w:rPr>
                    <w:t>原材料为瓶胚</w:t>
                  </w:r>
                  <w:r>
                    <w:rPr>
                      <w:rFonts w:hint="eastAsia" w:ascii="Times New Roman" w:hAnsi="Times New Roman" w:eastAsia="宋体" w:cs="Times New Roman"/>
                      <w:color w:val="auto"/>
                      <w:sz w:val="21"/>
                      <w:szCs w:val="21"/>
                      <w:lang w:val="en-US" w:eastAsia="zh-CN"/>
                    </w:rPr>
                    <w:t>，均来源于外购瓶胚</w:t>
                  </w:r>
                </w:p>
              </w:tc>
            </w:tr>
            <w:tr w14:paraId="7E832CD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1" w:type="dxa"/>
                  <w:bottom w:w="0" w:type="dxa"/>
                  <w:right w:w="11" w:type="dxa"/>
                </w:tblCellMar>
              </w:tblPrEx>
              <w:trPr>
                <w:trHeight w:val="397" w:hRule="atLeast"/>
                <w:jc w:val="center"/>
              </w:trPr>
              <w:tc>
                <w:tcPr>
                  <w:tcW w:w="582" w:type="dxa"/>
                  <w:shd w:val="clear" w:color="auto" w:fill="auto"/>
                  <w:noWrap w:val="0"/>
                  <w:vAlign w:val="center"/>
                </w:tcPr>
                <w:p w14:paraId="5D45359A">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w:t>
                  </w:r>
                </w:p>
              </w:tc>
              <w:tc>
                <w:tcPr>
                  <w:tcW w:w="1715" w:type="dxa"/>
                  <w:noWrap w:val="0"/>
                  <w:vAlign w:val="center"/>
                </w:tcPr>
                <w:p w14:paraId="5FF99C6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色母</w:t>
                  </w:r>
                </w:p>
              </w:tc>
              <w:tc>
                <w:tcPr>
                  <w:tcW w:w="1769" w:type="dxa"/>
                  <w:tcBorders>
                    <w:right w:val="single" w:color="auto" w:sz="4" w:space="0"/>
                  </w:tcBorders>
                  <w:noWrap w:val="0"/>
                  <w:vAlign w:val="center"/>
                </w:tcPr>
                <w:p w14:paraId="1BBA58F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5t/a</w:t>
                  </w:r>
                </w:p>
              </w:tc>
              <w:tc>
                <w:tcPr>
                  <w:tcW w:w="1891" w:type="dxa"/>
                  <w:tcBorders>
                    <w:left w:val="single" w:color="auto" w:sz="4" w:space="0"/>
                  </w:tcBorders>
                  <w:noWrap w:val="0"/>
                  <w:vAlign w:val="center"/>
                </w:tcPr>
                <w:p w14:paraId="614FDCA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850" w:type="dxa"/>
                  <w:vMerge w:val="continue"/>
                  <w:tcBorders>
                    <w:left w:val="single" w:color="auto" w:sz="4" w:space="0"/>
                  </w:tcBorders>
                  <w:noWrap w:val="0"/>
                  <w:vAlign w:val="center"/>
                </w:tcPr>
                <w:p w14:paraId="7963CB6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p>
              </w:tc>
            </w:tr>
            <w:tr w14:paraId="508AA2DC">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1" w:type="dxa"/>
                  <w:bottom w:w="0" w:type="dxa"/>
                  <w:right w:w="11" w:type="dxa"/>
                </w:tblCellMar>
              </w:tblPrEx>
              <w:trPr>
                <w:trHeight w:val="397" w:hRule="atLeast"/>
                <w:jc w:val="center"/>
              </w:trPr>
              <w:tc>
                <w:tcPr>
                  <w:tcW w:w="582" w:type="dxa"/>
                  <w:noWrap w:val="0"/>
                  <w:vAlign w:val="center"/>
                </w:tcPr>
                <w:p w14:paraId="5439DBE4">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w:t>
                  </w:r>
                </w:p>
              </w:tc>
              <w:tc>
                <w:tcPr>
                  <w:tcW w:w="1715" w:type="dxa"/>
                  <w:noWrap w:val="0"/>
                  <w:vAlign w:val="center"/>
                </w:tcPr>
                <w:p w14:paraId="250216B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w:t>
                  </w:r>
                </w:p>
              </w:tc>
              <w:tc>
                <w:tcPr>
                  <w:tcW w:w="1769" w:type="dxa"/>
                  <w:tcBorders>
                    <w:right w:val="single" w:color="auto" w:sz="4" w:space="0"/>
                  </w:tcBorders>
                  <w:noWrap w:val="0"/>
                  <w:vAlign w:val="center"/>
                </w:tcPr>
                <w:p w14:paraId="333014A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468t/</w:t>
                  </w:r>
                  <w:r>
                    <w:rPr>
                      <w:rFonts w:hint="default" w:ascii="Times New Roman" w:hAnsi="Times New Roman" w:eastAsia="宋体" w:cs="Times New Roman"/>
                      <w:color w:val="auto"/>
                      <w:sz w:val="21"/>
                      <w:szCs w:val="21"/>
                      <w:lang w:val="en-US" w:eastAsia="zh-CN"/>
                    </w:rPr>
                    <w:t>a</w:t>
                  </w:r>
                </w:p>
              </w:tc>
              <w:tc>
                <w:tcPr>
                  <w:tcW w:w="1891" w:type="dxa"/>
                  <w:tcBorders>
                    <w:left w:val="single" w:color="auto" w:sz="4" w:space="0"/>
                  </w:tcBorders>
                  <w:noWrap w:val="0"/>
                  <w:vAlign w:val="center"/>
                </w:tcPr>
                <w:p w14:paraId="433A27B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350</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lang w:val="en-US" w:eastAsia="zh-CN"/>
                    </w:rPr>
                    <w:t>a</w:t>
                  </w:r>
                </w:p>
              </w:tc>
              <w:tc>
                <w:tcPr>
                  <w:tcW w:w="2850" w:type="dxa"/>
                  <w:vMerge w:val="restart"/>
                  <w:tcBorders>
                    <w:left w:val="single" w:color="auto" w:sz="4" w:space="0"/>
                  </w:tcBorders>
                  <w:noWrap w:val="0"/>
                  <w:vAlign w:val="center"/>
                </w:tcPr>
                <w:p w14:paraId="2A0FD7B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分期建设，本次一期仅建设</w:t>
                  </w:r>
                  <w:r>
                    <w:rPr>
                      <w:rFonts w:hint="default" w:ascii="Times New Roman" w:hAnsi="Times New Roman" w:eastAsia="宋体" w:cs="Times New Roman"/>
                      <w:color w:val="auto"/>
                      <w:sz w:val="21"/>
                      <w:szCs w:val="21"/>
                    </w:rPr>
                    <w:t>年产</w:t>
                  </w:r>
                  <w:r>
                    <w:rPr>
                      <w:rFonts w:hint="default" w:ascii="Times New Roman" w:hAnsi="Times New Roman" w:eastAsia="宋体" w:cs="Times New Roman"/>
                      <w:color w:val="auto"/>
                      <w:sz w:val="21"/>
                      <w:szCs w:val="21"/>
                      <w:lang w:val="en-US" w:eastAsia="zh-CN"/>
                    </w:rPr>
                    <w:t>6000</w:t>
                  </w:r>
                  <w:r>
                    <w:rPr>
                      <w:rFonts w:hint="default" w:ascii="Times New Roman" w:hAnsi="Times New Roman" w:eastAsia="宋体" w:cs="Times New Roman"/>
                      <w:color w:val="auto"/>
                      <w:sz w:val="21"/>
                      <w:szCs w:val="21"/>
                    </w:rPr>
                    <w:t>万只塑料</w:t>
                  </w:r>
                  <w:r>
                    <w:rPr>
                      <w:rFonts w:hint="default" w:ascii="Times New Roman" w:hAnsi="Times New Roman" w:eastAsia="宋体" w:cs="Times New Roman"/>
                      <w:color w:val="auto"/>
                      <w:sz w:val="21"/>
                      <w:szCs w:val="21"/>
                      <w:lang w:val="en-US" w:eastAsia="zh-CN"/>
                    </w:rPr>
                    <w:t>瓶吹塑生产线</w:t>
                  </w:r>
                </w:p>
              </w:tc>
            </w:tr>
            <w:tr w14:paraId="4A1333F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1" w:type="dxa"/>
                  <w:bottom w:w="0" w:type="dxa"/>
                  <w:right w:w="11" w:type="dxa"/>
                </w:tblCellMar>
              </w:tblPrEx>
              <w:trPr>
                <w:trHeight w:val="397" w:hRule="atLeast"/>
                <w:jc w:val="center"/>
              </w:trPr>
              <w:tc>
                <w:tcPr>
                  <w:tcW w:w="582" w:type="dxa"/>
                  <w:noWrap w:val="0"/>
                  <w:vAlign w:val="center"/>
                </w:tcPr>
                <w:p w14:paraId="233EAF3F">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w:t>
                  </w:r>
                </w:p>
              </w:tc>
              <w:tc>
                <w:tcPr>
                  <w:tcW w:w="1715" w:type="dxa"/>
                  <w:noWrap w:val="0"/>
                  <w:vAlign w:val="center"/>
                </w:tcPr>
                <w:p w14:paraId="1240916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w:t>
                  </w:r>
                </w:p>
              </w:tc>
              <w:tc>
                <w:tcPr>
                  <w:tcW w:w="1769" w:type="dxa"/>
                  <w:tcBorders>
                    <w:right w:val="single" w:color="auto" w:sz="4" w:space="0"/>
                  </w:tcBorders>
                  <w:noWrap w:val="0"/>
                  <w:vAlign w:val="center"/>
                </w:tcPr>
                <w:p w14:paraId="1626F6D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万</w:t>
                  </w:r>
                  <w:r>
                    <w:rPr>
                      <w:rFonts w:hint="default" w:ascii="Times New Roman" w:hAnsi="Times New Roman" w:eastAsia="宋体" w:cs="Times New Roman"/>
                      <w:color w:val="auto"/>
                      <w:kern w:val="36"/>
                      <w:sz w:val="21"/>
                      <w:szCs w:val="21"/>
                    </w:rPr>
                    <w:t>kW·h/a</w:t>
                  </w:r>
                </w:p>
              </w:tc>
              <w:tc>
                <w:tcPr>
                  <w:tcW w:w="1891" w:type="dxa"/>
                  <w:tcBorders>
                    <w:left w:val="single" w:color="auto" w:sz="4" w:space="0"/>
                  </w:tcBorders>
                  <w:noWrap w:val="0"/>
                  <w:vAlign w:val="center"/>
                </w:tcPr>
                <w:p w14:paraId="79BCFAE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36"/>
                      <w:sz w:val="21"/>
                      <w:szCs w:val="21"/>
                      <w:lang w:val="en-US" w:eastAsia="zh-CN"/>
                    </w:rPr>
                    <w:t xml:space="preserve">10 </w:t>
                  </w:r>
                  <w:r>
                    <w:rPr>
                      <w:rFonts w:hint="default" w:ascii="Times New Roman" w:hAnsi="Times New Roman" w:eastAsia="宋体" w:cs="Times New Roman"/>
                      <w:color w:val="auto"/>
                      <w:kern w:val="36"/>
                      <w:sz w:val="21"/>
                      <w:szCs w:val="21"/>
                    </w:rPr>
                    <w:t>kW·h/a</w:t>
                  </w:r>
                </w:p>
              </w:tc>
              <w:tc>
                <w:tcPr>
                  <w:tcW w:w="2850" w:type="dxa"/>
                  <w:vMerge w:val="continue"/>
                  <w:tcBorders>
                    <w:left w:val="single" w:color="auto" w:sz="4" w:space="0"/>
                  </w:tcBorders>
                  <w:noWrap w:val="0"/>
                  <w:vAlign w:val="center"/>
                </w:tcPr>
                <w:p w14:paraId="031634B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r>
            <w:tr w14:paraId="2B44381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1" w:type="dxa"/>
                  <w:bottom w:w="0" w:type="dxa"/>
                  <w:right w:w="11" w:type="dxa"/>
                </w:tblCellMar>
              </w:tblPrEx>
              <w:trPr>
                <w:trHeight w:val="397" w:hRule="atLeast"/>
                <w:jc w:val="center"/>
              </w:trPr>
              <w:tc>
                <w:tcPr>
                  <w:tcW w:w="582" w:type="dxa"/>
                  <w:noWrap w:val="0"/>
                  <w:vAlign w:val="center"/>
                </w:tcPr>
                <w:p w14:paraId="7BBD338B">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w:t>
                  </w:r>
                </w:p>
              </w:tc>
              <w:tc>
                <w:tcPr>
                  <w:tcW w:w="1715" w:type="dxa"/>
                  <w:noWrap w:val="0"/>
                  <w:vAlign w:val="center"/>
                </w:tcPr>
                <w:p w14:paraId="633733A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瓶胚</w:t>
                  </w:r>
                </w:p>
              </w:tc>
              <w:tc>
                <w:tcPr>
                  <w:tcW w:w="1769" w:type="dxa"/>
                  <w:tcBorders>
                    <w:right w:val="single" w:color="auto" w:sz="4" w:space="0"/>
                  </w:tcBorders>
                  <w:noWrap w:val="0"/>
                  <w:vAlign w:val="center"/>
                </w:tcPr>
                <w:p w14:paraId="5BDE8EC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891" w:type="dxa"/>
                  <w:tcBorders>
                    <w:left w:val="single" w:color="auto" w:sz="4" w:space="0"/>
                  </w:tcBorders>
                  <w:noWrap w:val="0"/>
                  <w:vAlign w:val="center"/>
                </w:tcPr>
                <w:p w14:paraId="58926E4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600</w:t>
                  </w:r>
                  <w:r>
                    <w:rPr>
                      <w:rFonts w:hint="eastAsia"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万只/a</w:t>
                  </w:r>
                </w:p>
              </w:tc>
              <w:tc>
                <w:tcPr>
                  <w:tcW w:w="2850" w:type="dxa"/>
                  <w:tcBorders>
                    <w:left w:val="single" w:color="auto" w:sz="4" w:space="0"/>
                  </w:tcBorders>
                  <w:noWrap w:val="0"/>
                  <w:vAlign w:val="center"/>
                </w:tcPr>
                <w:p w14:paraId="4356FCA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本次一期工程</w:t>
                  </w:r>
                  <w:r>
                    <w:rPr>
                      <w:rFonts w:hint="eastAsia" w:ascii="Times New Roman" w:hAnsi="Times New Roman" w:eastAsia="宋体" w:cs="Times New Roman"/>
                      <w:color w:val="auto"/>
                      <w:sz w:val="21"/>
                      <w:szCs w:val="21"/>
                      <w:lang w:val="en-US" w:eastAsia="zh-CN"/>
                    </w:rPr>
                    <w:t>对吹瓶工序进行验收，一期吹瓶工序</w:t>
                  </w:r>
                  <w:r>
                    <w:rPr>
                      <w:rFonts w:hint="default" w:ascii="Times New Roman" w:hAnsi="Times New Roman" w:eastAsia="宋体" w:cs="Times New Roman"/>
                      <w:color w:val="auto"/>
                      <w:sz w:val="21"/>
                      <w:szCs w:val="21"/>
                      <w:lang w:val="en-US" w:eastAsia="zh-CN"/>
                    </w:rPr>
                    <w:t>原材料为瓶胚</w:t>
                  </w:r>
                  <w:r>
                    <w:rPr>
                      <w:rFonts w:hint="eastAsia" w:ascii="Times New Roman" w:hAnsi="Times New Roman" w:eastAsia="宋体" w:cs="Times New Roman"/>
                      <w:color w:val="auto"/>
                      <w:sz w:val="21"/>
                      <w:szCs w:val="21"/>
                      <w:lang w:val="en-US" w:eastAsia="zh-CN"/>
                    </w:rPr>
                    <w:t>，均来源于外购瓶胚</w:t>
                  </w:r>
                </w:p>
              </w:tc>
            </w:tr>
          </w:tbl>
          <w:p w14:paraId="7464519B">
            <w:pPr>
              <w:spacing w:after="0" w:line="460" w:lineRule="exact"/>
              <w:ind w:firstLine="482" w:firstLineChars="200"/>
              <w:rPr>
                <w:rFonts w:ascii="Times New Roman" w:hAnsi="Times New Roman" w:eastAsia="宋体"/>
                <w:b/>
                <w:bCs/>
                <w:color w:val="auto"/>
                <w:sz w:val="24"/>
                <w:lang w:val="pt-BR"/>
              </w:rPr>
            </w:pPr>
            <w:r>
              <w:rPr>
                <w:rFonts w:hint="eastAsia" w:ascii="Times New Roman" w:hAnsi="Times New Roman" w:eastAsia="宋体"/>
                <w:b/>
                <w:bCs/>
                <w:color w:val="auto"/>
                <w:sz w:val="24"/>
                <w:szCs w:val="24"/>
                <w:lang w:val="pt-BR"/>
              </w:rPr>
              <w:t>7</w:t>
            </w:r>
            <w:r>
              <w:rPr>
                <w:rFonts w:hint="eastAsia" w:ascii="Times New Roman" w:hAnsi="Times New Roman" w:eastAsia="宋体"/>
                <w:b/>
                <w:bCs/>
                <w:color w:val="auto"/>
                <w:sz w:val="24"/>
                <w:szCs w:val="24"/>
              </w:rPr>
              <w:t>、生产</w:t>
            </w:r>
            <w:r>
              <w:rPr>
                <w:rFonts w:ascii="Times New Roman" w:hAnsi="Times New Roman" w:eastAsia="宋体"/>
                <w:b/>
                <w:bCs/>
                <w:color w:val="auto"/>
                <w:sz w:val="24"/>
                <w:szCs w:val="24"/>
              </w:rPr>
              <w:t>工艺</w:t>
            </w:r>
          </w:p>
          <w:p w14:paraId="1C310570">
            <w:pPr>
              <w:spacing w:after="0" w:line="480" w:lineRule="exact"/>
              <w:ind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项目实际建设内容与环评及批复基本一致，主要生产工艺</w:t>
            </w:r>
            <w:r>
              <w:rPr>
                <w:rFonts w:hint="eastAsia" w:eastAsia="宋体" w:cs="Times New Roman"/>
                <w:color w:val="auto"/>
                <w:sz w:val="24"/>
                <w:szCs w:val="24"/>
                <w:lang w:val="en-US" w:eastAsia="zh-CN"/>
              </w:rPr>
              <w:t>基本</w:t>
            </w:r>
            <w:r>
              <w:rPr>
                <w:rFonts w:hint="default" w:ascii="Times New Roman" w:hAnsi="Times New Roman" w:eastAsia="宋体" w:cs="Times New Roman"/>
                <w:color w:val="auto"/>
                <w:sz w:val="24"/>
                <w:szCs w:val="24"/>
              </w:rPr>
              <w:t>一致，与环评及批复不一致的地方为：</w:t>
            </w:r>
            <w:r>
              <w:rPr>
                <w:rFonts w:hint="default" w:ascii="Times New Roman" w:hAnsi="Times New Roman" w:eastAsia="宋体" w:cs="Times New Roman"/>
                <w:color w:val="auto"/>
                <w:sz w:val="24"/>
                <w:szCs w:val="24"/>
                <w:lang w:val="en-US" w:eastAsia="zh-CN"/>
              </w:rPr>
              <w:t>原环评外购PE原料与色母粒通过注塑工艺制得瓶胚，瓶胚进一步经过吹瓶工艺制得塑料瓶，实际本次一期工程仅建设</w:t>
            </w:r>
            <w:r>
              <w:rPr>
                <w:rFonts w:hint="default" w:ascii="Times New Roman" w:hAnsi="Times New Roman" w:eastAsia="宋体" w:cs="Times New Roman"/>
                <w:color w:val="auto"/>
                <w:sz w:val="24"/>
                <w:szCs w:val="24"/>
              </w:rPr>
              <w:t>年产</w:t>
            </w:r>
            <w:r>
              <w:rPr>
                <w:rFonts w:hint="default" w:ascii="Times New Roman" w:hAnsi="Times New Roman" w:eastAsia="宋体" w:cs="Times New Roman"/>
                <w:color w:val="auto"/>
                <w:sz w:val="24"/>
                <w:szCs w:val="24"/>
                <w:lang w:val="en-US" w:eastAsia="zh-CN"/>
              </w:rPr>
              <w:t>6000</w:t>
            </w:r>
            <w:r>
              <w:rPr>
                <w:rFonts w:hint="default" w:ascii="Times New Roman" w:hAnsi="Times New Roman" w:eastAsia="宋体" w:cs="Times New Roman"/>
                <w:color w:val="auto"/>
                <w:sz w:val="24"/>
                <w:szCs w:val="24"/>
              </w:rPr>
              <w:t>万只塑料</w:t>
            </w:r>
            <w:r>
              <w:rPr>
                <w:rFonts w:hint="default" w:ascii="Times New Roman" w:hAnsi="Times New Roman" w:eastAsia="宋体" w:cs="Times New Roman"/>
                <w:color w:val="auto"/>
                <w:sz w:val="24"/>
                <w:szCs w:val="24"/>
                <w:lang w:val="en-US" w:eastAsia="zh-CN"/>
              </w:rPr>
              <w:t>瓶吹塑生产线，吹瓶工序所用瓶胚来源为外购，注塑生产线将由二期建设。</w:t>
            </w:r>
          </w:p>
          <w:p w14:paraId="016CCE3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eastAsia="黑体"/>
                <w:color w:val="auto"/>
                <w:sz w:val="24"/>
                <w:szCs w:val="21"/>
              </w:rPr>
            </w:pPr>
            <w:r>
              <w:rPr>
                <w:rFonts w:eastAsia="黑体"/>
                <w:color w:val="auto"/>
                <w:sz w:val="24"/>
                <w:szCs w:val="21"/>
              </w:rPr>
              <w:object>
                <v:shape id="_x0000_i1026" o:spt="75" type="#_x0000_t75" style="height:54.95pt;width:258.8pt;" o:ole="t" filled="f" o:preferrelative="t" stroked="f" coordsize="21600,21600">
                  <v:path/>
                  <v:fill on="f" focussize="0,0"/>
                  <v:stroke on="f"/>
                  <v:imagedata r:id="rId11" o:title=""/>
                  <o:lock v:ext="edit" aspectratio="f"/>
                  <w10:wrap type="none"/>
                  <w10:anchorlock/>
                </v:shape>
                <o:OLEObject Type="Embed" ProgID="Visio.Drawing.15" ShapeID="_x0000_i1026" DrawAspect="Content" ObjectID="_1468075726" r:id="rId10">
                  <o:LockedField>false</o:LockedField>
                </o:OLEObject>
              </w:object>
            </w:r>
          </w:p>
          <w:p w14:paraId="6CD65119">
            <w:pPr>
              <w:numPr>
                <w:ilvl w:val="0"/>
                <w:numId w:val="0"/>
              </w:numPr>
              <w:adjustRightInd w:val="0"/>
              <w:snapToGrid w:val="0"/>
              <w:jc w:val="left"/>
              <w:rPr>
                <w:rFonts w:hint="default" w:eastAsia="黑体"/>
                <w:color w:val="auto"/>
                <w:sz w:val="24"/>
                <w:lang w:val="en-US" w:eastAsia="zh-CN"/>
              </w:rPr>
            </w:pPr>
            <w:r>
              <w:rPr>
                <w:rFonts w:hint="eastAsia" w:eastAsia="黑体"/>
                <w:color w:val="auto"/>
                <w:sz w:val="24"/>
                <w:lang w:val="en-US" w:eastAsia="zh-CN"/>
              </w:rPr>
              <w:t>注：G:废气；N：噪声；S：固废</w:t>
            </w:r>
          </w:p>
          <w:p w14:paraId="0E161119">
            <w:pPr>
              <w:adjustRightInd w:val="0"/>
              <w:snapToGrid w:val="0"/>
              <w:spacing w:line="460" w:lineRule="exact"/>
              <w:jc w:val="center"/>
              <w:rPr>
                <w:rFonts w:hint="eastAsia" w:ascii="黑体" w:hAnsi="黑体" w:eastAsia="黑体"/>
                <w:color w:val="auto"/>
                <w:sz w:val="24"/>
              </w:rPr>
            </w:pPr>
            <w:r>
              <w:rPr>
                <w:rFonts w:eastAsia="黑体"/>
                <w:color w:val="auto"/>
                <w:sz w:val="24"/>
              </w:rPr>
              <w:t>图</w:t>
            </w:r>
            <w:r>
              <w:rPr>
                <w:rFonts w:hint="eastAsia" w:eastAsia="黑体"/>
                <w:color w:val="auto"/>
                <w:sz w:val="24"/>
              </w:rPr>
              <w:t>2-4</w:t>
            </w:r>
            <w:r>
              <w:rPr>
                <w:rFonts w:eastAsia="黑体"/>
                <w:color w:val="auto"/>
                <w:sz w:val="24"/>
              </w:rPr>
              <w:t xml:space="preserve">  </w:t>
            </w:r>
            <w:r>
              <w:rPr>
                <w:rFonts w:hint="eastAsia" w:eastAsia="黑体"/>
                <w:color w:val="auto"/>
                <w:sz w:val="24"/>
                <w:szCs w:val="20"/>
              </w:rPr>
              <w:t>塑料瓶生产工艺流程及产污环节图</w:t>
            </w:r>
          </w:p>
          <w:p w14:paraId="65C9078D">
            <w:pPr>
              <w:pStyle w:val="8"/>
              <w:keepNext w:val="0"/>
              <w:keepLines w:val="0"/>
              <w:pageBreakBefore w:val="0"/>
              <w:widowControl/>
              <w:numPr>
                <w:ilvl w:val="0"/>
                <w:numId w:val="0"/>
              </w:numPr>
              <w:kinsoku/>
              <w:wordWrap/>
              <w:overflowPunct/>
              <w:topLinePunct w:val="0"/>
              <w:autoSpaceDE/>
              <w:autoSpaceDN/>
              <w:bidi w:val="0"/>
              <w:adjustRightInd w:val="0"/>
              <w:snapToGrid w:val="0"/>
              <w:spacing w:after="0"/>
              <w:ind w:firstLine="480" w:firstLineChars="200"/>
              <w:jc w:val="both"/>
              <w:textAlignment w:val="auto"/>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吹瓶：将外购瓶胚送至吹瓶机配套的瓶胚翻斗机中，经自动进胚、理胚机送入吹瓶机模具中，瓶胚在进胚过程中逐渐升温至90℃后，通过吹瓶机的吹气装置向瓶胚内部吹入压缩空气，使瓶胚在模具内膨胀，贴合模具的内壁，形成所需的中空制品形状。塑料瓶在模具内冷却定型，冷却方式为配套冷水机产生的循环冷却水间接冷却，经冷却后最终得到一定规格型号的塑料瓶。该工序会有少量有机废气产生，设备运行过程会产生噪声，同时还会有少量不合格塑料瓶产生。</w:t>
            </w:r>
          </w:p>
          <w:p w14:paraId="54E312C5">
            <w:pPr>
              <w:pStyle w:val="8"/>
              <w:keepNext w:val="0"/>
              <w:keepLines w:val="0"/>
              <w:pageBreakBefore w:val="0"/>
              <w:widowControl/>
              <w:numPr>
                <w:ilvl w:val="0"/>
                <w:numId w:val="0"/>
              </w:numPr>
              <w:kinsoku/>
              <w:wordWrap/>
              <w:overflowPunct/>
              <w:topLinePunct w:val="0"/>
              <w:autoSpaceDE/>
              <w:autoSpaceDN/>
              <w:bidi w:val="0"/>
              <w:adjustRightInd w:val="0"/>
              <w:snapToGrid w:val="0"/>
              <w:spacing w:after="0"/>
              <w:ind w:firstLine="480" w:firstLineChars="200"/>
              <w:jc w:val="both"/>
              <w:textAlignment w:val="auto"/>
              <w:rPr>
                <w:rFonts w:hint="default"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该变动不新增产品</w:t>
            </w:r>
            <w:r>
              <w:rPr>
                <w:rFonts w:hint="eastAsia" w:eastAsia="宋体" w:cs="Times New Roman"/>
                <w:color w:val="auto"/>
                <w:sz w:val="24"/>
                <w:szCs w:val="24"/>
                <w:lang w:val="en-US" w:eastAsia="zh-CN" w:bidi="ar-SA"/>
              </w:rPr>
              <w:t>种类</w:t>
            </w:r>
            <w:r>
              <w:rPr>
                <w:rFonts w:hint="eastAsia" w:ascii="Times New Roman" w:hAnsi="Times New Roman" w:eastAsia="宋体" w:cs="Times New Roman"/>
                <w:color w:val="auto"/>
                <w:sz w:val="24"/>
                <w:szCs w:val="24"/>
                <w:lang w:val="en-US" w:eastAsia="zh-CN" w:bidi="ar-SA"/>
              </w:rPr>
              <w:t>和生产工艺，不新增产污环节，不新增污染物种类及污染物排放量，对比《污染影响类建设项目重大变动清单（试行）》，该变动不属于重大变动。</w:t>
            </w:r>
          </w:p>
          <w:p w14:paraId="76E389DC">
            <w:pPr>
              <w:spacing w:after="0" w:line="520" w:lineRule="exact"/>
              <w:ind w:firstLine="480" w:firstLineChars="200"/>
              <w:jc w:val="both"/>
              <w:rPr>
                <w:rFonts w:eastAsia="宋体"/>
                <w:color w:val="auto"/>
                <w:sz w:val="24"/>
              </w:rPr>
            </w:pPr>
            <w:r>
              <w:rPr>
                <w:rFonts w:eastAsia="宋体"/>
                <w:color w:val="auto"/>
                <w:sz w:val="24"/>
              </w:rPr>
              <w:t>本项目营运期主要污染物、产污环节及防治措施详见</w:t>
            </w:r>
            <w:r>
              <w:rPr>
                <w:rFonts w:hint="eastAsia" w:eastAsia="宋体"/>
                <w:color w:val="auto"/>
                <w:sz w:val="24"/>
              </w:rPr>
              <w:t>下</w:t>
            </w:r>
            <w:r>
              <w:rPr>
                <w:rFonts w:eastAsia="宋体"/>
                <w:color w:val="auto"/>
                <w:sz w:val="24"/>
              </w:rPr>
              <w:t>表。</w:t>
            </w:r>
          </w:p>
          <w:p w14:paraId="46FAB556">
            <w:pPr>
              <w:spacing w:after="0" w:line="480" w:lineRule="exact"/>
              <w:ind w:firstLine="480" w:firstLineChars="200"/>
              <w:textAlignment w:val="baseline"/>
              <w:rPr>
                <w:rFonts w:eastAsia="黑体"/>
                <w:color w:val="auto"/>
                <w:sz w:val="24"/>
                <w:szCs w:val="21"/>
              </w:rPr>
            </w:pPr>
            <w:r>
              <w:rPr>
                <w:rFonts w:eastAsia="黑体"/>
                <w:color w:val="auto"/>
                <w:sz w:val="24"/>
                <w:szCs w:val="21"/>
              </w:rPr>
              <w:t>表</w:t>
            </w:r>
            <w:r>
              <w:rPr>
                <w:rFonts w:hint="eastAsia" w:eastAsia="黑体"/>
                <w:color w:val="auto"/>
                <w:sz w:val="24"/>
                <w:szCs w:val="21"/>
              </w:rPr>
              <w:t>7</w:t>
            </w:r>
            <w:r>
              <w:rPr>
                <w:rFonts w:eastAsia="黑体"/>
                <w:color w:val="auto"/>
                <w:sz w:val="24"/>
                <w:szCs w:val="21"/>
              </w:rPr>
              <w:t xml:space="preserve">                     产污环节一览表</w:t>
            </w:r>
          </w:p>
          <w:tbl>
            <w:tblPr>
              <w:tblStyle w:val="18"/>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1" w:type="dxa"/>
                <w:bottom w:w="0" w:type="dxa"/>
                <w:right w:w="11" w:type="dxa"/>
              </w:tblCellMar>
            </w:tblPr>
            <w:tblGrid>
              <w:gridCol w:w="1226"/>
              <w:gridCol w:w="1330"/>
              <w:gridCol w:w="1339"/>
              <w:gridCol w:w="2388"/>
              <w:gridCol w:w="1123"/>
              <w:gridCol w:w="1401"/>
            </w:tblGrid>
            <w:tr w14:paraId="75505E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696" w:type="pct"/>
                  <w:noWrap w:val="0"/>
                  <w:vAlign w:val="center"/>
                </w:tcPr>
                <w:p w14:paraId="39642EF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lang w:val="pt-BR"/>
                    </w:rPr>
                  </w:pPr>
                  <w:r>
                    <w:rPr>
                      <w:rFonts w:hint="default" w:ascii="Times New Roman" w:hAnsi="Times New Roman" w:eastAsia="宋体" w:cs="Times New Roman"/>
                      <w:b/>
                      <w:color w:val="auto"/>
                      <w:sz w:val="21"/>
                      <w:szCs w:val="21"/>
                    </w:rPr>
                    <w:t>污染因素</w:t>
                  </w:r>
                </w:p>
              </w:tc>
              <w:tc>
                <w:tcPr>
                  <w:tcW w:w="1515" w:type="pct"/>
                  <w:gridSpan w:val="2"/>
                  <w:noWrap w:val="0"/>
                  <w:vAlign w:val="center"/>
                </w:tcPr>
                <w:p w14:paraId="7D2E7A5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lang w:val="pt-BR"/>
                    </w:rPr>
                  </w:pPr>
                  <w:r>
                    <w:rPr>
                      <w:rFonts w:hint="default" w:ascii="Times New Roman" w:hAnsi="Times New Roman" w:eastAsia="宋体" w:cs="Times New Roman"/>
                      <w:b/>
                      <w:color w:val="auto"/>
                      <w:sz w:val="21"/>
                      <w:szCs w:val="21"/>
                    </w:rPr>
                    <w:t>产污环节</w:t>
                  </w:r>
                </w:p>
              </w:tc>
              <w:tc>
                <w:tcPr>
                  <w:tcW w:w="1355" w:type="pct"/>
                  <w:noWrap w:val="0"/>
                  <w:vAlign w:val="center"/>
                </w:tcPr>
                <w:p w14:paraId="5E34247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lang w:val="pt-BR"/>
                    </w:rPr>
                  </w:pPr>
                  <w:r>
                    <w:rPr>
                      <w:rFonts w:hint="default" w:ascii="Times New Roman" w:hAnsi="Times New Roman" w:eastAsia="宋体" w:cs="Times New Roman"/>
                      <w:b/>
                      <w:color w:val="auto"/>
                      <w:sz w:val="21"/>
                      <w:szCs w:val="21"/>
                    </w:rPr>
                    <w:t>污染物</w:t>
                  </w:r>
                </w:p>
              </w:tc>
              <w:tc>
                <w:tcPr>
                  <w:tcW w:w="1432" w:type="pct"/>
                  <w:gridSpan w:val="2"/>
                  <w:noWrap w:val="0"/>
                  <w:vAlign w:val="center"/>
                </w:tcPr>
                <w:p w14:paraId="79FBF1D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防治措施</w:t>
                  </w:r>
                </w:p>
              </w:tc>
            </w:tr>
            <w:tr w14:paraId="41382E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539" w:hRule="atLeast"/>
                <w:jc w:val="center"/>
              </w:trPr>
              <w:tc>
                <w:tcPr>
                  <w:tcW w:w="696" w:type="pct"/>
                  <w:vMerge w:val="restart"/>
                  <w:noWrap w:val="0"/>
                  <w:vAlign w:val="center"/>
                </w:tcPr>
                <w:p w14:paraId="309F960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废水</w:t>
                  </w:r>
                </w:p>
              </w:tc>
              <w:tc>
                <w:tcPr>
                  <w:tcW w:w="1515" w:type="pct"/>
                  <w:gridSpan w:val="2"/>
                  <w:noWrap w:val="0"/>
                  <w:vAlign w:val="center"/>
                </w:tcPr>
                <w:p w14:paraId="00E3711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bCs/>
                      <w:color w:val="auto"/>
                      <w:sz w:val="21"/>
                      <w:szCs w:val="21"/>
                      <w:lang w:val="en-US" w:eastAsia="zh-CN"/>
                    </w:rPr>
                    <w:t>生活污水</w:t>
                  </w:r>
                </w:p>
              </w:tc>
              <w:tc>
                <w:tcPr>
                  <w:tcW w:w="1355" w:type="pct"/>
                  <w:noWrap w:val="0"/>
                  <w:vAlign w:val="center"/>
                </w:tcPr>
                <w:p w14:paraId="4A6F174B">
                  <w:pPr>
                    <w:pStyle w:val="64"/>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-N、TN、TP</w:t>
                  </w:r>
                </w:p>
              </w:tc>
              <w:tc>
                <w:tcPr>
                  <w:tcW w:w="637" w:type="pct"/>
                  <w:noWrap w:val="0"/>
                  <w:vAlign w:val="center"/>
                </w:tcPr>
                <w:p w14:paraId="39B96718">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化粪池</w:t>
                  </w:r>
                </w:p>
              </w:tc>
              <w:tc>
                <w:tcPr>
                  <w:tcW w:w="795" w:type="pct"/>
                  <w:vMerge w:val="restart"/>
                  <w:noWrap w:val="0"/>
                  <w:vAlign w:val="center"/>
                </w:tcPr>
                <w:p w14:paraId="3A9698D8">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kern w:val="0"/>
                      <w:sz w:val="21"/>
                      <w:szCs w:val="21"/>
                      <w:lang w:bidi="ar"/>
                    </w:rPr>
                    <w:t>延津县第一污水处理厂</w:t>
                  </w:r>
                </w:p>
              </w:tc>
            </w:tr>
            <w:tr w14:paraId="3D09BC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539" w:hRule="atLeast"/>
                <w:jc w:val="center"/>
              </w:trPr>
              <w:tc>
                <w:tcPr>
                  <w:tcW w:w="696" w:type="pct"/>
                  <w:vMerge w:val="continue"/>
                  <w:noWrap w:val="0"/>
                  <w:vAlign w:val="center"/>
                </w:tcPr>
                <w:p w14:paraId="6571FA0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515" w:type="pct"/>
                  <w:gridSpan w:val="2"/>
                  <w:noWrap w:val="0"/>
                  <w:vAlign w:val="center"/>
                </w:tcPr>
                <w:p w14:paraId="7F82D25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循环冷却</w:t>
                  </w:r>
                  <w:r>
                    <w:rPr>
                      <w:rFonts w:hint="default" w:ascii="Times New Roman" w:hAnsi="Times New Roman" w:eastAsia="宋体" w:cs="Times New Roman"/>
                      <w:color w:val="auto"/>
                      <w:sz w:val="21"/>
                      <w:szCs w:val="21"/>
                      <w:lang w:val="en-US" w:eastAsia="zh-CN" w:bidi="ar"/>
                    </w:rPr>
                    <w:t>水</w:t>
                  </w:r>
                  <w:r>
                    <w:rPr>
                      <w:rFonts w:hint="default" w:ascii="Times New Roman" w:hAnsi="Times New Roman" w:eastAsia="宋体" w:cs="Times New Roman"/>
                      <w:color w:val="auto"/>
                      <w:sz w:val="21"/>
                      <w:szCs w:val="21"/>
                      <w:highlight w:val="none"/>
                      <w:lang w:val="en-US" w:eastAsia="zh-CN"/>
                    </w:rPr>
                    <w:t>排水</w:t>
                  </w:r>
                </w:p>
              </w:tc>
              <w:tc>
                <w:tcPr>
                  <w:tcW w:w="1355" w:type="pct"/>
                  <w:noWrap w:val="0"/>
                  <w:vAlign w:val="center"/>
                </w:tcPr>
                <w:p w14:paraId="6B459695">
                  <w:pPr>
                    <w:pStyle w:val="64"/>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highlight w:val="none"/>
                      <w:lang w:val="en-US" w:eastAsia="zh-CN"/>
                    </w:rPr>
                    <w:t>COD、BOD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、SS</w:t>
                  </w:r>
                </w:p>
              </w:tc>
              <w:tc>
                <w:tcPr>
                  <w:tcW w:w="637" w:type="pct"/>
                  <w:noWrap w:val="0"/>
                  <w:vAlign w:val="center"/>
                </w:tcPr>
                <w:p w14:paraId="453977D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795" w:type="pct"/>
                  <w:vMerge w:val="continue"/>
                  <w:noWrap w:val="0"/>
                  <w:vAlign w:val="center"/>
                </w:tcPr>
                <w:p w14:paraId="504D592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r>
            <w:tr w14:paraId="416B76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48" w:hRule="atLeast"/>
                <w:jc w:val="center"/>
              </w:trPr>
              <w:tc>
                <w:tcPr>
                  <w:tcW w:w="696" w:type="pct"/>
                  <w:vMerge w:val="restart"/>
                  <w:noWrap w:val="0"/>
                  <w:vAlign w:val="center"/>
                </w:tcPr>
                <w:p w14:paraId="62895F4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pt-BR"/>
                    </w:rPr>
                    <w:t>废气</w:t>
                  </w:r>
                </w:p>
              </w:tc>
              <w:tc>
                <w:tcPr>
                  <w:tcW w:w="1515" w:type="pct"/>
                  <w:gridSpan w:val="2"/>
                  <w:noWrap w:val="0"/>
                  <w:vAlign w:val="center"/>
                </w:tcPr>
                <w:p w14:paraId="4C76814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吹瓶废气</w:t>
                  </w:r>
                </w:p>
              </w:tc>
              <w:tc>
                <w:tcPr>
                  <w:tcW w:w="1355" w:type="pct"/>
                  <w:noWrap w:val="0"/>
                  <w:vAlign w:val="center"/>
                </w:tcPr>
                <w:p w14:paraId="20E6136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非甲烷总烃</w:t>
                  </w:r>
                </w:p>
              </w:tc>
              <w:tc>
                <w:tcPr>
                  <w:tcW w:w="637" w:type="pct"/>
                  <w:noWrap w:val="0"/>
                  <w:vAlign w:val="center"/>
                </w:tcPr>
                <w:p w14:paraId="74753D6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吹瓶工序密闭，</w:t>
                  </w:r>
                  <w:r>
                    <w:rPr>
                      <w:rFonts w:hint="default" w:ascii="Times New Roman" w:hAnsi="Times New Roman" w:eastAsia="宋体" w:cs="Times New Roman"/>
                      <w:color w:val="auto"/>
                      <w:sz w:val="21"/>
                      <w:szCs w:val="21"/>
                    </w:rPr>
                    <w:t>负压管道收集</w:t>
                  </w:r>
                </w:p>
              </w:tc>
              <w:tc>
                <w:tcPr>
                  <w:tcW w:w="795" w:type="pct"/>
                  <w:vMerge w:val="restart"/>
                  <w:noWrap w:val="0"/>
                  <w:vAlign w:val="center"/>
                </w:tcPr>
                <w:p w14:paraId="5D53347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活性炭吸附/脱附-催化燃烧装置</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15m高排气筒</w:t>
                  </w:r>
                  <w:r>
                    <w:rPr>
                      <w:rFonts w:hint="default" w:ascii="Times New Roman" w:hAnsi="Times New Roman" w:eastAsia="宋体" w:cs="Times New Roman"/>
                      <w:color w:val="auto"/>
                      <w:sz w:val="21"/>
                      <w:szCs w:val="21"/>
                      <w:lang w:val="en-US" w:eastAsia="zh-CN"/>
                    </w:rPr>
                    <w:t>（P1）</w:t>
                  </w:r>
                </w:p>
              </w:tc>
            </w:tr>
            <w:tr w14:paraId="35EDE6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48" w:hRule="atLeast"/>
                <w:jc w:val="center"/>
              </w:trPr>
              <w:tc>
                <w:tcPr>
                  <w:tcW w:w="696" w:type="pct"/>
                  <w:vMerge w:val="continue"/>
                  <w:noWrap w:val="0"/>
                  <w:vAlign w:val="center"/>
                </w:tcPr>
                <w:p w14:paraId="147EAA6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1515" w:type="pct"/>
                  <w:gridSpan w:val="2"/>
                  <w:shd w:val="clear" w:color="auto" w:fill="auto"/>
                  <w:noWrap w:val="0"/>
                  <w:vAlign w:val="center"/>
                </w:tcPr>
                <w:p w14:paraId="372A6AC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bidi="ar-SA"/>
                    </w:rPr>
                  </w:pPr>
                  <w:r>
                    <w:rPr>
                      <w:rFonts w:hint="eastAsia" w:eastAsia="宋体" w:cs="Times New Roman"/>
                      <w:color w:val="auto"/>
                      <w:sz w:val="21"/>
                      <w:szCs w:val="21"/>
                      <w:lang w:val="en-US" w:eastAsia="zh-CN"/>
                    </w:rPr>
                    <w:t>危废贮存库废气</w:t>
                  </w:r>
                </w:p>
              </w:tc>
              <w:tc>
                <w:tcPr>
                  <w:tcW w:w="1355" w:type="pct"/>
                  <w:shd w:val="clear" w:color="auto" w:fill="auto"/>
                  <w:noWrap w:val="0"/>
                  <w:vAlign w:val="center"/>
                </w:tcPr>
                <w:p w14:paraId="1EB517D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微软雅黑" w:cs="Times New Roman"/>
                      <w:color w:val="auto"/>
                      <w:sz w:val="22"/>
                      <w:szCs w:val="22"/>
                      <w:lang w:val="en-US" w:eastAsia="zh-CN" w:bidi="ar-SA"/>
                    </w:rPr>
                  </w:pPr>
                  <w:r>
                    <w:rPr>
                      <w:rFonts w:hint="default" w:ascii="Times New Roman" w:hAnsi="Times New Roman" w:eastAsia="宋体" w:cs="Times New Roman"/>
                      <w:color w:val="auto"/>
                      <w:sz w:val="21"/>
                      <w:szCs w:val="21"/>
                    </w:rPr>
                    <w:t>非甲烷总烃</w:t>
                  </w:r>
                </w:p>
              </w:tc>
              <w:tc>
                <w:tcPr>
                  <w:tcW w:w="637" w:type="pct"/>
                  <w:noWrap w:val="0"/>
                  <w:vAlign w:val="center"/>
                </w:tcPr>
                <w:p w14:paraId="411DC6C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lang w:val="en-US" w:eastAsia="zh-CN"/>
                    </w:rPr>
                  </w:pPr>
                  <w:r>
                    <w:rPr>
                      <w:rFonts w:hint="eastAsia" w:ascii="宋体" w:hAnsi="宋体" w:eastAsia="宋体" w:cs="宋体"/>
                      <w:color w:val="auto"/>
                      <w:sz w:val="21"/>
                      <w:szCs w:val="21"/>
                      <w:lang w:val="en-US" w:eastAsia="zh-CN"/>
                    </w:rPr>
                    <w:t>集气管道收集</w:t>
                  </w:r>
                </w:p>
              </w:tc>
              <w:tc>
                <w:tcPr>
                  <w:tcW w:w="795" w:type="pct"/>
                  <w:vMerge w:val="continue"/>
                  <w:noWrap w:val="0"/>
                  <w:vAlign w:val="center"/>
                </w:tcPr>
                <w:p w14:paraId="6117609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r>
            <w:tr w14:paraId="7E6687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696" w:type="pct"/>
                  <w:noWrap w:val="0"/>
                  <w:vAlign w:val="center"/>
                </w:tcPr>
                <w:p w14:paraId="112283F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噪声</w:t>
                  </w:r>
                </w:p>
              </w:tc>
              <w:tc>
                <w:tcPr>
                  <w:tcW w:w="1515" w:type="pct"/>
                  <w:gridSpan w:val="2"/>
                  <w:noWrap w:val="0"/>
                  <w:vAlign w:val="center"/>
                </w:tcPr>
                <w:p w14:paraId="6B2404B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rPr>
                    <w:t>吹瓶机、环保风机、</w:t>
                  </w:r>
                  <w:r>
                    <w:rPr>
                      <w:rFonts w:hint="default" w:ascii="Times New Roman" w:hAnsi="Times New Roman" w:eastAsia="宋体" w:cs="Times New Roman"/>
                      <w:color w:val="auto"/>
                      <w:sz w:val="21"/>
                      <w:szCs w:val="21"/>
                      <w:lang w:val="en-US" w:eastAsia="zh-CN"/>
                    </w:rPr>
                    <w:t>冷水机</w:t>
                  </w:r>
                  <w:r>
                    <w:rPr>
                      <w:rFonts w:hint="default" w:ascii="Times New Roman" w:hAnsi="Times New Roman" w:eastAsia="宋体" w:cs="Times New Roman"/>
                      <w:color w:val="auto"/>
                      <w:sz w:val="21"/>
                      <w:szCs w:val="21"/>
                    </w:rPr>
                    <w:t>等</w:t>
                  </w:r>
                </w:p>
              </w:tc>
              <w:tc>
                <w:tcPr>
                  <w:tcW w:w="1355" w:type="pct"/>
                  <w:noWrap w:val="0"/>
                  <w:vAlign w:val="center"/>
                </w:tcPr>
                <w:p w14:paraId="512581B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rPr>
                    <w:t>噪声</w:t>
                  </w:r>
                </w:p>
              </w:tc>
              <w:tc>
                <w:tcPr>
                  <w:tcW w:w="1432" w:type="pct"/>
                  <w:gridSpan w:val="2"/>
                  <w:noWrap w:val="0"/>
                  <w:vAlign w:val="center"/>
                </w:tcPr>
                <w:p w14:paraId="651B7FF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基础减振、厂房隔声</w:t>
                  </w:r>
                </w:p>
              </w:tc>
            </w:tr>
            <w:tr w14:paraId="29721E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696" w:type="pct"/>
                  <w:vMerge w:val="restart"/>
                  <w:noWrap w:val="0"/>
                  <w:vAlign w:val="center"/>
                </w:tcPr>
                <w:p w14:paraId="35109B4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rPr>
                    <w:t>固废</w:t>
                  </w:r>
                </w:p>
              </w:tc>
              <w:tc>
                <w:tcPr>
                  <w:tcW w:w="755" w:type="pct"/>
                  <w:vMerge w:val="restart"/>
                  <w:noWrap w:val="0"/>
                  <w:vAlign w:val="center"/>
                </w:tcPr>
                <w:p w14:paraId="027E63C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rPr>
                    <w:t>一般固废</w:t>
                  </w:r>
                </w:p>
              </w:tc>
              <w:tc>
                <w:tcPr>
                  <w:tcW w:w="760" w:type="pct"/>
                  <w:noWrap w:val="0"/>
                  <w:vAlign w:val="center"/>
                </w:tcPr>
                <w:p w14:paraId="147BD8A0">
                  <w:pPr>
                    <w:pStyle w:val="64"/>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rPr>
                    <w:t>吹瓶工序</w:t>
                  </w:r>
                </w:p>
              </w:tc>
              <w:tc>
                <w:tcPr>
                  <w:tcW w:w="1355" w:type="pct"/>
                  <w:noWrap w:val="0"/>
                  <w:vAlign w:val="center"/>
                </w:tcPr>
                <w:p w14:paraId="26259AD1">
                  <w:pPr>
                    <w:pStyle w:val="64"/>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不合格塑料瓶</w:t>
                  </w:r>
                </w:p>
              </w:tc>
              <w:tc>
                <w:tcPr>
                  <w:tcW w:w="1432" w:type="pct"/>
                  <w:gridSpan w:val="2"/>
                  <w:vMerge w:val="restart"/>
                  <w:noWrap w:val="0"/>
                  <w:vAlign w:val="center"/>
                </w:tcPr>
                <w:p w14:paraId="7ECA2C5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收集于一般固废暂存间暂存后，定期外售</w:t>
                  </w:r>
                </w:p>
              </w:tc>
            </w:tr>
            <w:tr w14:paraId="3CAF46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696" w:type="pct"/>
                  <w:vMerge w:val="continue"/>
                  <w:noWrap w:val="0"/>
                  <w:vAlign w:val="center"/>
                </w:tcPr>
                <w:p w14:paraId="2EB58BB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755" w:type="pct"/>
                  <w:vMerge w:val="continue"/>
                  <w:noWrap w:val="0"/>
                  <w:vAlign w:val="center"/>
                </w:tcPr>
                <w:p w14:paraId="3BCDB51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760" w:type="pct"/>
                  <w:noWrap w:val="0"/>
                  <w:vAlign w:val="center"/>
                </w:tcPr>
                <w:p w14:paraId="017FC540">
                  <w:pPr>
                    <w:pStyle w:val="64"/>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rPr>
                    <w:t>原料包装</w:t>
                  </w:r>
                </w:p>
              </w:tc>
              <w:tc>
                <w:tcPr>
                  <w:tcW w:w="1355" w:type="pct"/>
                  <w:noWrap w:val="0"/>
                  <w:vAlign w:val="center"/>
                </w:tcPr>
                <w:p w14:paraId="0C10E305">
                  <w:pPr>
                    <w:pStyle w:val="64"/>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eastAsia="zh-CN"/>
                    </w:rPr>
                    <w:t>废纸箱</w:t>
                  </w:r>
                </w:p>
              </w:tc>
              <w:tc>
                <w:tcPr>
                  <w:tcW w:w="1432" w:type="pct"/>
                  <w:gridSpan w:val="2"/>
                  <w:vMerge w:val="continue"/>
                  <w:noWrap w:val="0"/>
                  <w:vAlign w:val="center"/>
                </w:tcPr>
                <w:p w14:paraId="3EA6FF3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r>
            <w:tr w14:paraId="3FB37B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696" w:type="pct"/>
                  <w:vMerge w:val="continue"/>
                  <w:noWrap w:val="0"/>
                  <w:vAlign w:val="center"/>
                </w:tcPr>
                <w:p w14:paraId="662BFB0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755" w:type="pct"/>
                  <w:vMerge w:val="restart"/>
                  <w:noWrap w:val="0"/>
                  <w:vAlign w:val="center"/>
                </w:tcPr>
                <w:p w14:paraId="67F4D049">
                  <w:pPr>
                    <w:pStyle w:val="64"/>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rPr>
                    <w:t>危险废物</w:t>
                  </w:r>
                </w:p>
              </w:tc>
              <w:tc>
                <w:tcPr>
                  <w:tcW w:w="760" w:type="pct"/>
                  <w:vMerge w:val="restart"/>
                  <w:noWrap w:val="0"/>
                  <w:vAlign w:val="center"/>
                </w:tcPr>
                <w:p w14:paraId="2C67AFFF">
                  <w:pPr>
                    <w:pStyle w:val="64"/>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rPr>
                    <w:t>废气治理</w:t>
                  </w:r>
                </w:p>
              </w:tc>
              <w:tc>
                <w:tcPr>
                  <w:tcW w:w="1355" w:type="pct"/>
                  <w:noWrap w:val="0"/>
                  <w:vAlign w:val="center"/>
                </w:tcPr>
                <w:p w14:paraId="0090ACD4">
                  <w:pPr>
                    <w:pStyle w:val="64"/>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rPr>
                    <w:t>废催化剂</w:t>
                  </w:r>
                </w:p>
              </w:tc>
              <w:tc>
                <w:tcPr>
                  <w:tcW w:w="1432" w:type="pct"/>
                  <w:gridSpan w:val="2"/>
                  <w:vMerge w:val="restart"/>
                  <w:noWrap w:val="0"/>
                  <w:vAlign w:val="center"/>
                </w:tcPr>
                <w:p w14:paraId="7A65DCE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危废</w:t>
                  </w:r>
                  <w:r>
                    <w:rPr>
                      <w:rFonts w:hint="default" w:ascii="Times New Roman" w:hAnsi="Times New Roman" w:eastAsia="宋体" w:cs="Times New Roman"/>
                      <w:color w:val="auto"/>
                      <w:sz w:val="21"/>
                      <w:szCs w:val="21"/>
                      <w:lang w:val="en-US" w:eastAsia="zh-CN"/>
                    </w:rPr>
                    <w:t>贮存库</w:t>
                  </w:r>
                  <w:r>
                    <w:rPr>
                      <w:rFonts w:hint="default" w:ascii="Times New Roman" w:hAnsi="Times New Roman" w:eastAsia="宋体" w:cs="Times New Roman"/>
                      <w:color w:val="auto"/>
                      <w:sz w:val="21"/>
                      <w:szCs w:val="21"/>
                    </w:rPr>
                    <w:t>内暂存，定期委托有相应类别危废资质单位安全处置</w:t>
                  </w:r>
                </w:p>
              </w:tc>
            </w:tr>
            <w:tr w14:paraId="37B978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696" w:type="pct"/>
                  <w:vMerge w:val="continue"/>
                  <w:noWrap w:val="0"/>
                  <w:vAlign w:val="center"/>
                </w:tcPr>
                <w:p w14:paraId="3E1B707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755" w:type="pct"/>
                  <w:vMerge w:val="continue"/>
                  <w:noWrap w:val="0"/>
                  <w:vAlign w:val="center"/>
                </w:tcPr>
                <w:p w14:paraId="7BF1043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760" w:type="pct"/>
                  <w:vMerge w:val="continue"/>
                  <w:noWrap w:val="0"/>
                  <w:vAlign w:val="center"/>
                </w:tcPr>
                <w:p w14:paraId="00D4BEA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1355" w:type="pct"/>
                  <w:noWrap w:val="0"/>
                  <w:vAlign w:val="center"/>
                </w:tcPr>
                <w:p w14:paraId="370B832D">
                  <w:pPr>
                    <w:pStyle w:val="64"/>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rPr>
                    <w:t>废活性炭</w:t>
                  </w:r>
                </w:p>
              </w:tc>
              <w:tc>
                <w:tcPr>
                  <w:tcW w:w="1432" w:type="pct"/>
                  <w:gridSpan w:val="2"/>
                  <w:vMerge w:val="continue"/>
                  <w:noWrap w:val="0"/>
                  <w:vAlign w:val="center"/>
                </w:tcPr>
                <w:p w14:paraId="585781D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r>
          </w:tbl>
          <w:p w14:paraId="3E7F7B3A">
            <w:pPr>
              <w:widowControl w:val="0"/>
              <w:adjustRightInd/>
              <w:snapToGrid/>
              <w:spacing w:after="0" w:line="440" w:lineRule="exact"/>
              <w:ind w:firstLine="480" w:firstLineChars="200"/>
              <w:jc w:val="both"/>
              <w:rPr>
                <w:rFonts w:eastAsia="宋体"/>
                <w:bCs/>
                <w:color w:val="auto"/>
                <w:sz w:val="24"/>
                <w:szCs w:val="24"/>
                <w:highlight w:val="yellow"/>
              </w:rPr>
            </w:pPr>
          </w:p>
        </w:tc>
      </w:tr>
    </w:tbl>
    <w:p w14:paraId="2F99BFA2">
      <w:pPr>
        <w:spacing w:line="360" w:lineRule="auto"/>
        <w:rPr>
          <w:rFonts w:eastAsia="仿宋_GB2312"/>
          <w:color w:val="auto"/>
          <w:sz w:val="21"/>
          <w:szCs w:val="21"/>
          <w:highlight w:val="yellow"/>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385981AB">
      <w:pPr>
        <w:spacing w:after="0" w:line="240" w:lineRule="exact"/>
        <w:rPr>
          <w:rFonts w:eastAsia="仿宋_GB2312"/>
          <w:b/>
          <w:color w:val="auto"/>
          <w:sz w:val="21"/>
          <w:szCs w:val="21"/>
        </w:rPr>
      </w:pPr>
      <w:r>
        <w:rPr>
          <w:rFonts w:eastAsia="仿宋_GB2312"/>
          <w:b/>
          <w:color w:val="auto"/>
          <w:sz w:val="21"/>
          <w:szCs w:val="21"/>
        </w:rPr>
        <w:t>表三</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522"/>
      </w:tblGrid>
      <w:tr w14:paraId="092811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588" w:hRule="atLeast"/>
          <w:jc w:val="center"/>
        </w:trPr>
        <w:tc>
          <w:tcPr>
            <w:tcW w:w="8924" w:type="dxa"/>
          </w:tcPr>
          <w:p w14:paraId="5CD05277">
            <w:pPr>
              <w:spacing w:after="0" w:line="460" w:lineRule="exact"/>
              <w:ind w:firstLine="480" w:firstLineChars="200"/>
              <w:rPr>
                <w:rFonts w:eastAsia="宋体"/>
                <w:color w:val="auto"/>
                <w:kern w:val="2"/>
                <w:sz w:val="24"/>
                <w:szCs w:val="20"/>
              </w:rPr>
            </w:pPr>
            <w:r>
              <w:rPr>
                <w:rFonts w:eastAsia="宋体"/>
                <w:color w:val="auto"/>
                <w:kern w:val="2"/>
                <w:sz w:val="24"/>
                <w:szCs w:val="20"/>
              </w:rPr>
              <w:t>主要污染源、污染物处理和排放：</w:t>
            </w:r>
          </w:p>
          <w:p w14:paraId="2A0C87F4">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hint="eastAsia" w:eastAsia="宋体"/>
                <w:color w:val="auto"/>
                <w:sz w:val="24"/>
                <w:szCs w:val="24"/>
                <w:lang w:val="pt-BR" w:eastAsia="zh-CN"/>
              </w:rPr>
            </w:pPr>
            <w:r>
              <w:rPr>
                <w:rFonts w:eastAsia="宋体"/>
                <w:color w:val="auto"/>
                <w:sz w:val="24"/>
                <w:szCs w:val="24"/>
                <w:lang w:val="pt-BR"/>
              </w:rPr>
              <w:t>本项目</w:t>
            </w:r>
            <w:r>
              <w:rPr>
                <w:rFonts w:hint="eastAsia" w:eastAsia="宋体"/>
                <w:color w:val="auto"/>
                <w:sz w:val="24"/>
                <w:szCs w:val="24"/>
                <w:lang w:val="pt-BR"/>
              </w:rPr>
              <w:t>进行分期建设，本次</w:t>
            </w:r>
            <w:r>
              <w:rPr>
                <w:rFonts w:hint="eastAsia" w:eastAsia="宋体"/>
                <w:color w:val="auto"/>
                <w:sz w:val="24"/>
                <w:szCs w:val="24"/>
                <w:lang w:val="en-US" w:eastAsia="zh-CN"/>
              </w:rPr>
              <w:t>一期仅对</w:t>
            </w:r>
            <w:r>
              <w:rPr>
                <w:rFonts w:hint="eastAsia" w:eastAsia="宋体"/>
                <w:color w:val="auto"/>
                <w:sz w:val="24"/>
                <w:szCs w:val="24"/>
                <w:lang w:val="pt-BR"/>
              </w:rPr>
              <w:t>仅对</w:t>
            </w:r>
            <w:r>
              <w:rPr>
                <w:rFonts w:hint="default" w:ascii="Times New Roman" w:hAnsi="Times New Roman" w:eastAsia="宋体" w:cs="Times New Roman"/>
                <w:color w:val="auto"/>
                <w:sz w:val="24"/>
                <w:szCs w:val="24"/>
              </w:rPr>
              <w:t>年产</w:t>
            </w:r>
            <w:r>
              <w:rPr>
                <w:rFonts w:hint="default" w:ascii="Times New Roman" w:hAnsi="Times New Roman" w:eastAsia="宋体" w:cs="Times New Roman"/>
                <w:color w:val="auto"/>
                <w:sz w:val="24"/>
                <w:szCs w:val="24"/>
                <w:lang w:val="en-US" w:eastAsia="zh-CN"/>
              </w:rPr>
              <w:t>6000</w:t>
            </w:r>
            <w:r>
              <w:rPr>
                <w:rFonts w:hint="default" w:ascii="Times New Roman" w:hAnsi="Times New Roman" w:eastAsia="宋体" w:cs="Times New Roman"/>
                <w:color w:val="auto"/>
                <w:sz w:val="24"/>
                <w:szCs w:val="24"/>
              </w:rPr>
              <w:t>万只塑料</w:t>
            </w:r>
            <w:r>
              <w:rPr>
                <w:rFonts w:hint="default" w:ascii="Times New Roman" w:hAnsi="Times New Roman" w:eastAsia="宋体" w:cs="Times New Roman"/>
                <w:color w:val="auto"/>
                <w:sz w:val="24"/>
                <w:szCs w:val="24"/>
                <w:lang w:val="en-US" w:eastAsia="zh-CN"/>
              </w:rPr>
              <w:t>瓶</w:t>
            </w:r>
            <w:r>
              <w:rPr>
                <w:rFonts w:hint="eastAsia" w:ascii="Times New Roman" w:hAnsi="Times New Roman" w:eastAsia="宋体" w:cs="Times New Roman"/>
                <w:color w:val="auto"/>
                <w:sz w:val="24"/>
                <w:szCs w:val="24"/>
                <w:lang w:val="en-US" w:eastAsia="zh-CN"/>
              </w:rPr>
              <w:t>吹塑生产线</w:t>
            </w:r>
            <w:r>
              <w:rPr>
                <w:rFonts w:hint="eastAsia" w:eastAsia="宋体"/>
                <w:color w:val="auto"/>
                <w:sz w:val="24"/>
                <w:szCs w:val="24"/>
                <w:lang w:val="pt-BR"/>
              </w:rPr>
              <w:t>进行验收</w:t>
            </w:r>
            <w:r>
              <w:rPr>
                <w:rFonts w:hint="eastAsia" w:eastAsia="宋体"/>
                <w:color w:val="auto"/>
                <w:sz w:val="24"/>
                <w:szCs w:val="24"/>
                <w:lang w:val="pt-BR" w:eastAsia="zh-CN"/>
              </w:rPr>
              <w:t>。</w:t>
            </w:r>
          </w:p>
          <w:p w14:paraId="3EF874CD">
            <w:pPr>
              <w:keepNext w:val="0"/>
              <w:keepLines w:val="0"/>
              <w:pageBreakBefore w:val="0"/>
              <w:widowControl/>
              <w:kinsoku/>
              <w:wordWrap/>
              <w:overflowPunct/>
              <w:topLinePunct w:val="0"/>
              <w:autoSpaceDE/>
              <w:autoSpaceDN/>
              <w:bidi w:val="0"/>
              <w:adjustRightInd w:val="0"/>
              <w:snapToGrid w:val="0"/>
              <w:spacing w:after="0" w:line="460" w:lineRule="exact"/>
              <w:ind w:firstLine="482" w:firstLineChars="200"/>
              <w:textAlignment w:val="auto"/>
              <w:rPr>
                <w:rFonts w:eastAsia="宋体"/>
                <w:b/>
                <w:bCs/>
                <w:color w:val="auto"/>
                <w:kern w:val="2"/>
                <w:sz w:val="24"/>
                <w:szCs w:val="20"/>
              </w:rPr>
            </w:pPr>
            <w:r>
              <w:rPr>
                <w:rFonts w:eastAsia="宋体"/>
                <w:b/>
                <w:bCs/>
                <w:color w:val="auto"/>
                <w:kern w:val="2"/>
                <w:sz w:val="24"/>
                <w:szCs w:val="20"/>
              </w:rPr>
              <w:t>1、废水</w:t>
            </w:r>
          </w:p>
          <w:p w14:paraId="6E43F949">
            <w:pPr>
              <w:spacing w:after="0" w:line="460" w:lineRule="exact"/>
              <w:ind w:firstLine="480" w:firstLineChars="200"/>
              <w:jc w:val="both"/>
              <w:rPr>
                <w:rFonts w:hint="eastAsia" w:ascii="Times New Roman" w:hAnsi="Times New Roman" w:eastAsia="宋体" w:cs="Times New Roman"/>
                <w:color w:val="auto"/>
                <w:kern w:val="2"/>
                <w:sz w:val="24"/>
                <w:szCs w:val="20"/>
                <w:lang w:val="en-US" w:eastAsia="zh-CN"/>
              </w:rPr>
            </w:pPr>
            <w:r>
              <w:rPr>
                <w:rFonts w:hint="eastAsia" w:ascii="Times New Roman" w:hAnsi="Times New Roman" w:eastAsia="宋体" w:cs="Times New Roman"/>
                <w:color w:val="auto"/>
                <w:kern w:val="2"/>
                <w:sz w:val="24"/>
                <w:szCs w:val="20"/>
                <w:lang w:val="en-US" w:eastAsia="zh-CN"/>
              </w:rPr>
              <w:t>本项目废水主要为生活污水和循环冷却水，生活污水经化粪池处理后与循环冷却水排水一同通过厂区总排口排入延津县第一污水处理厂进一步处理。</w:t>
            </w:r>
          </w:p>
          <w:p w14:paraId="5E872A4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kern w:val="0"/>
                <w:szCs w:val="21"/>
                <w:highlight w:val="none"/>
                <w:lang w:eastAsia="zh-CN" w:bidi="ar"/>
              </w:rPr>
            </w:pPr>
            <w:r>
              <w:rPr>
                <w:rFonts w:hint="eastAsia" w:ascii="Times New Roman" w:hAnsi="Times New Roman" w:eastAsia="宋体" w:cs="Times New Roman"/>
                <w:color w:val="auto"/>
                <w:kern w:val="0"/>
                <w:szCs w:val="21"/>
                <w:highlight w:val="none"/>
                <w:lang w:eastAsia="zh-CN" w:bidi="ar"/>
              </w:rPr>
              <w:object>
                <v:shape id="_x0000_i1027" o:spt="75" type="#_x0000_t75" style="height:67.5pt;width:364.5pt;" o:ole="t" filled="f" o:preferrelative="t" stroked="f" coordsize="21600,21600">
                  <v:path/>
                  <v:fill on="f" focussize="0,0"/>
                  <v:stroke on="f"/>
                  <v:imagedata r:id="rId13" o:title=""/>
                  <o:lock v:ext="edit" aspectratio="f"/>
                  <w10:wrap type="none"/>
                  <w10:anchorlock/>
                </v:shape>
                <o:OLEObject Type="Embed" ProgID="Visio.Drawing.15" ShapeID="_x0000_i1027" DrawAspect="Content" ObjectID="_1468075727" r:id="rId12">
                  <o:LockedField>false</o:LockedField>
                </o:OLEObject>
              </w:object>
            </w:r>
          </w:p>
          <w:p w14:paraId="5FC45D00">
            <w:pPr>
              <w:spacing w:after="0" w:line="460" w:lineRule="exact"/>
              <w:ind w:firstLine="482" w:firstLineChars="200"/>
              <w:rPr>
                <w:rFonts w:eastAsia="宋体"/>
                <w:b/>
                <w:bCs/>
                <w:color w:val="auto"/>
                <w:kern w:val="2"/>
                <w:sz w:val="24"/>
                <w:szCs w:val="20"/>
              </w:rPr>
            </w:pPr>
            <w:r>
              <w:rPr>
                <w:rFonts w:eastAsia="宋体"/>
                <w:b/>
                <w:bCs/>
                <w:color w:val="auto"/>
                <w:kern w:val="2"/>
                <w:sz w:val="24"/>
                <w:szCs w:val="20"/>
              </w:rPr>
              <w:t>2、废气</w:t>
            </w:r>
          </w:p>
          <w:p w14:paraId="611E6608">
            <w:pPr>
              <w:spacing w:after="0" w:line="460" w:lineRule="exact"/>
              <w:ind w:firstLine="480" w:firstLineChars="200"/>
              <w:jc w:val="both"/>
              <w:rPr>
                <w:rFonts w:eastAsia="宋体"/>
                <w:color w:val="auto"/>
                <w:kern w:val="2"/>
                <w:sz w:val="24"/>
                <w:szCs w:val="20"/>
              </w:rPr>
            </w:pPr>
            <w:bookmarkStart w:id="8" w:name="_Hlk156235544"/>
            <w:bookmarkStart w:id="9" w:name="_Hlk130287496"/>
            <w:bookmarkStart w:id="10" w:name="_Hlk123228410"/>
            <w:r>
              <w:rPr>
                <w:rFonts w:eastAsia="宋体"/>
                <w:color w:val="auto"/>
                <w:kern w:val="2"/>
                <w:sz w:val="24"/>
                <w:szCs w:val="20"/>
              </w:rPr>
              <w:t>本项目</w:t>
            </w:r>
            <w:r>
              <w:rPr>
                <w:rFonts w:hint="eastAsia" w:eastAsia="宋体"/>
                <w:color w:val="auto"/>
                <w:kern w:val="2"/>
                <w:sz w:val="24"/>
                <w:szCs w:val="20"/>
                <w:lang w:val="en-US" w:eastAsia="zh-CN"/>
              </w:rPr>
              <w:t>废气主要为吹瓶工序产生的非甲烷总烃和危废贮存库废气。项目</w:t>
            </w:r>
            <w:r>
              <w:rPr>
                <w:rFonts w:hint="eastAsia" w:eastAsia="宋体"/>
                <w:color w:val="auto"/>
                <w:kern w:val="2"/>
                <w:sz w:val="24"/>
                <w:szCs w:val="20"/>
              </w:rPr>
              <w:t>对吹</w:t>
            </w:r>
            <w:r>
              <w:rPr>
                <w:rFonts w:hint="eastAsia" w:eastAsia="宋体"/>
                <w:color w:val="auto"/>
                <w:kern w:val="2"/>
                <w:sz w:val="24"/>
                <w:szCs w:val="20"/>
                <w:lang w:val="en-US" w:eastAsia="zh-CN"/>
              </w:rPr>
              <w:t>瓶工序进行</w:t>
            </w:r>
            <w:r>
              <w:rPr>
                <w:rFonts w:hint="eastAsia" w:eastAsia="宋体"/>
                <w:color w:val="auto"/>
                <w:kern w:val="2"/>
                <w:sz w:val="24"/>
                <w:szCs w:val="20"/>
              </w:rPr>
              <w:t>密闭，</w:t>
            </w:r>
            <w:r>
              <w:rPr>
                <w:rFonts w:hint="eastAsia" w:eastAsia="宋体"/>
                <w:color w:val="auto"/>
                <w:kern w:val="2"/>
                <w:sz w:val="24"/>
                <w:szCs w:val="20"/>
                <w:lang w:val="en-US" w:eastAsia="zh-CN"/>
              </w:rPr>
              <w:t>危废贮存建设废气收集管道，</w:t>
            </w:r>
            <w:r>
              <w:rPr>
                <w:rFonts w:hint="eastAsia" w:eastAsia="宋体"/>
                <w:color w:val="auto"/>
                <w:kern w:val="2"/>
                <w:sz w:val="24"/>
                <w:szCs w:val="20"/>
              </w:rPr>
              <w:t>吹</w:t>
            </w:r>
            <w:r>
              <w:rPr>
                <w:rFonts w:hint="eastAsia" w:eastAsia="宋体"/>
                <w:color w:val="auto"/>
                <w:kern w:val="2"/>
                <w:sz w:val="24"/>
                <w:szCs w:val="20"/>
                <w:lang w:val="en-US" w:eastAsia="zh-CN"/>
              </w:rPr>
              <w:t>瓶</w:t>
            </w:r>
            <w:r>
              <w:rPr>
                <w:rFonts w:eastAsia="宋体"/>
                <w:color w:val="auto"/>
                <w:kern w:val="2"/>
                <w:sz w:val="24"/>
                <w:szCs w:val="20"/>
              </w:rPr>
              <w:t>废气</w:t>
            </w:r>
            <w:r>
              <w:rPr>
                <w:rFonts w:hint="eastAsia" w:eastAsia="宋体"/>
                <w:color w:val="auto"/>
                <w:kern w:val="2"/>
                <w:sz w:val="24"/>
                <w:szCs w:val="20"/>
                <w:lang w:val="en-US" w:eastAsia="zh-CN"/>
              </w:rPr>
              <w:t>和危废贮存库废气</w:t>
            </w:r>
            <w:r>
              <w:rPr>
                <w:rFonts w:eastAsia="宋体"/>
                <w:color w:val="auto"/>
                <w:kern w:val="2"/>
                <w:sz w:val="24"/>
                <w:szCs w:val="20"/>
              </w:rPr>
              <w:t>经</w:t>
            </w:r>
            <w:r>
              <w:rPr>
                <w:rFonts w:hint="eastAsia" w:eastAsia="宋体"/>
                <w:color w:val="auto"/>
                <w:kern w:val="2"/>
                <w:sz w:val="24"/>
                <w:szCs w:val="20"/>
              </w:rPr>
              <w:t>负压</w:t>
            </w:r>
            <w:r>
              <w:rPr>
                <w:rFonts w:eastAsia="宋体"/>
                <w:color w:val="auto"/>
                <w:kern w:val="2"/>
                <w:sz w:val="24"/>
                <w:szCs w:val="20"/>
              </w:rPr>
              <w:t>收集至1套</w:t>
            </w:r>
            <w:r>
              <w:rPr>
                <w:rFonts w:hint="eastAsia" w:eastAsia="宋体"/>
                <w:color w:val="auto"/>
                <w:kern w:val="2"/>
                <w:sz w:val="24"/>
                <w:szCs w:val="20"/>
                <w:lang w:eastAsia="zh-CN"/>
              </w:rPr>
              <w:t>“</w:t>
            </w:r>
            <w:r>
              <w:rPr>
                <w:rFonts w:eastAsia="宋体"/>
                <w:color w:val="auto"/>
                <w:kern w:val="2"/>
                <w:sz w:val="24"/>
                <w:szCs w:val="20"/>
              </w:rPr>
              <w:t>活性炭吸/脱附+催化燃烧</w:t>
            </w:r>
            <w:r>
              <w:rPr>
                <w:rFonts w:hint="eastAsia" w:eastAsia="宋体"/>
                <w:color w:val="auto"/>
                <w:kern w:val="2"/>
                <w:sz w:val="24"/>
                <w:szCs w:val="20"/>
                <w:lang w:eastAsia="zh-CN"/>
              </w:rPr>
              <w:t>”</w:t>
            </w:r>
            <w:r>
              <w:rPr>
                <w:rFonts w:hint="eastAsia" w:eastAsia="宋体"/>
                <w:color w:val="auto"/>
                <w:kern w:val="2"/>
                <w:sz w:val="24"/>
                <w:szCs w:val="20"/>
                <w:lang w:val="en-US" w:eastAsia="zh-CN"/>
              </w:rPr>
              <w:t>装置进行处理，处理后的废气</w:t>
            </w:r>
            <w:r>
              <w:rPr>
                <w:rFonts w:eastAsia="宋体"/>
                <w:color w:val="auto"/>
                <w:kern w:val="2"/>
                <w:sz w:val="24"/>
                <w:szCs w:val="20"/>
              </w:rPr>
              <w:t>经1根15m高排气筒排放。</w:t>
            </w:r>
          </w:p>
          <w:bookmarkEnd w:id="8"/>
          <w:bookmarkEnd w:id="9"/>
          <w:p w14:paraId="51AADDE3">
            <w:pPr>
              <w:spacing w:after="0"/>
              <w:jc w:val="center"/>
              <w:textAlignment w:val="baseline"/>
              <w:rPr>
                <w:rFonts w:eastAsia="黑体"/>
                <w:color w:val="auto"/>
                <w:sz w:val="24"/>
                <w:szCs w:val="24"/>
              </w:rPr>
            </w:pPr>
            <w:r>
              <w:rPr>
                <w:rFonts w:eastAsia="黑体"/>
                <w:color w:val="auto"/>
                <w:sz w:val="24"/>
                <w:szCs w:val="24"/>
              </w:rPr>
              <w:object>
                <v:shape id="_x0000_i1028" o:spt="75" type="#_x0000_t75" style="height:86.25pt;width:357pt;" o:ole="t" filled="f" o:preferrelative="t" stroked="f" coordsize="21600,21600">
                  <v:path/>
                  <v:fill on="f" focussize="0,0"/>
                  <v:stroke on="f"/>
                  <v:imagedata r:id="rId15" o:title=""/>
                  <o:lock v:ext="edit" aspectratio="f"/>
                  <w10:wrap type="none"/>
                  <w10:anchorlock/>
                </v:shape>
                <o:OLEObject Type="Embed" ProgID="Visio.Drawing.15" ShapeID="_x0000_i1028" DrawAspect="Content" ObjectID="_1468075728" r:id="rId14">
                  <o:LockedField>false</o:LockedField>
                </o:OLEObject>
              </w:object>
            </w:r>
          </w:p>
          <w:p w14:paraId="230F1B78">
            <w:pPr>
              <w:widowControl w:val="0"/>
              <w:adjustRightInd/>
              <w:spacing w:after="0"/>
              <w:jc w:val="center"/>
              <w:rPr>
                <w:rFonts w:eastAsia="黑体"/>
                <w:bCs/>
                <w:color w:val="auto"/>
                <w:kern w:val="2"/>
                <w:sz w:val="24"/>
                <w:szCs w:val="24"/>
              </w:rPr>
            </w:pPr>
            <w:r>
              <w:rPr>
                <w:rFonts w:eastAsia="黑体"/>
                <w:bCs/>
                <w:color w:val="auto"/>
                <w:kern w:val="2"/>
                <w:sz w:val="24"/>
                <w:szCs w:val="24"/>
              </w:rPr>
              <w:t xml:space="preserve">图7    </w:t>
            </w:r>
            <w:r>
              <w:rPr>
                <w:rFonts w:eastAsia="黑体"/>
                <w:bCs/>
                <w:color w:val="auto"/>
                <w:kern w:val="2"/>
                <w:sz w:val="24"/>
                <w:szCs w:val="24"/>
                <w:highlight w:val="none"/>
              </w:rPr>
              <w:t>废气治理流程示意图</w:t>
            </w:r>
          </w:p>
          <w:bookmarkEnd w:id="10"/>
          <w:p w14:paraId="2FFE2DDF">
            <w:pPr>
              <w:spacing w:after="0" w:line="460" w:lineRule="exact"/>
              <w:ind w:firstLine="482" w:firstLineChars="200"/>
              <w:rPr>
                <w:rFonts w:eastAsia="宋体"/>
                <w:b/>
                <w:bCs/>
                <w:color w:val="auto"/>
                <w:kern w:val="2"/>
                <w:sz w:val="24"/>
                <w:szCs w:val="20"/>
              </w:rPr>
            </w:pPr>
            <w:r>
              <w:rPr>
                <w:rFonts w:eastAsia="宋体"/>
                <w:b/>
                <w:bCs/>
                <w:color w:val="auto"/>
                <w:kern w:val="2"/>
                <w:sz w:val="24"/>
                <w:szCs w:val="20"/>
              </w:rPr>
              <w:t>3、噪声</w:t>
            </w:r>
          </w:p>
          <w:p w14:paraId="45327EE8">
            <w:pPr>
              <w:spacing w:after="0" w:line="460" w:lineRule="exact"/>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本项目噪声设备主要</w:t>
            </w:r>
            <w:r>
              <w:rPr>
                <w:rFonts w:hint="default" w:ascii="Times New Roman" w:hAnsi="Times New Roman" w:eastAsia="宋体" w:cs="Times New Roman"/>
                <w:color w:val="auto"/>
                <w:kern w:val="2"/>
                <w:sz w:val="24"/>
                <w:szCs w:val="24"/>
                <w:lang w:val="en-US" w:eastAsia="zh-CN"/>
              </w:rPr>
              <w:t>为</w:t>
            </w:r>
            <w:r>
              <w:rPr>
                <w:rFonts w:hint="default" w:ascii="Times New Roman" w:hAnsi="Times New Roman" w:eastAsia="宋体" w:cs="Times New Roman"/>
                <w:color w:val="auto"/>
                <w:sz w:val="24"/>
                <w:szCs w:val="24"/>
              </w:rPr>
              <w:t>吹瓶机、环保风机、</w:t>
            </w:r>
            <w:r>
              <w:rPr>
                <w:rFonts w:hint="default" w:ascii="Times New Roman" w:hAnsi="Times New Roman" w:eastAsia="宋体" w:cs="Times New Roman"/>
                <w:color w:val="auto"/>
                <w:sz w:val="24"/>
                <w:szCs w:val="24"/>
                <w:lang w:val="en-US" w:eastAsia="zh-CN"/>
              </w:rPr>
              <w:t>冷水机</w:t>
            </w:r>
            <w:r>
              <w:rPr>
                <w:rFonts w:hint="default" w:ascii="Times New Roman" w:hAnsi="Times New Roman" w:eastAsia="宋体" w:cs="Times New Roman"/>
                <w:color w:val="auto"/>
                <w:kern w:val="2"/>
                <w:sz w:val="24"/>
                <w:szCs w:val="24"/>
              </w:rPr>
              <w:t>等，经过基础减振、厂房隔声，厂界噪声能够满足《工业企业厂界环境噪声排放标准》（GB12348-2008）2类昼间60dB(A)、夜间50dB(A)标准的排放要求。</w:t>
            </w:r>
          </w:p>
          <w:p w14:paraId="3D3B5B47">
            <w:pPr>
              <w:spacing w:after="0"/>
              <w:jc w:val="center"/>
              <w:rPr>
                <w:rFonts w:eastAsia="宋体"/>
                <w:color w:val="auto"/>
                <w:kern w:val="2"/>
                <w:sz w:val="24"/>
                <w:szCs w:val="20"/>
              </w:rPr>
            </w:pPr>
            <w:r>
              <w:rPr>
                <w:rFonts w:eastAsia="黑体"/>
                <w:color w:val="auto"/>
                <w:sz w:val="24"/>
                <w:szCs w:val="24"/>
              </w:rPr>
              <w:drawing>
                <wp:inline distT="0" distB="0" distL="0" distR="0">
                  <wp:extent cx="4441190" cy="379095"/>
                  <wp:effectExtent l="0" t="0" r="0" b="1905"/>
                  <wp:docPr id="1934740195" name="图片 193474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40195" name="图片 193474019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508736" cy="385320"/>
                          </a:xfrm>
                          <a:prstGeom prst="rect">
                            <a:avLst/>
                          </a:prstGeom>
                        </pic:spPr>
                      </pic:pic>
                    </a:graphicData>
                  </a:graphic>
                </wp:inline>
              </w:drawing>
            </w:r>
          </w:p>
          <w:p w14:paraId="3C0D3D1E">
            <w:pPr>
              <w:widowControl w:val="0"/>
              <w:adjustRightInd/>
              <w:spacing w:after="0"/>
              <w:jc w:val="center"/>
              <w:rPr>
                <w:rFonts w:eastAsia="黑体"/>
                <w:bCs/>
                <w:color w:val="auto"/>
                <w:kern w:val="2"/>
                <w:sz w:val="24"/>
                <w:szCs w:val="24"/>
              </w:rPr>
            </w:pPr>
            <w:r>
              <w:rPr>
                <w:rFonts w:eastAsia="黑体"/>
                <w:bCs/>
                <w:color w:val="auto"/>
                <w:kern w:val="2"/>
                <w:sz w:val="24"/>
                <w:szCs w:val="24"/>
              </w:rPr>
              <w:t>图5     噪声治理流程示意图</w:t>
            </w:r>
          </w:p>
          <w:p w14:paraId="62EE7047">
            <w:pPr>
              <w:spacing w:after="0" w:line="460" w:lineRule="exact"/>
              <w:ind w:firstLine="482" w:firstLineChars="200"/>
              <w:rPr>
                <w:rFonts w:eastAsia="宋体"/>
                <w:b/>
                <w:bCs/>
                <w:color w:val="auto"/>
                <w:kern w:val="2"/>
                <w:sz w:val="24"/>
                <w:szCs w:val="20"/>
              </w:rPr>
            </w:pPr>
            <w:r>
              <w:rPr>
                <w:rFonts w:eastAsia="宋体"/>
                <w:b/>
                <w:bCs/>
                <w:color w:val="auto"/>
                <w:kern w:val="2"/>
                <w:sz w:val="24"/>
                <w:szCs w:val="20"/>
              </w:rPr>
              <w:t>4、固废</w:t>
            </w:r>
          </w:p>
          <w:p w14:paraId="691714C5">
            <w:pPr>
              <w:spacing w:after="0" w:line="460" w:lineRule="exact"/>
              <w:ind w:firstLine="480" w:firstLineChars="200"/>
              <w:jc w:val="both"/>
              <w:rPr>
                <w:rFonts w:hint="eastAsia" w:ascii="Times New Roman" w:hAnsi="Times New Roman" w:eastAsia="宋体" w:cs="Times New Roman"/>
                <w:color w:val="auto"/>
                <w:kern w:val="2"/>
                <w:sz w:val="24"/>
                <w:szCs w:val="24"/>
                <w:lang w:val="en-US" w:eastAsia="zh-CN"/>
              </w:rPr>
            </w:pPr>
            <w:bookmarkStart w:id="11" w:name="_Hlk180143644"/>
            <w:r>
              <w:rPr>
                <w:rFonts w:hint="eastAsia" w:ascii="Times New Roman" w:hAnsi="Times New Roman" w:eastAsia="宋体" w:cs="Times New Roman"/>
                <w:color w:val="auto"/>
                <w:kern w:val="2"/>
                <w:sz w:val="24"/>
                <w:szCs w:val="24"/>
              </w:rPr>
              <w:t>本项目营运期固废包括一般固废和危险废物</w:t>
            </w:r>
            <w:r>
              <w:rPr>
                <w:rFonts w:hint="eastAsia" w:ascii="Times New Roman" w:hAnsi="Times New Roman" w:eastAsia="宋体" w:cs="Times New Roman"/>
                <w:color w:val="auto"/>
                <w:kern w:val="2"/>
                <w:sz w:val="24"/>
                <w:szCs w:val="24"/>
                <w:lang w:eastAsia="zh-CN"/>
              </w:rPr>
              <w:t>，</w:t>
            </w:r>
            <w:r>
              <w:rPr>
                <w:rFonts w:hint="eastAsia" w:ascii="Times New Roman" w:hAnsi="Times New Roman" w:eastAsia="宋体" w:cs="Times New Roman"/>
                <w:color w:val="auto"/>
                <w:kern w:val="2"/>
                <w:sz w:val="24"/>
                <w:szCs w:val="24"/>
              </w:rPr>
              <w:t>其中一般固废主要为原料包装产生的</w:t>
            </w:r>
            <w:r>
              <w:rPr>
                <w:rFonts w:hint="eastAsia" w:ascii="Times New Roman" w:hAnsi="Times New Roman" w:eastAsia="宋体" w:cs="Times New Roman"/>
                <w:color w:val="auto"/>
                <w:kern w:val="2"/>
                <w:sz w:val="24"/>
                <w:szCs w:val="24"/>
                <w:lang w:eastAsia="zh-CN"/>
              </w:rPr>
              <w:t>废纸箱</w:t>
            </w:r>
            <w:r>
              <w:rPr>
                <w:rFonts w:hint="eastAsia" w:ascii="Times New Roman" w:hAnsi="Times New Roman" w:eastAsia="宋体" w:cs="Times New Roman"/>
                <w:color w:val="auto"/>
                <w:kern w:val="2"/>
                <w:sz w:val="24"/>
                <w:szCs w:val="24"/>
              </w:rPr>
              <w:t>，</w:t>
            </w:r>
            <w:r>
              <w:rPr>
                <w:rFonts w:hint="eastAsia" w:ascii="Times New Roman" w:hAnsi="Times New Roman" w:eastAsia="宋体" w:cs="Times New Roman"/>
                <w:color w:val="auto"/>
                <w:kern w:val="2"/>
                <w:sz w:val="24"/>
                <w:szCs w:val="24"/>
                <w:lang w:val="en-US" w:eastAsia="zh-CN"/>
              </w:rPr>
              <w:t>吹瓶工序产生的不合格塑料瓶</w:t>
            </w:r>
            <w:r>
              <w:rPr>
                <w:rFonts w:hint="eastAsia" w:ascii="Times New Roman" w:hAnsi="Times New Roman" w:eastAsia="宋体" w:cs="Times New Roman"/>
                <w:color w:val="auto"/>
                <w:kern w:val="2"/>
                <w:sz w:val="24"/>
                <w:szCs w:val="24"/>
              </w:rPr>
              <w:t>，</w:t>
            </w:r>
            <w:r>
              <w:rPr>
                <w:rFonts w:hint="eastAsia" w:ascii="Times New Roman" w:hAnsi="Times New Roman" w:eastAsia="宋体" w:cs="Times New Roman"/>
                <w:color w:val="auto"/>
                <w:kern w:val="2"/>
                <w:sz w:val="24"/>
                <w:szCs w:val="24"/>
                <w:lang w:val="en-US" w:eastAsia="zh-CN"/>
              </w:rPr>
              <w:t>一般固废</w:t>
            </w:r>
            <w:r>
              <w:rPr>
                <w:rFonts w:hint="default" w:ascii="Times New Roman" w:hAnsi="Times New Roman" w:eastAsia="宋体" w:cs="Times New Roman"/>
                <w:color w:val="auto"/>
                <w:sz w:val="24"/>
                <w:szCs w:val="24"/>
              </w:rPr>
              <w:t>收集于一般固废暂存间暂存后，定期外售</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kern w:val="2"/>
                <w:sz w:val="24"/>
                <w:szCs w:val="24"/>
              </w:rPr>
              <w:t>危险废物为废气治理产生的废活性炭、废催化剂</w:t>
            </w:r>
            <w:r>
              <w:rPr>
                <w:rFonts w:hint="eastAsia" w:ascii="Times New Roman" w:hAnsi="Times New Roman" w:eastAsia="宋体" w:cs="Times New Roman"/>
                <w:color w:val="auto"/>
                <w:kern w:val="2"/>
                <w:sz w:val="24"/>
                <w:szCs w:val="24"/>
                <w:lang w:eastAsia="zh-CN"/>
              </w:rPr>
              <w:t>，</w:t>
            </w:r>
            <w:r>
              <w:rPr>
                <w:rFonts w:hint="eastAsia" w:ascii="Times New Roman" w:hAnsi="Times New Roman" w:eastAsia="宋体" w:cs="Times New Roman"/>
                <w:color w:val="auto"/>
                <w:kern w:val="2"/>
                <w:sz w:val="24"/>
                <w:szCs w:val="24"/>
                <w:lang w:val="en-US" w:eastAsia="zh-CN"/>
              </w:rPr>
              <w:t>危险废物于</w:t>
            </w:r>
            <w:r>
              <w:rPr>
                <w:rFonts w:hint="default" w:ascii="Times New Roman" w:hAnsi="Times New Roman" w:eastAsia="宋体" w:cs="Times New Roman"/>
                <w:color w:val="auto"/>
                <w:sz w:val="24"/>
                <w:szCs w:val="24"/>
              </w:rPr>
              <w:t>危废</w:t>
            </w:r>
            <w:r>
              <w:rPr>
                <w:rFonts w:hint="default" w:ascii="Times New Roman" w:hAnsi="Times New Roman" w:eastAsia="宋体" w:cs="Times New Roman"/>
                <w:color w:val="auto"/>
                <w:sz w:val="24"/>
                <w:szCs w:val="24"/>
                <w:lang w:val="en-US" w:eastAsia="zh-CN"/>
              </w:rPr>
              <w:t>贮存库</w:t>
            </w:r>
            <w:r>
              <w:rPr>
                <w:rFonts w:hint="default" w:ascii="Times New Roman" w:hAnsi="Times New Roman" w:eastAsia="宋体" w:cs="Times New Roman"/>
                <w:color w:val="auto"/>
                <w:sz w:val="24"/>
                <w:szCs w:val="24"/>
              </w:rPr>
              <w:t>内暂存，定期委托有相应类别危废资质单位安全处置</w:t>
            </w:r>
            <w:r>
              <w:rPr>
                <w:rFonts w:hint="eastAsia" w:ascii="Times New Roman" w:hAnsi="Times New Roman" w:eastAsia="宋体" w:cs="Times New Roman"/>
                <w:color w:val="auto"/>
                <w:sz w:val="24"/>
                <w:szCs w:val="24"/>
                <w:lang w:eastAsia="zh-CN"/>
              </w:rPr>
              <w:t>。</w:t>
            </w:r>
          </w:p>
          <w:p w14:paraId="3087B639">
            <w:pPr>
              <w:spacing w:after="0" w:line="460" w:lineRule="exact"/>
              <w:ind w:firstLine="480" w:firstLineChars="200"/>
              <w:rPr>
                <w:rFonts w:ascii="宋体" w:hAnsi="Times New Roman" w:eastAsia="宋体"/>
                <w:bCs/>
                <w:color w:val="auto"/>
                <w:sz w:val="24"/>
                <w:szCs w:val="24"/>
              </w:rPr>
            </w:pPr>
            <w:r>
              <w:rPr>
                <w:rFonts w:hint="eastAsia" w:ascii="Times New Roman" w:hAnsi="Times New Roman" w:eastAsia="宋体"/>
                <w:color w:val="auto"/>
                <w:sz w:val="24"/>
                <w:szCs w:val="24"/>
              </w:rPr>
              <w:t>一般固废暂存间建设满足《一般工业固体废物贮存和填埋污染控制标准》（GB18599-2020）中防渗漏、防雨淋、防扬尘等环境保护要求，危废贮存库建设满足《危险废物贮存污染控制标准》（GB18597-2023）标准。</w:t>
            </w:r>
          </w:p>
          <w:bookmarkEnd w:id="11"/>
          <w:p w14:paraId="63C5C1D3">
            <w:pPr>
              <w:spacing w:after="0"/>
              <w:jc w:val="center"/>
              <w:textAlignment w:val="baseline"/>
              <w:rPr>
                <w:rFonts w:eastAsia="宋体"/>
                <w:color w:val="auto"/>
                <w:kern w:val="2"/>
                <w:sz w:val="24"/>
                <w:szCs w:val="20"/>
                <w:highlight w:val="yellow"/>
              </w:rPr>
            </w:pPr>
            <w:r>
              <w:rPr>
                <w:rFonts w:eastAsia="宋体"/>
                <w:color w:val="auto"/>
                <w:kern w:val="2"/>
                <w:sz w:val="24"/>
                <w:szCs w:val="20"/>
                <w:highlight w:val="none"/>
              </w:rPr>
              <w:object>
                <v:shape id="_x0000_i1029" o:spt="75" type="#_x0000_t75" style="height:143.25pt;width:380.1pt;" o:ole="t" filled="f" o:preferrelative="t" stroked="f" coordsize="21600,21600">
                  <v:path/>
                  <v:fill on="f" focussize="0,0"/>
                  <v:stroke on="f"/>
                  <v:imagedata r:id="rId18" o:title=""/>
                  <o:lock v:ext="edit" aspectratio="f"/>
                  <w10:wrap type="none"/>
                  <w10:anchorlock/>
                </v:shape>
                <o:OLEObject Type="Embed" ProgID="Visio.Drawing.15" ShapeID="_x0000_i1029" DrawAspect="Content" ObjectID="_1468075729" r:id="rId17">
                  <o:LockedField>false</o:LockedField>
                </o:OLEObject>
              </w:object>
            </w:r>
          </w:p>
          <w:p w14:paraId="34A9AD65">
            <w:pPr>
              <w:widowControl w:val="0"/>
              <w:adjustRightInd/>
              <w:spacing w:after="0"/>
              <w:jc w:val="center"/>
              <w:rPr>
                <w:rFonts w:eastAsia="黑体"/>
                <w:bCs/>
                <w:color w:val="auto"/>
                <w:kern w:val="2"/>
                <w:sz w:val="24"/>
                <w:szCs w:val="24"/>
              </w:rPr>
            </w:pPr>
            <w:r>
              <w:rPr>
                <w:rFonts w:eastAsia="黑体"/>
                <w:bCs/>
                <w:color w:val="auto"/>
                <w:kern w:val="2"/>
                <w:sz w:val="24"/>
                <w:szCs w:val="24"/>
              </w:rPr>
              <w:t>图6      固废处置流程示意图</w:t>
            </w:r>
          </w:p>
          <w:p w14:paraId="6C6DCB30">
            <w:pPr>
              <w:spacing w:after="0" w:line="460" w:lineRule="exact"/>
              <w:ind w:firstLine="482" w:firstLineChars="200"/>
              <w:rPr>
                <w:rFonts w:eastAsia="宋体"/>
                <w:b/>
                <w:bCs/>
                <w:color w:val="auto"/>
                <w:kern w:val="2"/>
                <w:sz w:val="24"/>
                <w:szCs w:val="20"/>
              </w:rPr>
            </w:pPr>
            <w:r>
              <w:rPr>
                <w:rFonts w:eastAsia="宋体"/>
                <w:b/>
                <w:bCs/>
                <w:color w:val="auto"/>
                <w:kern w:val="2"/>
                <w:sz w:val="24"/>
                <w:szCs w:val="20"/>
              </w:rPr>
              <w:t>5、环保设施“三同时”落实情况</w:t>
            </w:r>
          </w:p>
          <w:p w14:paraId="4B18E5ED">
            <w:pPr>
              <w:spacing w:after="0" w:line="460" w:lineRule="exact"/>
              <w:ind w:firstLine="480" w:firstLineChars="200"/>
              <w:rPr>
                <w:rFonts w:eastAsia="宋体"/>
                <w:color w:val="auto"/>
                <w:kern w:val="2"/>
                <w:sz w:val="24"/>
                <w:szCs w:val="20"/>
              </w:rPr>
            </w:pPr>
            <w:r>
              <w:rPr>
                <w:rFonts w:eastAsia="宋体"/>
                <w:color w:val="auto"/>
                <w:kern w:val="2"/>
                <w:sz w:val="24"/>
                <w:szCs w:val="20"/>
              </w:rPr>
              <w:t>本项目严格按照环评及批复要求建设了相应的环保治理设施，详见下表。</w:t>
            </w:r>
          </w:p>
          <w:p w14:paraId="153987BF">
            <w:pPr>
              <w:spacing w:after="0" w:line="480" w:lineRule="exact"/>
              <w:ind w:firstLine="480" w:firstLineChars="200"/>
              <w:textAlignment w:val="baseline"/>
              <w:rPr>
                <w:rFonts w:eastAsia="黑体"/>
                <w:color w:val="auto"/>
                <w:sz w:val="24"/>
                <w:szCs w:val="21"/>
              </w:rPr>
            </w:pPr>
            <w:r>
              <w:rPr>
                <w:rFonts w:eastAsia="黑体"/>
                <w:color w:val="auto"/>
                <w:sz w:val="24"/>
                <w:szCs w:val="21"/>
              </w:rPr>
              <w:t>表</w:t>
            </w:r>
            <w:r>
              <w:rPr>
                <w:rFonts w:hint="eastAsia" w:eastAsia="黑体"/>
                <w:color w:val="auto"/>
                <w:sz w:val="24"/>
                <w:szCs w:val="21"/>
              </w:rPr>
              <w:t>8</w:t>
            </w:r>
            <w:r>
              <w:rPr>
                <w:rFonts w:eastAsia="黑体"/>
                <w:color w:val="auto"/>
                <w:sz w:val="24"/>
                <w:szCs w:val="21"/>
              </w:rPr>
              <w:t xml:space="preserve">                 项目环保治理设施一览表</w:t>
            </w:r>
          </w:p>
          <w:tbl>
            <w:tblPr>
              <w:tblStyle w:val="18"/>
              <w:tblW w:w="4995"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1" w:type="dxa"/>
                <w:bottom w:w="0" w:type="dxa"/>
                <w:right w:w="11" w:type="dxa"/>
              </w:tblCellMar>
            </w:tblPr>
            <w:tblGrid>
              <w:gridCol w:w="445"/>
              <w:gridCol w:w="450"/>
              <w:gridCol w:w="790"/>
              <w:gridCol w:w="1091"/>
              <w:gridCol w:w="973"/>
              <w:gridCol w:w="1092"/>
              <w:gridCol w:w="586"/>
              <w:gridCol w:w="1034"/>
              <w:gridCol w:w="1227"/>
              <w:gridCol w:w="610"/>
            </w:tblGrid>
            <w:tr w14:paraId="2060C8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68" w:type="pct"/>
                  <w:vMerge w:val="restart"/>
                  <w:noWrap w:val="0"/>
                  <w:vAlign w:val="center"/>
                </w:tcPr>
                <w:p w14:paraId="686B929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lang w:val="pt-BR"/>
                    </w:rPr>
                  </w:pPr>
                  <w:r>
                    <w:rPr>
                      <w:rFonts w:hint="default" w:ascii="Times New Roman" w:hAnsi="Times New Roman" w:eastAsia="宋体" w:cs="Times New Roman"/>
                      <w:b/>
                      <w:color w:val="auto"/>
                      <w:sz w:val="21"/>
                      <w:szCs w:val="21"/>
                    </w:rPr>
                    <w:t>污染因素</w:t>
                  </w:r>
                </w:p>
              </w:tc>
              <w:tc>
                <w:tcPr>
                  <w:tcW w:w="747" w:type="pct"/>
                  <w:gridSpan w:val="2"/>
                  <w:vMerge w:val="restart"/>
                  <w:noWrap w:val="0"/>
                  <w:vAlign w:val="center"/>
                </w:tcPr>
                <w:p w14:paraId="5133DF3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lang w:val="pt-BR"/>
                    </w:rPr>
                  </w:pPr>
                  <w:r>
                    <w:rPr>
                      <w:rFonts w:hint="default" w:ascii="Times New Roman" w:hAnsi="Times New Roman" w:eastAsia="宋体" w:cs="Times New Roman"/>
                      <w:b/>
                      <w:color w:val="auto"/>
                      <w:sz w:val="21"/>
                      <w:szCs w:val="21"/>
                    </w:rPr>
                    <w:t>产污环节</w:t>
                  </w:r>
                </w:p>
              </w:tc>
              <w:tc>
                <w:tcPr>
                  <w:tcW w:w="657" w:type="pct"/>
                  <w:vMerge w:val="restart"/>
                  <w:noWrap w:val="0"/>
                  <w:vAlign w:val="center"/>
                </w:tcPr>
                <w:p w14:paraId="679B940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lang w:val="pt-BR"/>
                    </w:rPr>
                  </w:pPr>
                  <w:r>
                    <w:rPr>
                      <w:rFonts w:hint="default" w:ascii="Times New Roman" w:hAnsi="Times New Roman" w:eastAsia="宋体" w:cs="Times New Roman"/>
                      <w:b/>
                      <w:color w:val="auto"/>
                      <w:sz w:val="21"/>
                      <w:szCs w:val="21"/>
                    </w:rPr>
                    <w:t>污染物</w:t>
                  </w:r>
                </w:p>
              </w:tc>
              <w:tc>
                <w:tcPr>
                  <w:tcW w:w="1597" w:type="pct"/>
                  <w:gridSpan w:val="3"/>
                  <w:noWrap w:val="0"/>
                  <w:vAlign w:val="center"/>
                </w:tcPr>
                <w:p w14:paraId="52D8A97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val="en-US" w:eastAsia="zh-CN"/>
                    </w:rPr>
                    <w:t>环评批复</w:t>
                  </w:r>
                </w:p>
              </w:tc>
              <w:tc>
                <w:tcPr>
                  <w:tcW w:w="1729" w:type="pct"/>
                  <w:gridSpan w:val="3"/>
                  <w:noWrap w:val="0"/>
                  <w:vAlign w:val="center"/>
                </w:tcPr>
                <w:p w14:paraId="755C311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rPr>
                  </w:pPr>
                  <w:r>
                    <w:rPr>
                      <w:rFonts w:ascii="Times New Roman" w:hAnsi="Times New Roman" w:eastAsia="宋体"/>
                      <w:b/>
                      <w:color w:val="auto"/>
                      <w:sz w:val="21"/>
                      <w:szCs w:val="21"/>
                    </w:rPr>
                    <w:t>实际建设</w:t>
                  </w:r>
                </w:p>
              </w:tc>
            </w:tr>
            <w:tr w14:paraId="2B6F54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68" w:type="pct"/>
                  <w:vMerge w:val="continue"/>
                  <w:noWrap w:val="0"/>
                  <w:vAlign w:val="center"/>
                </w:tcPr>
                <w:p w14:paraId="2BE8407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lang w:val="pt-BR"/>
                    </w:rPr>
                  </w:pPr>
                </w:p>
              </w:tc>
              <w:tc>
                <w:tcPr>
                  <w:tcW w:w="747" w:type="pct"/>
                  <w:gridSpan w:val="2"/>
                  <w:vMerge w:val="continue"/>
                  <w:noWrap w:val="0"/>
                  <w:vAlign w:val="center"/>
                </w:tcPr>
                <w:p w14:paraId="1884815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lang w:val="pt-BR"/>
                    </w:rPr>
                  </w:pPr>
                </w:p>
              </w:tc>
              <w:tc>
                <w:tcPr>
                  <w:tcW w:w="657" w:type="pct"/>
                  <w:vMerge w:val="continue"/>
                  <w:noWrap w:val="0"/>
                  <w:vAlign w:val="center"/>
                </w:tcPr>
                <w:p w14:paraId="11CC7A0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lang w:val="pt-BR"/>
                    </w:rPr>
                  </w:pPr>
                </w:p>
              </w:tc>
              <w:tc>
                <w:tcPr>
                  <w:tcW w:w="1244" w:type="pct"/>
                  <w:gridSpan w:val="2"/>
                  <w:noWrap w:val="0"/>
                  <w:vAlign w:val="center"/>
                </w:tcPr>
                <w:p w14:paraId="5497152D">
                  <w:pPr>
                    <w:spacing w:after="0"/>
                    <w:jc w:val="center"/>
                    <w:rPr>
                      <w:rFonts w:hint="eastAsia" w:ascii="Times New Roman" w:hAnsi="Times New Roman" w:eastAsia="宋体" w:cs="Times New Roman"/>
                      <w:b/>
                      <w:color w:val="auto"/>
                      <w:sz w:val="21"/>
                      <w:szCs w:val="21"/>
                      <w:lang w:val="en-US" w:eastAsia="zh-CN"/>
                    </w:rPr>
                  </w:pPr>
                  <w:r>
                    <w:rPr>
                      <w:rFonts w:ascii="Times New Roman" w:hAnsi="Times New Roman" w:eastAsia="宋体"/>
                      <w:b/>
                      <w:color w:val="auto"/>
                      <w:sz w:val="21"/>
                      <w:szCs w:val="21"/>
                    </w:rPr>
                    <w:t>防治措施内容</w:t>
                  </w:r>
                </w:p>
              </w:tc>
              <w:tc>
                <w:tcPr>
                  <w:tcW w:w="353" w:type="pct"/>
                  <w:noWrap w:val="0"/>
                  <w:vAlign w:val="center"/>
                </w:tcPr>
                <w:p w14:paraId="3FE584AC">
                  <w:pPr>
                    <w:spacing w:after="0"/>
                    <w:jc w:val="center"/>
                    <w:rPr>
                      <w:rFonts w:hint="default" w:ascii="Times New Roman" w:hAnsi="Times New Roman" w:eastAsia="宋体" w:cs="Times New Roman"/>
                      <w:b/>
                      <w:color w:val="auto"/>
                      <w:sz w:val="21"/>
                      <w:szCs w:val="21"/>
                    </w:rPr>
                  </w:pPr>
                  <w:r>
                    <w:rPr>
                      <w:rFonts w:ascii="Times New Roman" w:hAnsi="Times New Roman" w:eastAsia="宋体"/>
                      <w:b/>
                      <w:color w:val="auto"/>
                      <w:sz w:val="21"/>
                      <w:szCs w:val="21"/>
                    </w:rPr>
                    <w:t>投资(万元)</w:t>
                  </w:r>
                </w:p>
              </w:tc>
              <w:tc>
                <w:tcPr>
                  <w:tcW w:w="1362" w:type="pct"/>
                  <w:gridSpan w:val="2"/>
                  <w:noWrap w:val="0"/>
                  <w:vAlign w:val="center"/>
                </w:tcPr>
                <w:p w14:paraId="6C24FA10">
                  <w:pPr>
                    <w:spacing w:after="0"/>
                    <w:jc w:val="center"/>
                    <w:rPr>
                      <w:rFonts w:hint="default" w:ascii="Times New Roman" w:hAnsi="Times New Roman" w:eastAsia="宋体" w:cs="Times New Roman"/>
                      <w:b/>
                      <w:color w:val="auto"/>
                      <w:sz w:val="21"/>
                      <w:szCs w:val="21"/>
                    </w:rPr>
                  </w:pPr>
                  <w:r>
                    <w:rPr>
                      <w:rFonts w:ascii="Times New Roman" w:hAnsi="Times New Roman" w:eastAsia="宋体"/>
                      <w:b/>
                      <w:color w:val="auto"/>
                      <w:sz w:val="21"/>
                      <w:szCs w:val="21"/>
                    </w:rPr>
                    <w:t>防治措施内容</w:t>
                  </w:r>
                </w:p>
              </w:tc>
              <w:tc>
                <w:tcPr>
                  <w:tcW w:w="367" w:type="pct"/>
                  <w:noWrap w:val="0"/>
                  <w:vAlign w:val="center"/>
                </w:tcPr>
                <w:p w14:paraId="2236368D">
                  <w:pPr>
                    <w:spacing w:after="0"/>
                    <w:jc w:val="center"/>
                    <w:rPr>
                      <w:rFonts w:hint="default" w:ascii="Times New Roman" w:hAnsi="Times New Roman" w:eastAsia="宋体" w:cs="Times New Roman"/>
                      <w:b/>
                      <w:color w:val="auto"/>
                      <w:sz w:val="21"/>
                      <w:szCs w:val="21"/>
                    </w:rPr>
                  </w:pPr>
                  <w:r>
                    <w:rPr>
                      <w:rFonts w:ascii="Times New Roman" w:hAnsi="Times New Roman" w:eastAsia="宋体"/>
                      <w:b/>
                      <w:color w:val="auto"/>
                      <w:sz w:val="21"/>
                      <w:szCs w:val="21"/>
                    </w:rPr>
                    <w:t>投资(万元)</w:t>
                  </w:r>
                </w:p>
              </w:tc>
            </w:tr>
            <w:tr w14:paraId="23BBDA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539" w:hRule="atLeast"/>
                <w:jc w:val="center"/>
              </w:trPr>
              <w:tc>
                <w:tcPr>
                  <w:tcW w:w="268" w:type="pct"/>
                  <w:vMerge w:val="restart"/>
                  <w:noWrap w:val="0"/>
                  <w:vAlign w:val="center"/>
                </w:tcPr>
                <w:p w14:paraId="29D636D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废水</w:t>
                  </w:r>
                </w:p>
              </w:tc>
              <w:tc>
                <w:tcPr>
                  <w:tcW w:w="747" w:type="pct"/>
                  <w:gridSpan w:val="2"/>
                  <w:noWrap w:val="0"/>
                  <w:vAlign w:val="center"/>
                </w:tcPr>
                <w:p w14:paraId="6C6251A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bCs/>
                      <w:color w:val="auto"/>
                      <w:sz w:val="21"/>
                      <w:szCs w:val="21"/>
                      <w:lang w:val="en-US" w:eastAsia="zh-CN"/>
                    </w:rPr>
                    <w:t>生活污水</w:t>
                  </w:r>
                </w:p>
              </w:tc>
              <w:tc>
                <w:tcPr>
                  <w:tcW w:w="657" w:type="pct"/>
                  <w:noWrap w:val="0"/>
                  <w:vAlign w:val="center"/>
                </w:tcPr>
                <w:p w14:paraId="27B7C147">
                  <w:pPr>
                    <w:pStyle w:val="64"/>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-N、TN、TP</w:t>
                  </w:r>
                </w:p>
              </w:tc>
              <w:tc>
                <w:tcPr>
                  <w:tcW w:w="586" w:type="pct"/>
                  <w:noWrap w:val="0"/>
                  <w:vAlign w:val="center"/>
                </w:tcPr>
                <w:p w14:paraId="68C7EAAA">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化粪池</w:t>
                  </w:r>
                </w:p>
              </w:tc>
              <w:tc>
                <w:tcPr>
                  <w:tcW w:w="657" w:type="pct"/>
                  <w:vMerge w:val="restart"/>
                  <w:noWrap w:val="0"/>
                  <w:vAlign w:val="center"/>
                </w:tcPr>
                <w:p w14:paraId="30ED1649">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kern w:val="0"/>
                      <w:sz w:val="21"/>
                      <w:szCs w:val="21"/>
                      <w:lang w:bidi="ar"/>
                    </w:rPr>
                    <w:t>延津县第一污水处理厂</w:t>
                  </w:r>
                </w:p>
              </w:tc>
              <w:tc>
                <w:tcPr>
                  <w:tcW w:w="353" w:type="pct"/>
                  <w:noWrap w:val="0"/>
                  <w:vAlign w:val="center"/>
                </w:tcPr>
                <w:p w14:paraId="4F4DE04F">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623" w:type="pct"/>
                  <w:noWrap w:val="0"/>
                  <w:vAlign w:val="center"/>
                </w:tcPr>
                <w:p w14:paraId="3AC49D3F">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bCs/>
                      <w:color w:val="auto"/>
                      <w:sz w:val="21"/>
                      <w:szCs w:val="21"/>
                      <w:lang w:val="en-US" w:eastAsia="zh-CN"/>
                    </w:rPr>
                    <w:t>化粪池</w:t>
                  </w:r>
                </w:p>
              </w:tc>
              <w:tc>
                <w:tcPr>
                  <w:tcW w:w="739" w:type="pct"/>
                  <w:vMerge w:val="restart"/>
                  <w:noWrap w:val="0"/>
                  <w:vAlign w:val="center"/>
                </w:tcPr>
                <w:p w14:paraId="1F98FA5E">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延津县第一污水处理厂</w:t>
                  </w:r>
                </w:p>
              </w:tc>
              <w:tc>
                <w:tcPr>
                  <w:tcW w:w="367" w:type="pct"/>
                  <w:noWrap w:val="0"/>
                  <w:vAlign w:val="center"/>
                </w:tcPr>
                <w:p w14:paraId="2481033A">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r>
            <w:tr w14:paraId="2769D86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539" w:hRule="atLeast"/>
                <w:jc w:val="center"/>
              </w:trPr>
              <w:tc>
                <w:tcPr>
                  <w:tcW w:w="268" w:type="pct"/>
                  <w:vMerge w:val="continue"/>
                  <w:noWrap w:val="0"/>
                  <w:vAlign w:val="center"/>
                </w:tcPr>
                <w:p w14:paraId="4195239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747" w:type="pct"/>
                  <w:gridSpan w:val="2"/>
                  <w:noWrap w:val="0"/>
                  <w:vAlign w:val="center"/>
                </w:tcPr>
                <w:p w14:paraId="079EBBB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循环冷却</w:t>
                  </w:r>
                  <w:r>
                    <w:rPr>
                      <w:rFonts w:hint="default" w:ascii="Times New Roman" w:hAnsi="Times New Roman" w:eastAsia="宋体" w:cs="Times New Roman"/>
                      <w:color w:val="auto"/>
                      <w:sz w:val="21"/>
                      <w:szCs w:val="21"/>
                      <w:lang w:val="en-US" w:eastAsia="zh-CN" w:bidi="ar"/>
                    </w:rPr>
                    <w:t>水</w:t>
                  </w:r>
                  <w:r>
                    <w:rPr>
                      <w:rFonts w:hint="default" w:ascii="Times New Roman" w:hAnsi="Times New Roman" w:eastAsia="宋体" w:cs="Times New Roman"/>
                      <w:color w:val="auto"/>
                      <w:sz w:val="21"/>
                      <w:szCs w:val="21"/>
                      <w:highlight w:val="none"/>
                      <w:lang w:val="en-US" w:eastAsia="zh-CN"/>
                    </w:rPr>
                    <w:t>排水</w:t>
                  </w:r>
                </w:p>
              </w:tc>
              <w:tc>
                <w:tcPr>
                  <w:tcW w:w="657" w:type="pct"/>
                  <w:noWrap w:val="0"/>
                  <w:vAlign w:val="center"/>
                </w:tcPr>
                <w:p w14:paraId="57649319">
                  <w:pPr>
                    <w:pStyle w:val="64"/>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highlight w:val="none"/>
                      <w:lang w:val="en-US" w:eastAsia="zh-CN"/>
                    </w:rPr>
                    <w:t>COD、BOD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、SS</w:t>
                  </w:r>
                </w:p>
              </w:tc>
              <w:tc>
                <w:tcPr>
                  <w:tcW w:w="586" w:type="pct"/>
                  <w:noWrap w:val="0"/>
                  <w:vAlign w:val="center"/>
                </w:tcPr>
                <w:p w14:paraId="51ADF33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657" w:type="pct"/>
                  <w:vMerge w:val="continue"/>
                  <w:noWrap w:val="0"/>
                  <w:vAlign w:val="center"/>
                </w:tcPr>
                <w:p w14:paraId="147C2E0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353" w:type="pct"/>
                  <w:noWrap w:val="0"/>
                  <w:vAlign w:val="center"/>
                </w:tcPr>
                <w:p w14:paraId="7FE1741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23" w:type="pct"/>
                  <w:noWrap w:val="0"/>
                  <w:vAlign w:val="center"/>
                </w:tcPr>
                <w:p w14:paraId="67C1896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739" w:type="pct"/>
                  <w:vMerge w:val="continue"/>
                  <w:noWrap w:val="0"/>
                  <w:vAlign w:val="center"/>
                </w:tcPr>
                <w:p w14:paraId="703A883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367" w:type="pct"/>
                  <w:noWrap w:val="0"/>
                  <w:vAlign w:val="center"/>
                </w:tcPr>
                <w:p w14:paraId="0EAFBA3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72BFF8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48" w:hRule="atLeast"/>
                <w:jc w:val="center"/>
              </w:trPr>
              <w:tc>
                <w:tcPr>
                  <w:tcW w:w="268" w:type="pct"/>
                  <w:vMerge w:val="restart"/>
                  <w:noWrap w:val="0"/>
                  <w:vAlign w:val="center"/>
                </w:tcPr>
                <w:p w14:paraId="25070F3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废气</w:t>
                  </w:r>
                </w:p>
              </w:tc>
              <w:tc>
                <w:tcPr>
                  <w:tcW w:w="747" w:type="pct"/>
                  <w:gridSpan w:val="2"/>
                  <w:noWrap w:val="0"/>
                  <w:vAlign w:val="center"/>
                </w:tcPr>
                <w:p w14:paraId="7757B82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注塑废气</w:t>
                  </w:r>
                </w:p>
              </w:tc>
              <w:tc>
                <w:tcPr>
                  <w:tcW w:w="657" w:type="pct"/>
                  <w:noWrap w:val="0"/>
                  <w:vAlign w:val="center"/>
                </w:tcPr>
                <w:p w14:paraId="2509755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非甲烷总烃</w:t>
                  </w:r>
                </w:p>
              </w:tc>
              <w:tc>
                <w:tcPr>
                  <w:tcW w:w="586" w:type="pct"/>
                  <w:vMerge w:val="restart"/>
                  <w:noWrap w:val="0"/>
                  <w:vAlign w:val="center"/>
                </w:tcPr>
                <w:p w14:paraId="05EC582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lang w:val="en-US" w:eastAsia="zh-CN"/>
                    </w:rPr>
                    <w:t>注塑、吹瓶工序</w:t>
                  </w:r>
                  <w:r>
                    <w:rPr>
                      <w:rFonts w:hint="default" w:ascii="Times New Roman" w:hAnsi="Times New Roman" w:eastAsia="宋体" w:cs="Times New Roman"/>
                      <w:bCs/>
                      <w:color w:val="auto"/>
                      <w:sz w:val="21"/>
                      <w:szCs w:val="21"/>
                      <w:lang w:val="en-US" w:eastAsia="zh-CN"/>
                    </w:rPr>
                    <w:t>密闭，</w:t>
                  </w:r>
                  <w:r>
                    <w:rPr>
                      <w:rFonts w:hint="default" w:ascii="Times New Roman" w:hAnsi="Times New Roman" w:eastAsia="宋体" w:cs="Times New Roman"/>
                      <w:color w:val="auto"/>
                      <w:sz w:val="21"/>
                      <w:szCs w:val="21"/>
                    </w:rPr>
                    <w:t>负压管道收集</w:t>
                  </w:r>
                </w:p>
              </w:tc>
              <w:tc>
                <w:tcPr>
                  <w:tcW w:w="657" w:type="pct"/>
                  <w:vMerge w:val="restart"/>
                  <w:noWrap w:val="0"/>
                  <w:vAlign w:val="center"/>
                </w:tcPr>
                <w:p w14:paraId="6A76C0BB">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活性炭吸附/脱附-催化燃烧装置</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15m高排气筒</w:t>
                  </w:r>
                  <w:r>
                    <w:rPr>
                      <w:rFonts w:hint="default" w:ascii="Times New Roman" w:hAnsi="Times New Roman" w:eastAsia="宋体" w:cs="Times New Roman"/>
                      <w:color w:val="auto"/>
                      <w:sz w:val="21"/>
                      <w:szCs w:val="21"/>
                      <w:lang w:val="en-US" w:eastAsia="zh-CN"/>
                    </w:rPr>
                    <w:t>（P1）</w:t>
                  </w:r>
                </w:p>
              </w:tc>
              <w:tc>
                <w:tcPr>
                  <w:tcW w:w="353" w:type="pct"/>
                  <w:vMerge w:val="restart"/>
                  <w:noWrap w:val="0"/>
                  <w:vAlign w:val="center"/>
                </w:tcPr>
                <w:p w14:paraId="4BF38386">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w:t>
                  </w:r>
                </w:p>
              </w:tc>
              <w:tc>
                <w:tcPr>
                  <w:tcW w:w="623" w:type="pct"/>
                  <w:noWrap w:val="0"/>
                  <w:vAlign w:val="center"/>
                </w:tcPr>
                <w:p w14:paraId="65EF5AAB">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拟二期建设</w:t>
                  </w:r>
                </w:p>
              </w:tc>
              <w:tc>
                <w:tcPr>
                  <w:tcW w:w="739" w:type="pct"/>
                  <w:vMerge w:val="restart"/>
                  <w:noWrap w:val="0"/>
                  <w:vAlign w:val="center"/>
                </w:tcPr>
                <w:p w14:paraId="5D83F419">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活性炭吸附/脱附-催化燃烧装置</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15m高排气筒</w:t>
                  </w:r>
                  <w:r>
                    <w:rPr>
                      <w:rFonts w:hint="default" w:ascii="Times New Roman" w:hAnsi="Times New Roman" w:eastAsia="宋体" w:cs="Times New Roman"/>
                      <w:color w:val="auto"/>
                      <w:sz w:val="21"/>
                      <w:szCs w:val="21"/>
                      <w:lang w:val="en-US" w:eastAsia="zh-CN"/>
                    </w:rPr>
                    <w:t>（P1）</w:t>
                  </w:r>
                </w:p>
              </w:tc>
              <w:tc>
                <w:tcPr>
                  <w:tcW w:w="367" w:type="pct"/>
                  <w:vMerge w:val="restart"/>
                  <w:noWrap w:val="0"/>
                  <w:vAlign w:val="center"/>
                </w:tcPr>
                <w:p w14:paraId="62E098B2">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w:t>
                  </w:r>
                </w:p>
              </w:tc>
            </w:tr>
            <w:tr w14:paraId="2C72B3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48" w:hRule="atLeast"/>
                <w:jc w:val="center"/>
              </w:trPr>
              <w:tc>
                <w:tcPr>
                  <w:tcW w:w="268" w:type="pct"/>
                  <w:vMerge w:val="continue"/>
                  <w:noWrap w:val="0"/>
                  <w:vAlign w:val="center"/>
                </w:tcPr>
                <w:p w14:paraId="54865B5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747" w:type="pct"/>
                  <w:gridSpan w:val="2"/>
                  <w:noWrap w:val="0"/>
                  <w:vAlign w:val="center"/>
                </w:tcPr>
                <w:p w14:paraId="3A46E99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吹瓶废气</w:t>
                  </w:r>
                </w:p>
              </w:tc>
              <w:tc>
                <w:tcPr>
                  <w:tcW w:w="657" w:type="pct"/>
                  <w:noWrap w:val="0"/>
                  <w:vAlign w:val="center"/>
                </w:tcPr>
                <w:p w14:paraId="5A61408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非甲烷总烃</w:t>
                  </w:r>
                </w:p>
              </w:tc>
              <w:tc>
                <w:tcPr>
                  <w:tcW w:w="586" w:type="pct"/>
                  <w:vMerge w:val="continue"/>
                  <w:noWrap w:val="0"/>
                  <w:vAlign w:val="center"/>
                </w:tcPr>
                <w:p w14:paraId="6FF3219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657" w:type="pct"/>
                  <w:vMerge w:val="continue"/>
                  <w:noWrap w:val="0"/>
                  <w:vAlign w:val="center"/>
                </w:tcPr>
                <w:p w14:paraId="704C8D2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353" w:type="pct"/>
                  <w:vMerge w:val="continue"/>
                  <w:noWrap w:val="0"/>
                  <w:vAlign w:val="center"/>
                </w:tcPr>
                <w:p w14:paraId="7C181A7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623" w:type="pct"/>
                  <w:noWrap w:val="0"/>
                  <w:vAlign w:val="center"/>
                </w:tcPr>
                <w:p w14:paraId="57D8BE4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吹瓶工序密闭，</w:t>
                  </w:r>
                  <w:r>
                    <w:rPr>
                      <w:rFonts w:hint="default" w:ascii="Times New Roman" w:hAnsi="Times New Roman" w:eastAsia="宋体" w:cs="Times New Roman"/>
                      <w:color w:val="auto"/>
                      <w:sz w:val="21"/>
                      <w:szCs w:val="21"/>
                    </w:rPr>
                    <w:t>负压管道收集</w:t>
                  </w:r>
                </w:p>
              </w:tc>
              <w:tc>
                <w:tcPr>
                  <w:tcW w:w="739" w:type="pct"/>
                  <w:vMerge w:val="continue"/>
                  <w:noWrap w:val="0"/>
                  <w:vAlign w:val="center"/>
                </w:tcPr>
                <w:p w14:paraId="70FFA1E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367" w:type="pct"/>
                  <w:vMerge w:val="continue"/>
                  <w:noWrap w:val="0"/>
                  <w:vAlign w:val="center"/>
                </w:tcPr>
                <w:p w14:paraId="0DBDAD8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r>
            <w:tr w14:paraId="4F6637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48" w:hRule="atLeast"/>
                <w:jc w:val="center"/>
              </w:trPr>
              <w:tc>
                <w:tcPr>
                  <w:tcW w:w="268" w:type="pct"/>
                  <w:vMerge w:val="continue"/>
                  <w:noWrap w:val="0"/>
                  <w:vAlign w:val="center"/>
                </w:tcPr>
                <w:p w14:paraId="2AC3FBA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747" w:type="pct"/>
                  <w:gridSpan w:val="2"/>
                  <w:noWrap w:val="0"/>
                  <w:vAlign w:val="center"/>
                </w:tcPr>
                <w:p w14:paraId="14D1C9E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危废贮存库废气</w:t>
                  </w:r>
                </w:p>
              </w:tc>
              <w:tc>
                <w:tcPr>
                  <w:tcW w:w="657" w:type="pct"/>
                  <w:noWrap w:val="0"/>
                  <w:vAlign w:val="center"/>
                </w:tcPr>
                <w:p w14:paraId="73D302B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586" w:type="pct"/>
                  <w:noWrap w:val="0"/>
                  <w:vAlign w:val="center"/>
                </w:tcPr>
                <w:p w14:paraId="1EF9123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集气管道</w:t>
                  </w:r>
                </w:p>
              </w:tc>
              <w:tc>
                <w:tcPr>
                  <w:tcW w:w="657" w:type="pct"/>
                  <w:vMerge w:val="continue"/>
                  <w:noWrap w:val="0"/>
                  <w:vAlign w:val="center"/>
                </w:tcPr>
                <w:p w14:paraId="0D458A9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353" w:type="pct"/>
                  <w:vMerge w:val="continue"/>
                  <w:noWrap w:val="0"/>
                  <w:vAlign w:val="center"/>
                </w:tcPr>
                <w:p w14:paraId="08F2C68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623" w:type="pct"/>
                  <w:noWrap w:val="0"/>
                  <w:vAlign w:val="center"/>
                </w:tcPr>
                <w:p w14:paraId="3D46769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lang w:val="en-US" w:eastAsia="zh-CN"/>
                    </w:rPr>
                  </w:pPr>
                  <w:r>
                    <w:rPr>
                      <w:rFonts w:hint="eastAsia" w:eastAsia="宋体" w:cs="Times New Roman"/>
                      <w:color w:val="auto"/>
                      <w:sz w:val="21"/>
                      <w:szCs w:val="21"/>
                      <w:lang w:val="en-US" w:eastAsia="zh-CN"/>
                    </w:rPr>
                    <w:t>集气管道</w:t>
                  </w:r>
                </w:p>
              </w:tc>
              <w:tc>
                <w:tcPr>
                  <w:tcW w:w="739" w:type="pct"/>
                  <w:vMerge w:val="continue"/>
                  <w:noWrap w:val="0"/>
                  <w:vAlign w:val="center"/>
                </w:tcPr>
                <w:p w14:paraId="2FD25E9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367" w:type="pct"/>
                  <w:vMerge w:val="continue"/>
                  <w:noWrap w:val="0"/>
                  <w:vAlign w:val="center"/>
                </w:tcPr>
                <w:p w14:paraId="16D2272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r>
            <w:tr w14:paraId="4CECC9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68" w:type="pct"/>
                  <w:noWrap w:val="0"/>
                  <w:vAlign w:val="center"/>
                </w:tcPr>
                <w:p w14:paraId="209DADD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噪声</w:t>
                  </w:r>
                </w:p>
              </w:tc>
              <w:tc>
                <w:tcPr>
                  <w:tcW w:w="747" w:type="pct"/>
                  <w:gridSpan w:val="2"/>
                  <w:noWrap w:val="0"/>
                  <w:vAlign w:val="center"/>
                </w:tcPr>
                <w:p w14:paraId="696C2B4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rPr>
                    <w:t>吹瓶机、环保风机、</w:t>
                  </w:r>
                  <w:r>
                    <w:rPr>
                      <w:rFonts w:hint="default" w:ascii="Times New Roman" w:hAnsi="Times New Roman" w:eastAsia="宋体" w:cs="Times New Roman"/>
                      <w:color w:val="auto"/>
                      <w:sz w:val="21"/>
                      <w:szCs w:val="21"/>
                      <w:lang w:val="en-US" w:eastAsia="zh-CN"/>
                    </w:rPr>
                    <w:t>冷水机</w:t>
                  </w:r>
                  <w:r>
                    <w:rPr>
                      <w:rFonts w:hint="default" w:ascii="Times New Roman" w:hAnsi="Times New Roman" w:eastAsia="宋体" w:cs="Times New Roman"/>
                      <w:color w:val="auto"/>
                      <w:sz w:val="21"/>
                      <w:szCs w:val="21"/>
                    </w:rPr>
                    <w:t>等</w:t>
                  </w:r>
                </w:p>
              </w:tc>
              <w:tc>
                <w:tcPr>
                  <w:tcW w:w="657" w:type="pct"/>
                  <w:noWrap w:val="0"/>
                  <w:vAlign w:val="center"/>
                </w:tcPr>
                <w:p w14:paraId="5786749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rPr>
                    <w:t>噪声</w:t>
                  </w:r>
                </w:p>
              </w:tc>
              <w:tc>
                <w:tcPr>
                  <w:tcW w:w="1244" w:type="pct"/>
                  <w:gridSpan w:val="2"/>
                  <w:noWrap w:val="0"/>
                  <w:vAlign w:val="center"/>
                </w:tcPr>
                <w:p w14:paraId="20EA94F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基础减振、厂房隔声</w:t>
                  </w:r>
                </w:p>
              </w:tc>
              <w:tc>
                <w:tcPr>
                  <w:tcW w:w="353" w:type="pct"/>
                  <w:noWrap w:val="0"/>
                  <w:vAlign w:val="center"/>
                </w:tcPr>
                <w:p w14:paraId="2D06B7B5">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362" w:type="pct"/>
                  <w:gridSpan w:val="2"/>
                  <w:noWrap w:val="0"/>
                  <w:vAlign w:val="center"/>
                </w:tcPr>
                <w:p w14:paraId="1CA670C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基础减振、厂房隔声</w:t>
                  </w:r>
                </w:p>
              </w:tc>
              <w:tc>
                <w:tcPr>
                  <w:tcW w:w="367" w:type="pct"/>
                  <w:noWrap w:val="0"/>
                  <w:vAlign w:val="center"/>
                </w:tcPr>
                <w:p w14:paraId="24F6B60B">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185423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68" w:type="pct"/>
                  <w:vMerge w:val="restart"/>
                  <w:noWrap w:val="0"/>
                  <w:vAlign w:val="center"/>
                </w:tcPr>
                <w:p w14:paraId="3E4B67C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rPr>
                    <w:t>固废</w:t>
                  </w:r>
                </w:p>
              </w:tc>
              <w:tc>
                <w:tcPr>
                  <w:tcW w:w="271" w:type="pct"/>
                  <w:vMerge w:val="restart"/>
                  <w:noWrap w:val="0"/>
                  <w:vAlign w:val="center"/>
                </w:tcPr>
                <w:p w14:paraId="2810EC2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rPr>
                    <w:t>一般固废</w:t>
                  </w:r>
                </w:p>
              </w:tc>
              <w:tc>
                <w:tcPr>
                  <w:tcW w:w="476" w:type="pct"/>
                  <w:noWrap w:val="0"/>
                  <w:vAlign w:val="center"/>
                </w:tcPr>
                <w:p w14:paraId="7048DA46">
                  <w:pPr>
                    <w:pStyle w:val="64"/>
                    <w:rPr>
                      <w:rFonts w:hint="default" w:ascii="Times New Roman" w:hAnsi="Times New Roman" w:eastAsia="宋体" w:cs="Times New Roman"/>
                      <w:color w:val="auto"/>
                      <w:sz w:val="21"/>
                      <w:szCs w:val="21"/>
                    </w:rPr>
                  </w:pPr>
                  <w:r>
                    <w:rPr>
                      <w:rFonts w:hint="eastAsia"/>
                      <w:color w:val="auto"/>
                      <w:sz w:val="21"/>
                      <w:szCs w:val="21"/>
                      <w:lang w:val="en-US" w:eastAsia="zh-CN"/>
                    </w:rPr>
                    <w:t>冷却工序</w:t>
                  </w:r>
                </w:p>
              </w:tc>
              <w:tc>
                <w:tcPr>
                  <w:tcW w:w="657" w:type="pct"/>
                  <w:noWrap w:val="0"/>
                  <w:vAlign w:val="center"/>
                </w:tcPr>
                <w:p w14:paraId="59640DE4">
                  <w:pPr>
                    <w:pStyle w:val="64"/>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不合格瓶胚</w:t>
                  </w:r>
                </w:p>
              </w:tc>
              <w:tc>
                <w:tcPr>
                  <w:tcW w:w="1244" w:type="pct"/>
                  <w:gridSpan w:val="2"/>
                  <w:vMerge w:val="restart"/>
                  <w:noWrap w:val="0"/>
                  <w:vAlign w:val="center"/>
                </w:tcPr>
                <w:p w14:paraId="0732D79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收集于一般固废暂存间暂存后，定期外售</w:t>
                  </w:r>
                </w:p>
              </w:tc>
              <w:tc>
                <w:tcPr>
                  <w:tcW w:w="353" w:type="pct"/>
                  <w:vMerge w:val="restart"/>
                  <w:noWrap w:val="0"/>
                  <w:vAlign w:val="center"/>
                </w:tcPr>
                <w:p w14:paraId="17376028">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362" w:type="pct"/>
                  <w:gridSpan w:val="2"/>
                  <w:noWrap w:val="0"/>
                  <w:vAlign w:val="center"/>
                </w:tcPr>
                <w:p w14:paraId="4477CBB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拟二期建设</w:t>
                  </w:r>
                </w:p>
              </w:tc>
              <w:tc>
                <w:tcPr>
                  <w:tcW w:w="367" w:type="pct"/>
                  <w:vMerge w:val="restart"/>
                  <w:noWrap w:val="0"/>
                  <w:vAlign w:val="center"/>
                </w:tcPr>
                <w:p w14:paraId="685980F9">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113A848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68" w:type="pct"/>
                  <w:vMerge w:val="continue"/>
                  <w:noWrap w:val="0"/>
                  <w:vAlign w:val="center"/>
                </w:tcPr>
                <w:p w14:paraId="1278A6F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271" w:type="pct"/>
                  <w:vMerge w:val="continue"/>
                  <w:noWrap w:val="0"/>
                  <w:vAlign w:val="center"/>
                </w:tcPr>
                <w:p w14:paraId="61B028B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476" w:type="pct"/>
                  <w:noWrap w:val="0"/>
                  <w:vAlign w:val="center"/>
                </w:tcPr>
                <w:p w14:paraId="72F34AD8">
                  <w:pPr>
                    <w:pStyle w:val="64"/>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rPr>
                    <w:t>吹瓶工序</w:t>
                  </w:r>
                </w:p>
              </w:tc>
              <w:tc>
                <w:tcPr>
                  <w:tcW w:w="657" w:type="pct"/>
                  <w:noWrap w:val="0"/>
                  <w:vAlign w:val="center"/>
                </w:tcPr>
                <w:p w14:paraId="141409A0">
                  <w:pPr>
                    <w:pStyle w:val="64"/>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不合格塑料瓶</w:t>
                  </w:r>
                </w:p>
              </w:tc>
              <w:tc>
                <w:tcPr>
                  <w:tcW w:w="1244" w:type="pct"/>
                  <w:gridSpan w:val="2"/>
                  <w:vMerge w:val="continue"/>
                  <w:noWrap w:val="0"/>
                  <w:vAlign w:val="center"/>
                </w:tcPr>
                <w:p w14:paraId="1E01900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353" w:type="pct"/>
                  <w:vMerge w:val="continue"/>
                  <w:noWrap w:val="0"/>
                  <w:vAlign w:val="center"/>
                </w:tcPr>
                <w:p w14:paraId="183B9D62">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auto"/>
                      <w:sz w:val="21"/>
                      <w:szCs w:val="21"/>
                      <w:lang w:val="en-US" w:eastAsia="zh-CN"/>
                    </w:rPr>
                  </w:pPr>
                </w:p>
              </w:tc>
              <w:tc>
                <w:tcPr>
                  <w:tcW w:w="1362" w:type="pct"/>
                  <w:gridSpan w:val="2"/>
                  <w:vMerge w:val="restart"/>
                  <w:noWrap w:val="0"/>
                  <w:vAlign w:val="center"/>
                </w:tcPr>
                <w:p w14:paraId="445DFED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收集于一般固废暂存间暂存后，定期外售</w:t>
                  </w:r>
                </w:p>
              </w:tc>
              <w:tc>
                <w:tcPr>
                  <w:tcW w:w="367" w:type="pct"/>
                  <w:vMerge w:val="continue"/>
                  <w:noWrap w:val="0"/>
                  <w:vAlign w:val="center"/>
                </w:tcPr>
                <w:p w14:paraId="766AA8BF">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auto"/>
                      <w:sz w:val="21"/>
                      <w:szCs w:val="21"/>
                      <w:lang w:val="en-US" w:eastAsia="zh-CN"/>
                    </w:rPr>
                  </w:pPr>
                </w:p>
              </w:tc>
            </w:tr>
            <w:tr w14:paraId="7CC070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68" w:type="pct"/>
                  <w:vMerge w:val="continue"/>
                  <w:noWrap w:val="0"/>
                  <w:vAlign w:val="center"/>
                </w:tcPr>
                <w:p w14:paraId="4D5827C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271" w:type="pct"/>
                  <w:vMerge w:val="continue"/>
                  <w:noWrap w:val="0"/>
                  <w:vAlign w:val="center"/>
                </w:tcPr>
                <w:p w14:paraId="33DF6BF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476" w:type="pct"/>
                  <w:noWrap w:val="0"/>
                  <w:vAlign w:val="center"/>
                </w:tcPr>
                <w:p w14:paraId="3060F3A4">
                  <w:pPr>
                    <w:pStyle w:val="64"/>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rPr>
                    <w:t>原料包装</w:t>
                  </w:r>
                </w:p>
              </w:tc>
              <w:tc>
                <w:tcPr>
                  <w:tcW w:w="657" w:type="pct"/>
                  <w:noWrap w:val="0"/>
                  <w:vAlign w:val="center"/>
                </w:tcPr>
                <w:p w14:paraId="30993FE1">
                  <w:pPr>
                    <w:pStyle w:val="64"/>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eastAsia="zh-CN"/>
                    </w:rPr>
                    <w:t>废纸箱</w:t>
                  </w:r>
                </w:p>
              </w:tc>
              <w:tc>
                <w:tcPr>
                  <w:tcW w:w="1244" w:type="pct"/>
                  <w:gridSpan w:val="2"/>
                  <w:vMerge w:val="continue"/>
                  <w:noWrap w:val="0"/>
                  <w:vAlign w:val="center"/>
                </w:tcPr>
                <w:p w14:paraId="6476AEE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353" w:type="pct"/>
                  <w:vMerge w:val="continue"/>
                  <w:noWrap w:val="0"/>
                  <w:vAlign w:val="center"/>
                </w:tcPr>
                <w:p w14:paraId="0359FBD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1362" w:type="pct"/>
                  <w:gridSpan w:val="2"/>
                  <w:vMerge w:val="continue"/>
                  <w:noWrap w:val="0"/>
                  <w:vAlign w:val="center"/>
                </w:tcPr>
                <w:p w14:paraId="40F72C6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367" w:type="pct"/>
                  <w:vMerge w:val="continue"/>
                  <w:noWrap w:val="0"/>
                  <w:vAlign w:val="center"/>
                </w:tcPr>
                <w:p w14:paraId="5918920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r>
            <w:tr w14:paraId="68BF3F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68" w:type="pct"/>
                  <w:vMerge w:val="continue"/>
                  <w:noWrap w:val="0"/>
                  <w:vAlign w:val="center"/>
                </w:tcPr>
                <w:p w14:paraId="3B4BC04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271" w:type="pct"/>
                  <w:vMerge w:val="restart"/>
                  <w:noWrap w:val="0"/>
                  <w:vAlign w:val="center"/>
                </w:tcPr>
                <w:p w14:paraId="33650835">
                  <w:pPr>
                    <w:pStyle w:val="64"/>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rPr>
                    <w:t>危险废物</w:t>
                  </w:r>
                </w:p>
              </w:tc>
              <w:tc>
                <w:tcPr>
                  <w:tcW w:w="476" w:type="pct"/>
                  <w:vMerge w:val="restart"/>
                  <w:noWrap w:val="0"/>
                  <w:vAlign w:val="center"/>
                </w:tcPr>
                <w:p w14:paraId="7849571E">
                  <w:pPr>
                    <w:pStyle w:val="64"/>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rPr>
                    <w:t>废气治理</w:t>
                  </w:r>
                </w:p>
              </w:tc>
              <w:tc>
                <w:tcPr>
                  <w:tcW w:w="657" w:type="pct"/>
                  <w:noWrap w:val="0"/>
                  <w:vAlign w:val="center"/>
                </w:tcPr>
                <w:p w14:paraId="5BDBB4B1">
                  <w:pPr>
                    <w:pStyle w:val="64"/>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rPr>
                    <w:t>废催化剂</w:t>
                  </w:r>
                </w:p>
              </w:tc>
              <w:tc>
                <w:tcPr>
                  <w:tcW w:w="1244" w:type="pct"/>
                  <w:gridSpan w:val="2"/>
                  <w:vMerge w:val="restart"/>
                  <w:noWrap w:val="0"/>
                  <w:vAlign w:val="center"/>
                </w:tcPr>
                <w:p w14:paraId="6CA2F4F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危废</w:t>
                  </w:r>
                  <w:r>
                    <w:rPr>
                      <w:rFonts w:hint="default" w:ascii="Times New Roman" w:hAnsi="Times New Roman" w:eastAsia="宋体" w:cs="Times New Roman"/>
                      <w:color w:val="auto"/>
                      <w:sz w:val="21"/>
                      <w:szCs w:val="21"/>
                      <w:lang w:val="en-US" w:eastAsia="zh-CN"/>
                    </w:rPr>
                    <w:t>贮存库</w:t>
                  </w:r>
                  <w:r>
                    <w:rPr>
                      <w:rFonts w:hint="default" w:ascii="Times New Roman" w:hAnsi="Times New Roman" w:eastAsia="宋体" w:cs="Times New Roman"/>
                      <w:color w:val="auto"/>
                      <w:sz w:val="21"/>
                      <w:szCs w:val="21"/>
                    </w:rPr>
                    <w:t>内暂存，定期委托有相应类别危废资质单位安全处置</w:t>
                  </w:r>
                </w:p>
              </w:tc>
              <w:tc>
                <w:tcPr>
                  <w:tcW w:w="353" w:type="pct"/>
                  <w:vMerge w:val="restart"/>
                  <w:noWrap w:val="0"/>
                  <w:vAlign w:val="center"/>
                </w:tcPr>
                <w:p w14:paraId="4AA19BD4">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362" w:type="pct"/>
                  <w:gridSpan w:val="2"/>
                  <w:vMerge w:val="restart"/>
                  <w:noWrap w:val="0"/>
                  <w:vAlign w:val="center"/>
                </w:tcPr>
                <w:p w14:paraId="2C94027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危废</w:t>
                  </w:r>
                  <w:r>
                    <w:rPr>
                      <w:rFonts w:hint="default" w:ascii="Times New Roman" w:hAnsi="Times New Roman" w:eastAsia="宋体" w:cs="Times New Roman"/>
                      <w:color w:val="auto"/>
                      <w:sz w:val="21"/>
                      <w:szCs w:val="21"/>
                      <w:lang w:val="en-US" w:eastAsia="zh-CN"/>
                    </w:rPr>
                    <w:t>贮存库</w:t>
                  </w:r>
                  <w:r>
                    <w:rPr>
                      <w:rFonts w:hint="default" w:ascii="Times New Roman" w:hAnsi="Times New Roman" w:eastAsia="宋体" w:cs="Times New Roman"/>
                      <w:color w:val="auto"/>
                      <w:sz w:val="21"/>
                      <w:szCs w:val="21"/>
                    </w:rPr>
                    <w:t>内暂存，定期委托有相应类别危废资质单位安全处置</w:t>
                  </w:r>
                </w:p>
              </w:tc>
              <w:tc>
                <w:tcPr>
                  <w:tcW w:w="367" w:type="pct"/>
                  <w:vMerge w:val="restart"/>
                  <w:noWrap w:val="0"/>
                  <w:vAlign w:val="center"/>
                </w:tcPr>
                <w:p w14:paraId="0A536B1A">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48DF29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68" w:type="pct"/>
                  <w:vMerge w:val="continue"/>
                  <w:noWrap w:val="0"/>
                  <w:vAlign w:val="center"/>
                </w:tcPr>
                <w:p w14:paraId="5E56341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271" w:type="pct"/>
                  <w:vMerge w:val="continue"/>
                  <w:noWrap w:val="0"/>
                  <w:vAlign w:val="center"/>
                </w:tcPr>
                <w:p w14:paraId="644FA60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476" w:type="pct"/>
                  <w:vMerge w:val="continue"/>
                  <w:noWrap w:val="0"/>
                  <w:vAlign w:val="center"/>
                </w:tcPr>
                <w:p w14:paraId="436E04E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p>
              </w:tc>
              <w:tc>
                <w:tcPr>
                  <w:tcW w:w="657" w:type="pct"/>
                  <w:noWrap w:val="0"/>
                  <w:vAlign w:val="center"/>
                </w:tcPr>
                <w:p w14:paraId="36614EBC">
                  <w:pPr>
                    <w:pStyle w:val="64"/>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rPr>
                    <w:t>废活性炭</w:t>
                  </w:r>
                </w:p>
              </w:tc>
              <w:tc>
                <w:tcPr>
                  <w:tcW w:w="1244" w:type="pct"/>
                  <w:gridSpan w:val="2"/>
                  <w:vMerge w:val="continue"/>
                  <w:noWrap w:val="0"/>
                  <w:vAlign w:val="center"/>
                </w:tcPr>
                <w:p w14:paraId="0C0CA1D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353" w:type="pct"/>
                  <w:vMerge w:val="continue"/>
                  <w:noWrap w:val="0"/>
                  <w:vAlign w:val="center"/>
                </w:tcPr>
                <w:p w14:paraId="7F31C87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1362" w:type="pct"/>
                  <w:gridSpan w:val="2"/>
                  <w:vMerge w:val="continue"/>
                  <w:noWrap w:val="0"/>
                  <w:vAlign w:val="center"/>
                </w:tcPr>
                <w:p w14:paraId="67D9C87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c>
                <w:tcPr>
                  <w:tcW w:w="367" w:type="pct"/>
                  <w:vMerge w:val="continue"/>
                  <w:noWrap w:val="0"/>
                  <w:vAlign w:val="center"/>
                </w:tcPr>
                <w:p w14:paraId="34E49DF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rPr>
                  </w:pPr>
                </w:p>
              </w:tc>
            </w:tr>
            <w:tr w14:paraId="43027D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68" w:type="pct"/>
                  <w:noWrap w:val="0"/>
                  <w:vAlign w:val="center"/>
                </w:tcPr>
                <w:p w14:paraId="794A7E8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pt-BR"/>
                    </w:rPr>
                  </w:pPr>
                  <w:r>
                    <w:rPr>
                      <w:rFonts w:ascii="Times New Roman" w:hAnsi="Times New Roman" w:eastAsia="宋体"/>
                      <w:color w:val="auto"/>
                      <w:sz w:val="21"/>
                      <w:szCs w:val="21"/>
                    </w:rPr>
                    <w:t>合计</w:t>
                  </w:r>
                </w:p>
              </w:tc>
              <w:tc>
                <w:tcPr>
                  <w:tcW w:w="2648" w:type="pct"/>
                  <w:gridSpan w:val="5"/>
                  <w:noWrap w:val="0"/>
                  <w:vAlign w:val="center"/>
                </w:tcPr>
                <w:p w14:paraId="22ED1F1F">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53" w:type="pct"/>
                  <w:noWrap w:val="0"/>
                  <w:vAlign w:val="center"/>
                </w:tcPr>
                <w:p w14:paraId="02D2E92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w:t>
                  </w:r>
                </w:p>
              </w:tc>
              <w:tc>
                <w:tcPr>
                  <w:tcW w:w="1362" w:type="pct"/>
                  <w:gridSpan w:val="2"/>
                  <w:noWrap w:val="0"/>
                  <w:vAlign w:val="center"/>
                </w:tcPr>
                <w:p w14:paraId="1A943EEB">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67" w:type="pct"/>
                  <w:noWrap w:val="0"/>
                  <w:vAlign w:val="center"/>
                </w:tcPr>
                <w:p w14:paraId="5831F1B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w:t>
                  </w:r>
                </w:p>
              </w:tc>
            </w:tr>
          </w:tbl>
          <w:p w14:paraId="12EE9218">
            <w:pPr>
              <w:spacing w:after="0" w:line="460" w:lineRule="exact"/>
              <w:ind w:firstLine="482" w:firstLineChars="200"/>
              <w:rPr>
                <w:rFonts w:eastAsia="宋体"/>
                <w:b/>
                <w:bCs/>
                <w:color w:val="auto"/>
                <w:kern w:val="2"/>
                <w:sz w:val="24"/>
                <w:szCs w:val="20"/>
                <w:highlight w:val="yellow"/>
              </w:rPr>
            </w:pPr>
            <w:r>
              <w:rPr>
                <w:rFonts w:eastAsia="宋体"/>
                <w:b/>
                <w:bCs/>
                <w:color w:val="auto"/>
                <w:kern w:val="2"/>
                <w:sz w:val="24"/>
                <w:szCs w:val="20"/>
              </w:rPr>
              <w:t>6、厂区平面布置及监测点位图</w:t>
            </w:r>
          </w:p>
          <w:p w14:paraId="504FCD3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eastAsia="宋体"/>
                <w:color w:val="auto"/>
                <w:kern w:val="2"/>
                <w:sz w:val="24"/>
                <w:szCs w:val="20"/>
              </w:rPr>
            </w:pPr>
            <w:r>
              <w:rPr>
                <w:rFonts w:eastAsia="宋体"/>
                <w:b/>
                <w:bCs/>
                <w:color w:val="auto"/>
                <w:kern w:val="2"/>
                <w:sz w:val="24"/>
                <w:szCs w:val="20"/>
                <w:highlight w:val="none"/>
              </w:rPr>
              <w:object>
                <v:shape id="_x0000_i1030" o:spt="75" type="#_x0000_t75" style="height:257.45pt;width:414.95pt;" o:ole="t" filled="f" o:preferrelative="t" stroked="t" coordsize="21600,21600">
                  <v:path/>
                  <v:fill on="f" focussize="0,0"/>
                  <v:stroke color="#000000"/>
                  <v:imagedata r:id="rId20" o:title=""/>
                  <o:lock v:ext="edit" aspectratio="f"/>
                  <w10:wrap type="none"/>
                  <w10:anchorlock/>
                </v:shape>
                <o:OLEObject Type="Embed" ProgID="Visio.Drawing.15" ShapeID="_x0000_i1030" DrawAspect="Content" ObjectID="_1468075730" r:id="rId19">
                  <o:LockedField>false</o:LockedField>
                </o:OLEObject>
              </w:object>
            </w:r>
            <w:r>
              <w:rPr>
                <w:rFonts w:eastAsia="宋体"/>
                <w:b/>
                <w:bCs/>
                <w:color w:val="auto"/>
                <w:kern w:val="2"/>
                <w:sz w:val="24"/>
                <w:szCs w:val="20"/>
                <w:highlight w:val="none"/>
              </w:rPr>
              <w:t xml:space="preserve">图7    </w:t>
            </w:r>
            <w:bookmarkStart w:id="12" w:name="_Hlk123228781"/>
            <w:r>
              <w:rPr>
                <w:rFonts w:eastAsia="宋体"/>
                <w:b/>
                <w:bCs/>
                <w:color w:val="auto"/>
                <w:kern w:val="2"/>
                <w:sz w:val="24"/>
                <w:szCs w:val="20"/>
                <w:highlight w:val="none"/>
              </w:rPr>
              <w:t>本项目监测点位</w:t>
            </w:r>
            <w:bookmarkEnd w:id="12"/>
          </w:p>
          <w:p w14:paraId="5242B7E3">
            <w:pPr>
              <w:spacing w:after="0" w:line="460" w:lineRule="exact"/>
              <w:ind w:firstLine="482" w:firstLineChars="200"/>
              <w:rPr>
                <w:rFonts w:ascii="Times New Roman" w:hAnsi="Times New Roman" w:eastAsia="宋体" w:cs="Times New Roman"/>
                <w:b/>
                <w:bCs/>
                <w:color w:val="auto"/>
                <w:kern w:val="2"/>
                <w:sz w:val="24"/>
                <w:szCs w:val="20"/>
              </w:rPr>
            </w:pPr>
            <w:r>
              <w:rPr>
                <w:rFonts w:ascii="Times New Roman" w:hAnsi="Times New Roman" w:eastAsia="宋体" w:cs="Times New Roman"/>
                <w:b/>
                <w:bCs/>
                <w:color w:val="auto"/>
                <w:kern w:val="2"/>
                <w:sz w:val="24"/>
                <w:szCs w:val="20"/>
              </w:rPr>
              <w:t>7、项目变动情况</w:t>
            </w:r>
          </w:p>
          <w:p w14:paraId="64E80CEA">
            <w:pPr>
              <w:spacing w:after="0" w:line="460" w:lineRule="exact"/>
              <w:ind w:firstLine="480" w:firstLineChars="200"/>
              <w:jc w:val="both"/>
              <w:rPr>
                <w:rFonts w:eastAsia="宋体"/>
                <w:color w:val="auto"/>
                <w:kern w:val="2"/>
                <w:sz w:val="24"/>
                <w:szCs w:val="20"/>
              </w:rPr>
            </w:pPr>
            <w:r>
              <w:rPr>
                <w:rFonts w:hint="eastAsia" w:eastAsia="宋体"/>
                <w:color w:val="auto"/>
                <w:kern w:val="2"/>
                <w:sz w:val="24"/>
                <w:szCs w:val="20"/>
              </w:rPr>
              <w:t>本项目实际建设情况与《污染影响类建设项目重大变动清单（试行）的通知》（环办环评函[2020]688号）以下简称《通知》的对比分析：</w:t>
            </w:r>
          </w:p>
          <w:p w14:paraId="35445648">
            <w:pPr>
              <w:spacing w:after="0" w:line="480" w:lineRule="exact"/>
              <w:ind w:firstLine="480" w:firstLineChars="200"/>
              <w:textAlignment w:val="baseline"/>
              <w:rPr>
                <w:rFonts w:eastAsia="黑体"/>
                <w:color w:val="auto"/>
                <w:sz w:val="24"/>
                <w:szCs w:val="21"/>
              </w:rPr>
            </w:pPr>
            <w:r>
              <w:rPr>
                <w:rFonts w:eastAsia="黑体"/>
                <w:color w:val="auto"/>
                <w:sz w:val="24"/>
                <w:szCs w:val="21"/>
              </w:rPr>
              <w:t>表</w:t>
            </w:r>
            <w:r>
              <w:rPr>
                <w:rFonts w:hint="eastAsia" w:eastAsia="黑体"/>
                <w:color w:val="auto"/>
                <w:sz w:val="24"/>
                <w:szCs w:val="21"/>
              </w:rPr>
              <w:t xml:space="preserve">9 </w:t>
            </w:r>
            <w:r>
              <w:rPr>
                <w:rFonts w:eastAsia="黑体"/>
                <w:color w:val="auto"/>
                <w:sz w:val="24"/>
                <w:szCs w:val="21"/>
              </w:rPr>
              <w:t xml:space="preserve">              本项目与《通知》的对比分析</w:t>
            </w:r>
          </w:p>
          <w:tbl>
            <w:tblPr>
              <w:tblStyle w:val="18"/>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33"/>
              <w:gridCol w:w="3550"/>
              <w:gridCol w:w="2413"/>
              <w:gridCol w:w="1110"/>
            </w:tblGrid>
            <w:tr w14:paraId="0AA0C2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5058" w:type="dxa"/>
                  <w:gridSpan w:val="2"/>
                  <w:vAlign w:val="center"/>
                </w:tcPr>
                <w:p w14:paraId="19AEE9DE">
                  <w:pPr>
                    <w:spacing w:after="0"/>
                    <w:jc w:val="center"/>
                    <w:rPr>
                      <w:rFonts w:hint="eastAsia" w:hAnsiTheme="majorEastAsia" w:eastAsiaTheme="majorEastAsia"/>
                      <w:b/>
                      <w:bCs/>
                      <w:color w:val="auto"/>
                      <w:sz w:val="21"/>
                      <w:szCs w:val="21"/>
                    </w:rPr>
                  </w:pPr>
                  <w:r>
                    <w:rPr>
                      <w:rFonts w:hAnsiTheme="majorEastAsia" w:eastAsiaTheme="majorEastAsia"/>
                      <w:b/>
                      <w:bCs/>
                      <w:color w:val="auto"/>
                      <w:sz w:val="21"/>
                      <w:szCs w:val="21"/>
                    </w:rPr>
                    <w:t>通知内容</w:t>
                  </w:r>
                </w:p>
              </w:tc>
              <w:tc>
                <w:tcPr>
                  <w:tcW w:w="2551" w:type="dxa"/>
                  <w:vAlign w:val="center"/>
                </w:tcPr>
                <w:p w14:paraId="664E97BA">
                  <w:pPr>
                    <w:spacing w:after="0"/>
                    <w:jc w:val="center"/>
                    <w:rPr>
                      <w:rFonts w:hint="eastAsia" w:hAnsiTheme="majorEastAsia" w:eastAsiaTheme="majorEastAsia"/>
                      <w:b/>
                      <w:bCs/>
                      <w:color w:val="auto"/>
                      <w:sz w:val="21"/>
                      <w:szCs w:val="21"/>
                    </w:rPr>
                  </w:pPr>
                  <w:r>
                    <w:rPr>
                      <w:rFonts w:hAnsiTheme="majorEastAsia" w:eastAsiaTheme="majorEastAsia"/>
                      <w:b/>
                      <w:bCs/>
                      <w:color w:val="auto"/>
                      <w:sz w:val="21"/>
                      <w:szCs w:val="21"/>
                    </w:rPr>
                    <w:t>本项目情况</w:t>
                  </w:r>
                </w:p>
              </w:tc>
              <w:tc>
                <w:tcPr>
                  <w:tcW w:w="1172" w:type="dxa"/>
                  <w:vAlign w:val="center"/>
                </w:tcPr>
                <w:p w14:paraId="701FAF9B">
                  <w:pPr>
                    <w:spacing w:after="0"/>
                    <w:jc w:val="center"/>
                    <w:rPr>
                      <w:rFonts w:hint="eastAsia" w:hAnsiTheme="majorEastAsia" w:eastAsiaTheme="majorEastAsia"/>
                      <w:b/>
                      <w:bCs/>
                      <w:color w:val="auto"/>
                      <w:sz w:val="21"/>
                      <w:szCs w:val="21"/>
                    </w:rPr>
                  </w:pPr>
                  <w:r>
                    <w:rPr>
                      <w:rFonts w:hAnsiTheme="majorEastAsia" w:eastAsiaTheme="majorEastAsia"/>
                      <w:b/>
                      <w:bCs/>
                      <w:color w:val="auto"/>
                      <w:sz w:val="21"/>
                      <w:szCs w:val="21"/>
                    </w:rPr>
                    <w:t>对比结果</w:t>
                  </w:r>
                </w:p>
              </w:tc>
            </w:tr>
            <w:tr w14:paraId="1B1825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Align w:val="center"/>
                </w:tcPr>
                <w:p w14:paraId="5460BEB3">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性质</w:t>
                  </w:r>
                </w:p>
              </w:tc>
              <w:tc>
                <w:tcPr>
                  <w:tcW w:w="3753" w:type="dxa"/>
                  <w:vAlign w:val="center"/>
                </w:tcPr>
                <w:p w14:paraId="1E80C321">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1、建设项目开发、使用功能发生变化的。</w:t>
                  </w:r>
                </w:p>
              </w:tc>
              <w:tc>
                <w:tcPr>
                  <w:tcW w:w="2551" w:type="dxa"/>
                  <w:vAlign w:val="center"/>
                </w:tcPr>
                <w:p w14:paraId="4CCA8442">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无变动</w:t>
                  </w:r>
                </w:p>
              </w:tc>
              <w:tc>
                <w:tcPr>
                  <w:tcW w:w="1172" w:type="dxa"/>
                  <w:vAlign w:val="center"/>
                </w:tcPr>
                <w:p w14:paraId="1040A575">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不属于</w:t>
                  </w:r>
                </w:p>
              </w:tc>
            </w:tr>
            <w:tr w14:paraId="6BD91BE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Merge w:val="restart"/>
                  <w:vAlign w:val="center"/>
                </w:tcPr>
                <w:p w14:paraId="08743704">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规模</w:t>
                  </w:r>
                </w:p>
              </w:tc>
              <w:tc>
                <w:tcPr>
                  <w:tcW w:w="3753" w:type="dxa"/>
                  <w:vAlign w:val="center"/>
                </w:tcPr>
                <w:p w14:paraId="6D6F4B39">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2、生产、处置或储存能力增大30%及以上的。</w:t>
                  </w:r>
                </w:p>
              </w:tc>
              <w:tc>
                <w:tcPr>
                  <w:tcW w:w="2551" w:type="dxa"/>
                  <w:vMerge w:val="restart"/>
                  <w:vAlign w:val="center"/>
                </w:tcPr>
                <w:p w14:paraId="61A5C171">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无变动</w:t>
                  </w:r>
                </w:p>
              </w:tc>
              <w:tc>
                <w:tcPr>
                  <w:tcW w:w="1172" w:type="dxa"/>
                  <w:vMerge w:val="restart"/>
                  <w:vAlign w:val="center"/>
                </w:tcPr>
                <w:p w14:paraId="2EFAF015">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不属于</w:t>
                  </w:r>
                </w:p>
              </w:tc>
            </w:tr>
            <w:tr w14:paraId="265599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Merge w:val="continue"/>
                  <w:vAlign w:val="center"/>
                </w:tcPr>
                <w:p w14:paraId="0310A206">
                  <w:pPr>
                    <w:spacing w:after="0"/>
                    <w:jc w:val="center"/>
                    <w:rPr>
                      <w:rFonts w:hint="eastAsia" w:hAnsiTheme="majorEastAsia" w:eastAsiaTheme="majorEastAsia"/>
                      <w:color w:val="auto"/>
                      <w:sz w:val="21"/>
                      <w:szCs w:val="21"/>
                      <w:highlight w:val="yellow"/>
                    </w:rPr>
                  </w:pPr>
                </w:p>
              </w:tc>
              <w:tc>
                <w:tcPr>
                  <w:tcW w:w="3753" w:type="dxa"/>
                  <w:vAlign w:val="center"/>
                </w:tcPr>
                <w:p w14:paraId="302474B5">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3、生产、处置或储存能力增大，导致废水第一类污染物排放量增加的。</w:t>
                  </w:r>
                </w:p>
              </w:tc>
              <w:tc>
                <w:tcPr>
                  <w:tcW w:w="2551" w:type="dxa"/>
                  <w:vMerge w:val="continue"/>
                  <w:vAlign w:val="center"/>
                </w:tcPr>
                <w:p w14:paraId="019E03E6">
                  <w:pPr>
                    <w:jc w:val="center"/>
                    <w:rPr>
                      <w:rFonts w:hint="eastAsia" w:hAnsiTheme="majorEastAsia" w:eastAsiaTheme="majorEastAsia"/>
                      <w:color w:val="auto"/>
                      <w:sz w:val="21"/>
                      <w:szCs w:val="21"/>
                    </w:rPr>
                  </w:pPr>
                </w:p>
              </w:tc>
              <w:tc>
                <w:tcPr>
                  <w:tcW w:w="1172" w:type="dxa"/>
                  <w:vMerge w:val="continue"/>
                  <w:vAlign w:val="center"/>
                </w:tcPr>
                <w:p w14:paraId="26084541">
                  <w:pPr>
                    <w:jc w:val="center"/>
                    <w:rPr>
                      <w:rFonts w:hint="eastAsia" w:hAnsiTheme="majorEastAsia" w:eastAsiaTheme="majorEastAsia"/>
                      <w:color w:val="auto"/>
                      <w:sz w:val="21"/>
                      <w:szCs w:val="21"/>
                    </w:rPr>
                  </w:pPr>
                </w:p>
              </w:tc>
            </w:tr>
            <w:tr w14:paraId="238099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Merge w:val="continue"/>
                  <w:vAlign w:val="center"/>
                </w:tcPr>
                <w:p w14:paraId="3CDC21F5">
                  <w:pPr>
                    <w:spacing w:after="0"/>
                    <w:jc w:val="center"/>
                    <w:rPr>
                      <w:rFonts w:hint="eastAsia" w:hAnsiTheme="majorEastAsia" w:eastAsiaTheme="majorEastAsia"/>
                      <w:color w:val="auto"/>
                      <w:sz w:val="21"/>
                      <w:szCs w:val="21"/>
                      <w:highlight w:val="yellow"/>
                    </w:rPr>
                  </w:pPr>
                </w:p>
              </w:tc>
              <w:tc>
                <w:tcPr>
                  <w:tcW w:w="3753" w:type="dxa"/>
                  <w:vAlign w:val="center"/>
                </w:tcPr>
                <w:p w14:paraId="640F7A9F">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551" w:type="dxa"/>
                  <w:vMerge w:val="continue"/>
                  <w:vAlign w:val="center"/>
                </w:tcPr>
                <w:p w14:paraId="40E01A5A">
                  <w:pPr>
                    <w:jc w:val="center"/>
                    <w:rPr>
                      <w:rFonts w:hint="eastAsia" w:hAnsiTheme="majorEastAsia" w:eastAsiaTheme="majorEastAsia"/>
                      <w:color w:val="auto"/>
                      <w:sz w:val="21"/>
                      <w:szCs w:val="21"/>
                    </w:rPr>
                  </w:pPr>
                </w:p>
              </w:tc>
              <w:tc>
                <w:tcPr>
                  <w:tcW w:w="1172" w:type="dxa"/>
                  <w:vMerge w:val="continue"/>
                  <w:vAlign w:val="center"/>
                </w:tcPr>
                <w:p w14:paraId="705FBA72">
                  <w:pPr>
                    <w:jc w:val="center"/>
                    <w:rPr>
                      <w:rFonts w:hint="eastAsia" w:hAnsiTheme="majorEastAsia" w:eastAsiaTheme="majorEastAsia"/>
                      <w:color w:val="auto"/>
                      <w:sz w:val="21"/>
                      <w:szCs w:val="21"/>
                    </w:rPr>
                  </w:pPr>
                </w:p>
              </w:tc>
            </w:tr>
            <w:tr w14:paraId="7D4E7F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Align w:val="center"/>
                </w:tcPr>
                <w:p w14:paraId="17976226">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地点</w:t>
                  </w:r>
                </w:p>
              </w:tc>
              <w:tc>
                <w:tcPr>
                  <w:tcW w:w="3753" w:type="dxa"/>
                  <w:vAlign w:val="center"/>
                </w:tcPr>
                <w:p w14:paraId="259D07E6">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5、重新选址；在原厂址附近调整（包括总平面布置变化）导致环境防护距离范围变化且新增敏感点的。</w:t>
                  </w:r>
                </w:p>
              </w:tc>
              <w:tc>
                <w:tcPr>
                  <w:tcW w:w="2551" w:type="dxa"/>
                  <w:vAlign w:val="center"/>
                </w:tcPr>
                <w:p w14:paraId="1444CFF5">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无变动</w:t>
                  </w:r>
                </w:p>
              </w:tc>
              <w:tc>
                <w:tcPr>
                  <w:tcW w:w="1172" w:type="dxa"/>
                  <w:vAlign w:val="center"/>
                </w:tcPr>
                <w:p w14:paraId="2EEAB5D5">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不属于</w:t>
                  </w:r>
                </w:p>
              </w:tc>
            </w:tr>
            <w:tr w14:paraId="190F18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Merge w:val="restart"/>
                  <w:vAlign w:val="center"/>
                </w:tcPr>
                <w:p w14:paraId="47776FEA">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生产工艺</w:t>
                  </w:r>
                </w:p>
              </w:tc>
              <w:tc>
                <w:tcPr>
                  <w:tcW w:w="3753" w:type="dxa"/>
                  <w:vAlign w:val="center"/>
                </w:tcPr>
                <w:p w14:paraId="4C0D390D">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6、新增产品品种或生产工艺（含主要生产装置、设备及配套设施）、主要原辅材料、燃料变化，导致以下情形之一：</w:t>
                  </w:r>
                </w:p>
                <w:p w14:paraId="325287C8">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（1）新增排放污染物种类的（毒性、挥发性降低的除外）；</w:t>
                  </w:r>
                </w:p>
                <w:p w14:paraId="232FD841">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（2）位于环境质量不达标区的建设项目相应污染物排放量增加的；</w:t>
                  </w:r>
                </w:p>
                <w:p w14:paraId="7D87EBDC">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（3）废水第一类污染物排放量增加的；</w:t>
                  </w:r>
                </w:p>
                <w:p w14:paraId="6270443E">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（4）其他污染物排放量增加10%及以上的。</w:t>
                  </w:r>
                </w:p>
              </w:tc>
              <w:tc>
                <w:tcPr>
                  <w:tcW w:w="2551" w:type="dxa"/>
                  <w:vAlign w:val="center"/>
                </w:tcPr>
                <w:p w14:paraId="399B41A3">
                  <w:pPr>
                    <w:spacing w:after="0"/>
                    <w:jc w:val="both"/>
                    <w:rPr>
                      <w:rFonts w:hint="default" w:hAnsiTheme="majorEastAsia" w:eastAsiaTheme="majorEastAsia"/>
                      <w:color w:val="auto"/>
                      <w:sz w:val="21"/>
                      <w:szCs w:val="21"/>
                      <w:lang w:val="en-US"/>
                    </w:rPr>
                  </w:pPr>
                  <w:r>
                    <w:rPr>
                      <w:rFonts w:hint="eastAsia" w:hAnsiTheme="majorEastAsia" w:eastAsiaTheme="majorEastAsia"/>
                      <w:color w:val="auto"/>
                      <w:sz w:val="21"/>
                      <w:szCs w:val="21"/>
                      <w:lang w:val="pt-BR"/>
                    </w:rPr>
                    <w:t>本项目进行分期建设，</w:t>
                  </w:r>
                  <w:r>
                    <w:rPr>
                      <w:rFonts w:hint="default" w:ascii="Times New Roman" w:hAnsi="Times New Roman" w:eastAsia="宋体" w:cs="Times New Roman"/>
                      <w:color w:val="auto"/>
                      <w:sz w:val="21"/>
                      <w:szCs w:val="21"/>
                      <w:lang w:val="en-US" w:eastAsia="zh-CN"/>
                    </w:rPr>
                    <w:t>本次一期仅建设</w:t>
                  </w:r>
                  <w:r>
                    <w:rPr>
                      <w:rFonts w:hint="default" w:ascii="Times New Roman" w:hAnsi="Times New Roman" w:eastAsia="宋体" w:cs="Times New Roman"/>
                      <w:color w:val="auto"/>
                      <w:sz w:val="21"/>
                      <w:szCs w:val="21"/>
                    </w:rPr>
                    <w:t>年产</w:t>
                  </w:r>
                  <w:r>
                    <w:rPr>
                      <w:rFonts w:hint="default" w:ascii="Times New Roman" w:hAnsi="Times New Roman" w:eastAsia="宋体" w:cs="Times New Roman"/>
                      <w:color w:val="auto"/>
                      <w:sz w:val="21"/>
                      <w:szCs w:val="21"/>
                      <w:lang w:val="en-US" w:eastAsia="zh-CN"/>
                    </w:rPr>
                    <w:t>6000</w:t>
                  </w:r>
                  <w:r>
                    <w:rPr>
                      <w:rFonts w:hint="default" w:ascii="Times New Roman" w:hAnsi="Times New Roman" w:eastAsia="宋体" w:cs="Times New Roman"/>
                      <w:color w:val="auto"/>
                      <w:sz w:val="21"/>
                      <w:szCs w:val="21"/>
                    </w:rPr>
                    <w:t>万只塑料</w:t>
                  </w:r>
                  <w:r>
                    <w:rPr>
                      <w:rFonts w:hint="default" w:ascii="Times New Roman" w:hAnsi="Times New Roman" w:eastAsia="宋体" w:cs="Times New Roman"/>
                      <w:color w:val="auto"/>
                      <w:sz w:val="21"/>
                      <w:szCs w:val="21"/>
                      <w:lang w:val="en-US" w:eastAsia="zh-CN"/>
                    </w:rPr>
                    <w:t>瓶吹塑生产线</w:t>
                  </w:r>
                  <w:r>
                    <w:rPr>
                      <w:rFonts w:hint="eastAsia" w:hAnsiTheme="majorEastAsia" w:eastAsiaTheme="majorEastAsia"/>
                      <w:color w:val="auto"/>
                      <w:sz w:val="21"/>
                      <w:szCs w:val="21"/>
                      <w:lang w:val="pt-BR" w:eastAsia="zh-CN"/>
                    </w:rPr>
                    <w:t>，</w:t>
                  </w:r>
                  <w:r>
                    <w:rPr>
                      <w:rFonts w:hint="eastAsia" w:hAnsiTheme="majorEastAsia" w:eastAsiaTheme="majorEastAsia"/>
                      <w:color w:val="auto"/>
                      <w:sz w:val="21"/>
                      <w:szCs w:val="21"/>
                      <w:lang w:val="pt-BR"/>
                    </w:rPr>
                    <w:t>其余为</w:t>
                  </w:r>
                  <w:r>
                    <w:rPr>
                      <w:rFonts w:hint="eastAsia" w:hAnsiTheme="majorEastAsia" w:eastAsiaTheme="majorEastAsia"/>
                      <w:color w:val="auto"/>
                      <w:sz w:val="21"/>
                      <w:szCs w:val="21"/>
                      <w:lang w:val="en-US" w:eastAsia="zh-CN"/>
                    </w:rPr>
                    <w:t>二</w:t>
                  </w:r>
                  <w:r>
                    <w:rPr>
                      <w:rFonts w:hint="eastAsia" w:hAnsiTheme="majorEastAsia" w:eastAsiaTheme="majorEastAsia"/>
                      <w:color w:val="auto"/>
                      <w:sz w:val="21"/>
                      <w:szCs w:val="21"/>
                      <w:lang w:val="pt-BR"/>
                    </w:rPr>
                    <w:t>期建设内容</w:t>
                  </w:r>
                  <w:r>
                    <w:rPr>
                      <w:rFonts w:hint="eastAsia" w:hAnsiTheme="majorEastAsia" w:eastAsiaTheme="majorEastAsia"/>
                      <w:color w:val="auto"/>
                      <w:sz w:val="21"/>
                      <w:szCs w:val="21"/>
                      <w:lang w:val="pt-BR" w:eastAsia="zh-CN"/>
                    </w:rPr>
                    <w:t>。</w:t>
                  </w:r>
                </w:p>
              </w:tc>
              <w:tc>
                <w:tcPr>
                  <w:tcW w:w="1172" w:type="dxa"/>
                  <w:vAlign w:val="center"/>
                </w:tcPr>
                <w:p w14:paraId="22119F0A">
                  <w:pPr>
                    <w:tabs>
                      <w:tab w:val="left" w:pos="510"/>
                      <w:tab w:val="center" w:pos="1259"/>
                    </w:tabs>
                    <w:spacing w:after="0"/>
                    <w:jc w:val="center"/>
                    <w:rPr>
                      <w:rFonts w:hint="eastAsia" w:hAnsiTheme="majorEastAsia" w:eastAsiaTheme="majorEastAsia"/>
                      <w:color w:val="auto"/>
                      <w:sz w:val="21"/>
                      <w:szCs w:val="21"/>
                    </w:rPr>
                  </w:pPr>
                  <w:r>
                    <w:rPr>
                      <w:rFonts w:hAnsiTheme="majorEastAsia" w:eastAsiaTheme="majorEastAsia"/>
                      <w:color w:val="auto"/>
                      <w:sz w:val="21"/>
                      <w:szCs w:val="21"/>
                    </w:rPr>
                    <w:t>不属于</w:t>
                  </w:r>
                </w:p>
              </w:tc>
            </w:tr>
            <w:tr w14:paraId="7600FF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Merge w:val="continue"/>
                  <w:vAlign w:val="center"/>
                </w:tcPr>
                <w:p w14:paraId="732EA65A">
                  <w:pPr>
                    <w:spacing w:after="0"/>
                    <w:jc w:val="center"/>
                    <w:rPr>
                      <w:rFonts w:hint="eastAsia" w:hAnsiTheme="majorEastAsia" w:eastAsiaTheme="majorEastAsia"/>
                      <w:color w:val="auto"/>
                      <w:sz w:val="21"/>
                      <w:szCs w:val="21"/>
                      <w:highlight w:val="yellow"/>
                    </w:rPr>
                  </w:pPr>
                </w:p>
              </w:tc>
              <w:tc>
                <w:tcPr>
                  <w:tcW w:w="3753" w:type="dxa"/>
                  <w:vAlign w:val="center"/>
                </w:tcPr>
                <w:p w14:paraId="5FB0BA90">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7、物料运输、装卸、贮存方式变化，导致大气污染物无组织排放量增加10%及以上的。</w:t>
                  </w:r>
                </w:p>
              </w:tc>
              <w:tc>
                <w:tcPr>
                  <w:tcW w:w="2551" w:type="dxa"/>
                  <w:vAlign w:val="center"/>
                </w:tcPr>
                <w:p w14:paraId="19F2077F">
                  <w:pPr>
                    <w:spacing w:after="0"/>
                    <w:jc w:val="center"/>
                    <w:rPr>
                      <w:rFonts w:hint="eastAsia" w:hAnsiTheme="majorEastAsia" w:eastAsiaTheme="majorEastAsia"/>
                      <w:color w:val="auto"/>
                      <w:sz w:val="21"/>
                      <w:szCs w:val="21"/>
                    </w:rPr>
                  </w:pPr>
                  <w:r>
                    <w:rPr>
                      <w:rFonts w:hint="eastAsia" w:hAnsiTheme="majorEastAsia" w:eastAsiaTheme="majorEastAsia"/>
                      <w:color w:val="auto"/>
                      <w:sz w:val="21"/>
                      <w:szCs w:val="21"/>
                    </w:rPr>
                    <w:t>无变动</w:t>
                  </w:r>
                </w:p>
              </w:tc>
              <w:tc>
                <w:tcPr>
                  <w:tcW w:w="1172" w:type="dxa"/>
                  <w:vAlign w:val="center"/>
                </w:tcPr>
                <w:p w14:paraId="75165D2A">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不属于</w:t>
                  </w:r>
                </w:p>
              </w:tc>
            </w:tr>
            <w:tr w14:paraId="414953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Merge w:val="restart"/>
                  <w:vAlign w:val="center"/>
                </w:tcPr>
                <w:p w14:paraId="1F61684F">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环境保护措施</w:t>
                  </w:r>
                </w:p>
              </w:tc>
              <w:tc>
                <w:tcPr>
                  <w:tcW w:w="3753" w:type="dxa"/>
                  <w:vAlign w:val="center"/>
                </w:tcPr>
                <w:p w14:paraId="76EB71A4">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8、废气、废水污染防治措施变化，导致第6条中所列情形之一（废气无组织排放改为有组织排放、污染防治措施强化或改进的除外）或大气污染物无组织排放量增加10%及以上的。</w:t>
                  </w:r>
                </w:p>
              </w:tc>
              <w:tc>
                <w:tcPr>
                  <w:tcW w:w="2551" w:type="dxa"/>
                  <w:vAlign w:val="center"/>
                </w:tcPr>
                <w:p w14:paraId="4173A3B4">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无变动</w:t>
                  </w:r>
                </w:p>
              </w:tc>
              <w:tc>
                <w:tcPr>
                  <w:tcW w:w="1172" w:type="dxa"/>
                  <w:vAlign w:val="center"/>
                </w:tcPr>
                <w:p w14:paraId="0C5C0570">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不属于</w:t>
                  </w:r>
                </w:p>
              </w:tc>
            </w:tr>
            <w:tr w14:paraId="3896EE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Merge w:val="continue"/>
                  <w:vAlign w:val="center"/>
                </w:tcPr>
                <w:p w14:paraId="3510AB32">
                  <w:pPr>
                    <w:spacing w:after="0"/>
                    <w:jc w:val="center"/>
                    <w:rPr>
                      <w:rFonts w:hint="eastAsia" w:hAnsiTheme="majorEastAsia" w:eastAsiaTheme="majorEastAsia"/>
                      <w:color w:val="auto"/>
                      <w:sz w:val="21"/>
                      <w:szCs w:val="21"/>
                    </w:rPr>
                  </w:pPr>
                </w:p>
              </w:tc>
              <w:tc>
                <w:tcPr>
                  <w:tcW w:w="3753" w:type="dxa"/>
                  <w:vAlign w:val="center"/>
                </w:tcPr>
                <w:p w14:paraId="5B8479C6">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9、新增废水直接排放口；废水由间接排放改为直接排放；废水直接排放口位置变化，导致不利环境影响加重的。</w:t>
                  </w:r>
                </w:p>
              </w:tc>
              <w:tc>
                <w:tcPr>
                  <w:tcW w:w="2551" w:type="dxa"/>
                  <w:vAlign w:val="center"/>
                </w:tcPr>
                <w:p w14:paraId="04408E41">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无变动</w:t>
                  </w:r>
                </w:p>
              </w:tc>
              <w:tc>
                <w:tcPr>
                  <w:tcW w:w="1172" w:type="dxa"/>
                  <w:vAlign w:val="center"/>
                </w:tcPr>
                <w:p w14:paraId="3B9E079D">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不属于</w:t>
                  </w:r>
                </w:p>
              </w:tc>
            </w:tr>
            <w:tr w14:paraId="448E6A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Merge w:val="continue"/>
                  <w:vAlign w:val="center"/>
                </w:tcPr>
                <w:p w14:paraId="1139FE2C">
                  <w:pPr>
                    <w:spacing w:after="0"/>
                    <w:jc w:val="center"/>
                    <w:rPr>
                      <w:rFonts w:hint="eastAsia" w:hAnsiTheme="majorEastAsia" w:eastAsiaTheme="majorEastAsia"/>
                      <w:color w:val="auto"/>
                      <w:sz w:val="21"/>
                      <w:szCs w:val="21"/>
                    </w:rPr>
                  </w:pPr>
                </w:p>
              </w:tc>
              <w:tc>
                <w:tcPr>
                  <w:tcW w:w="3753" w:type="dxa"/>
                  <w:vAlign w:val="center"/>
                </w:tcPr>
                <w:p w14:paraId="78D88877">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10、新增废气主要排放口（废气无组织排放改为有组织排放的除外）；主要排放口排气筒高度降低10%及以上的。</w:t>
                  </w:r>
                </w:p>
              </w:tc>
              <w:tc>
                <w:tcPr>
                  <w:tcW w:w="2551" w:type="dxa"/>
                  <w:vAlign w:val="center"/>
                </w:tcPr>
                <w:p w14:paraId="25F83D0F">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无变动</w:t>
                  </w:r>
                </w:p>
              </w:tc>
              <w:tc>
                <w:tcPr>
                  <w:tcW w:w="1172" w:type="dxa"/>
                  <w:vAlign w:val="center"/>
                </w:tcPr>
                <w:p w14:paraId="3F4B3DCB">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不属于</w:t>
                  </w:r>
                </w:p>
              </w:tc>
            </w:tr>
            <w:tr w14:paraId="0F9D98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Merge w:val="continue"/>
                  <w:vAlign w:val="center"/>
                </w:tcPr>
                <w:p w14:paraId="2691698A">
                  <w:pPr>
                    <w:spacing w:after="0"/>
                    <w:jc w:val="center"/>
                    <w:rPr>
                      <w:rFonts w:hint="eastAsia" w:hAnsiTheme="majorEastAsia" w:eastAsiaTheme="majorEastAsia"/>
                      <w:color w:val="auto"/>
                      <w:sz w:val="21"/>
                      <w:szCs w:val="21"/>
                      <w:highlight w:val="yellow"/>
                    </w:rPr>
                  </w:pPr>
                </w:p>
              </w:tc>
              <w:tc>
                <w:tcPr>
                  <w:tcW w:w="3753" w:type="dxa"/>
                  <w:vAlign w:val="center"/>
                </w:tcPr>
                <w:p w14:paraId="338A8AE1">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11、噪声、土壤或地下水污染防治措施变化，导致不利环境影响加重的。</w:t>
                  </w:r>
                </w:p>
              </w:tc>
              <w:tc>
                <w:tcPr>
                  <w:tcW w:w="2551" w:type="dxa"/>
                  <w:vAlign w:val="center"/>
                </w:tcPr>
                <w:p w14:paraId="64FEB8F8">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无变动</w:t>
                  </w:r>
                </w:p>
              </w:tc>
              <w:tc>
                <w:tcPr>
                  <w:tcW w:w="1172" w:type="dxa"/>
                  <w:vAlign w:val="center"/>
                </w:tcPr>
                <w:p w14:paraId="1B0AFD21">
                  <w:pPr>
                    <w:tabs>
                      <w:tab w:val="left" w:pos="510"/>
                      <w:tab w:val="center" w:pos="1259"/>
                    </w:tabs>
                    <w:spacing w:after="0"/>
                    <w:jc w:val="center"/>
                    <w:rPr>
                      <w:rFonts w:hint="eastAsia" w:hAnsiTheme="majorEastAsia" w:eastAsiaTheme="majorEastAsia"/>
                      <w:color w:val="auto"/>
                      <w:sz w:val="21"/>
                      <w:szCs w:val="21"/>
                    </w:rPr>
                  </w:pPr>
                  <w:r>
                    <w:rPr>
                      <w:rFonts w:hAnsiTheme="majorEastAsia" w:eastAsiaTheme="majorEastAsia"/>
                      <w:color w:val="auto"/>
                      <w:sz w:val="21"/>
                      <w:szCs w:val="21"/>
                    </w:rPr>
                    <w:t>不属于</w:t>
                  </w:r>
                </w:p>
              </w:tc>
            </w:tr>
            <w:tr w14:paraId="56A837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Merge w:val="continue"/>
                  <w:vAlign w:val="center"/>
                </w:tcPr>
                <w:p w14:paraId="2BE4EC17">
                  <w:pPr>
                    <w:spacing w:after="0"/>
                    <w:jc w:val="center"/>
                    <w:rPr>
                      <w:rFonts w:hint="eastAsia" w:hAnsiTheme="majorEastAsia" w:eastAsiaTheme="majorEastAsia"/>
                      <w:color w:val="auto"/>
                      <w:sz w:val="21"/>
                      <w:szCs w:val="21"/>
                      <w:highlight w:val="yellow"/>
                    </w:rPr>
                  </w:pPr>
                </w:p>
              </w:tc>
              <w:tc>
                <w:tcPr>
                  <w:tcW w:w="3753" w:type="dxa"/>
                  <w:vAlign w:val="center"/>
                </w:tcPr>
                <w:p w14:paraId="08420919">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12、固体废物利用处置方式由委托外单位利用处置改为自行利用处置的（自行利用处置设施单独开展环境影响评价的除外）；固体废物自行处置方式变化，导致不利环境影响加重的。</w:t>
                  </w:r>
                </w:p>
              </w:tc>
              <w:tc>
                <w:tcPr>
                  <w:tcW w:w="2551" w:type="dxa"/>
                  <w:vAlign w:val="center"/>
                </w:tcPr>
                <w:p w14:paraId="6863B648">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无变动</w:t>
                  </w:r>
                </w:p>
              </w:tc>
              <w:tc>
                <w:tcPr>
                  <w:tcW w:w="1172" w:type="dxa"/>
                  <w:vAlign w:val="center"/>
                </w:tcPr>
                <w:p w14:paraId="5454DCD2">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不属于</w:t>
                  </w:r>
                </w:p>
              </w:tc>
            </w:tr>
            <w:tr w14:paraId="6238E1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Merge w:val="continue"/>
                  <w:vAlign w:val="center"/>
                </w:tcPr>
                <w:p w14:paraId="0E5335F3">
                  <w:pPr>
                    <w:spacing w:after="0"/>
                    <w:jc w:val="center"/>
                    <w:rPr>
                      <w:rFonts w:hint="eastAsia" w:hAnsiTheme="majorEastAsia" w:eastAsiaTheme="majorEastAsia"/>
                      <w:color w:val="auto"/>
                      <w:sz w:val="21"/>
                      <w:szCs w:val="21"/>
                    </w:rPr>
                  </w:pPr>
                </w:p>
              </w:tc>
              <w:tc>
                <w:tcPr>
                  <w:tcW w:w="3753" w:type="dxa"/>
                  <w:vAlign w:val="center"/>
                </w:tcPr>
                <w:p w14:paraId="2949662C">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13、事故废水暂存能力或拦截设施变化，导致环境风险防范能力弱化或降低的。</w:t>
                  </w:r>
                </w:p>
              </w:tc>
              <w:tc>
                <w:tcPr>
                  <w:tcW w:w="2551" w:type="dxa"/>
                  <w:vAlign w:val="center"/>
                </w:tcPr>
                <w:p w14:paraId="7FE176FA">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无变动</w:t>
                  </w:r>
                </w:p>
              </w:tc>
              <w:tc>
                <w:tcPr>
                  <w:tcW w:w="1172" w:type="dxa"/>
                  <w:vAlign w:val="center"/>
                </w:tcPr>
                <w:p w14:paraId="079E6297">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不属于</w:t>
                  </w:r>
                </w:p>
              </w:tc>
            </w:tr>
          </w:tbl>
          <w:p w14:paraId="3B2D9ACC">
            <w:pPr>
              <w:spacing w:after="0" w:line="460" w:lineRule="exact"/>
              <w:ind w:firstLine="480" w:firstLineChars="200"/>
              <w:rPr>
                <w:rFonts w:eastAsia="宋体"/>
                <w:color w:val="auto"/>
                <w:kern w:val="2"/>
                <w:sz w:val="24"/>
                <w:szCs w:val="20"/>
              </w:rPr>
            </w:pPr>
            <w:r>
              <w:rPr>
                <w:rFonts w:eastAsia="宋体"/>
                <w:color w:val="auto"/>
                <w:kern w:val="2"/>
                <w:sz w:val="24"/>
                <w:szCs w:val="20"/>
              </w:rPr>
              <w:t>根据上表对比结果可知，项目不属于重大变动，满足验收要求。</w:t>
            </w:r>
          </w:p>
          <w:p w14:paraId="31C261A0">
            <w:pPr>
              <w:spacing w:after="0" w:line="460" w:lineRule="exact"/>
              <w:rPr>
                <w:rFonts w:eastAsia="宋体"/>
                <w:color w:val="auto"/>
                <w:kern w:val="2"/>
                <w:sz w:val="24"/>
                <w:szCs w:val="20"/>
                <w:highlight w:val="yellow"/>
              </w:rPr>
            </w:pPr>
          </w:p>
        </w:tc>
      </w:tr>
    </w:tbl>
    <w:p w14:paraId="614223D9">
      <w:pPr>
        <w:spacing w:after="0" w:line="440" w:lineRule="exact"/>
        <w:rPr>
          <w:rFonts w:eastAsia="仿宋_GB2312"/>
          <w:b/>
          <w:color w:val="auto"/>
          <w:sz w:val="21"/>
          <w:szCs w:val="21"/>
        </w:rPr>
      </w:pPr>
      <w:r>
        <w:rPr>
          <w:rFonts w:eastAsia="仿宋_GB2312"/>
          <w:b/>
          <w:color w:val="auto"/>
          <w:sz w:val="21"/>
          <w:szCs w:val="21"/>
        </w:rPr>
        <w:t>表四</w:t>
      </w:r>
    </w:p>
    <w:tbl>
      <w:tblPr>
        <w:tblStyle w:val="18"/>
        <w:tblW w:w="0" w:type="auto"/>
        <w:tblInd w:w="-252"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9003"/>
      </w:tblGrid>
      <w:tr w14:paraId="20DED00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3305" w:hRule="atLeast"/>
        </w:trPr>
        <w:tc>
          <w:tcPr>
            <w:tcW w:w="9003" w:type="dxa"/>
            <w:shd w:val="clear" w:color="auto" w:fill="auto"/>
            <w:vAlign w:val="center"/>
          </w:tcPr>
          <w:p w14:paraId="4166307F">
            <w:pPr>
              <w:spacing w:after="0" w:line="460" w:lineRule="exact"/>
              <w:jc w:val="both"/>
              <w:rPr>
                <w:rFonts w:eastAsia="宋体"/>
                <w:color w:val="auto"/>
                <w:kern w:val="2"/>
                <w:sz w:val="24"/>
                <w:szCs w:val="24"/>
              </w:rPr>
            </w:pPr>
            <w:r>
              <w:rPr>
                <w:rFonts w:eastAsia="宋体"/>
                <w:color w:val="auto"/>
                <w:kern w:val="2"/>
                <w:sz w:val="24"/>
                <w:szCs w:val="24"/>
              </w:rPr>
              <w:t>建设项目环境影响报告表主要结论及审批部门审批决定：</w:t>
            </w:r>
          </w:p>
          <w:p w14:paraId="085F4ADC">
            <w:pPr>
              <w:spacing w:after="0" w:line="460" w:lineRule="exact"/>
              <w:jc w:val="both"/>
              <w:rPr>
                <w:rFonts w:eastAsia="宋体"/>
                <w:color w:val="auto"/>
                <w:kern w:val="2"/>
                <w:sz w:val="24"/>
                <w:szCs w:val="24"/>
              </w:rPr>
            </w:pPr>
            <w:r>
              <w:rPr>
                <w:rFonts w:eastAsia="宋体"/>
                <w:color w:val="auto"/>
                <w:kern w:val="2"/>
                <w:sz w:val="24"/>
                <w:szCs w:val="24"/>
              </w:rPr>
              <w:t>1、项目环境影响报告表主要结论</w:t>
            </w:r>
          </w:p>
          <w:p w14:paraId="56355D98">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rPr>
              <w:t>河南</w:t>
            </w:r>
            <w:r>
              <w:rPr>
                <w:rFonts w:hint="eastAsia" w:ascii="Times New Roman" w:hAnsi="Times New Roman" w:eastAsia="宋体" w:cs="Times New Roman"/>
                <w:color w:val="auto"/>
                <w:kern w:val="2"/>
                <w:sz w:val="24"/>
                <w:szCs w:val="24"/>
                <w:lang w:val="en-US" w:eastAsia="zh-CN"/>
              </w:rPr>
              <w:t>省养乐奇生物科技有限责任公司</w:t>
            </w:r>
            <w:r>
              <w:rPr>
                <w:rFonts w:hint="eastAsia" w:ascii="Times New Roman" w:hAnsi="Times New Roman" w:eastAsia="宋体" w:cs="Times New Roman"/>
                <w:color w:val="auto"/>
                <w:kern w:val="2"/>
                <w:sz w:val="24"/>
                <w:szCs w:val="24"/>
              </w:rPr>
              <w:t>年产</w:t>
            </w:r>
            <w:r>
              <w:rPr>
                <w:rFonts w:hint="eastAsia" w:ascii="Times New Roman" w:hAnsi="Times New Roman" w:eastAsia="宋体" w:cs="Times New Roman"/>
                <w:color w:val="auto"/>
                <w:kern w:val="2"/>
                <w:sz w:val="24"/>
                <w:szCs w:val="24"/>
                <w:lang w:val="en-US" w:eastAsia="zh-CN"/>
              </w:rPr>
              <w:t>6000</w:t>
            </w:r>
            <w:r>
              <w:rPr>
                <w:rFonts w:hint="eastAsia" w:ascii="Times New Roman" w:hAnsi="Times New Roman" w:eastAsia="宋体" w:cs="Times New Roman"/>
                <w:color w:val="auto"/>
                <w:kern w:val="2"/>
                <w:sz w:val="24"/>
                <w:szCs w:val="24"/>
              </w:rPr>
              <w:t>万只塑料</w:t>
            </w:r>
            <w:r>
              <w:rPr>
                <w:rFonts w:hint="eastAsia" w:ascii="Times New Roman" w:hAnsi="Times New Roman" w:eastAsia="宋体" w:cs="Times New Roman"/>
                <w:color w:val="auto"/>
                <w:kern w:val="2"/>
                <w:sz w:val="24"/>
                <w:szCs w:val="24"/>
                <w:lang w:val="en-US" w:eastAsia="zh-CN"/>
              </w:rPr>
              <w:t>瓶</w:t>
            </w:r>
            <w:r>
              <w:rPr>
                <w:rFonts w:hint="eastAsia" w:ascii="Times New Roman" w:hAnsi="Times New Roman" w:eastAsia="宋体" w:cs="Times New Roman"/>
                <w:color w:val="auto"/>
                <w:kern w:val="2"/>
                <w:sz w:val="24"/>
                <w:szCs w:val="24"/>
              </w:rPr>
              <w:t>项目</w:t>
            </w:r>
            <w:r>
              <w:rPr>
                <w:rFonts w:ascii="Times New Roman" w:hAnsi="Times New Roman" w:eastAsia="宋体" w:cs="Times New Roman"/>
                <w:color w:val="auto"/>
                <w:kern w:val="2"/>
                <w:sz w:val="24"/>
                <w:szCs w:val="24"/>
              </w:rPr>
              <w:t>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77DF99E9">
            <w:pPr>
              <w:spacing w:line="460" w:lineRule="exact"/>
              <w:ind w:firstLine="480" w:firstLineChars="200"/>
              <w:jc w:val="both"/>
              <w:rPr>
                <w:rFonts w:eastAsia="宋体"/>
                <w:color w:val="auto"/>
                <w:kern w:val="2"/>
                <w:sz w:val="24"/>
                <w:szCs w:val="24"/>
              </w:rPr>
            </w:pPr>
          </w:p>
          <w:p w14:paraId="49734203">
            <w:pPr>
              <w:spacing w:line="460" w:lineRule="exact"/>
              <w:ind w:firstLine="480" w:firstLineChars="200"/>
              <w:jc w:val="both"/>
              <w:rPr>
                <w:rFonts w:eastAsia="宋体"/>
                <w:color w:val="auto"/>
                <w:kern w:val="2"/>
                <w:sz w:val="24"/>
                <w:szCs w:val="24"/>
              </w:rPr>
            </w:pPr>
          </w:p>
          <w:p w14:paraId="33F73816">
            <w:pPr>
              <w:spacing w:line="460" w:lineRule="exact"/>
              <w:ind w:firstLine="480" w:firstLineChars="200"/>
              <w:jc w:val="both"/>
              <w:rPr>
                <w:rFonts w:eastAsia="宋体"/>
                <w:color w:val="auto"/>
                <w:kern w:val="2"/>
                <w:sz w:val="24"/>
                <w:szCs w:val="24"/>
              </w:rPr>
            </w:pPr>
          </w:p>
          <w:p w14:paraId="158AA596">
            <w:pPr>
              <w:spacing w:line="460" w:lineRule="exact"/>
              <w:ind w:firstLine="480" w:firstLineChars="200"/>
              <w:jc w:val="both"/>
              <w:rPr>
                <w:rFonts w:eastAsia="宋体"/>
                <w:color w:val="auto"/>
                <w:kern w:val="2"/>
                <w:sz w:val="24"/>
                <w:szCs w:val="24"/>
              </w:rPr>
            </w:pPr>
          </w:p>
          <w:p w14:paraId="44D79109">
            <w:pPr>
              <w:spacing w:line="460" w:lineRule="exact"/>
              <w:ind w:firstLine="480" w:firstLineChars="200"/>
              <w:jc w:val="both"/>
              <w:rPr>
                <w:rFonts w:eastAsia="宋体"/>
                <w:color w:val="auto"/>
                <w:kern w:val="2"/>
                <w:sz w:val="24"/>
                <w:szCs w:val="24"/>
              </w:rPr>
            </w:pPr>
          </w:p>
          <w:p w14:paraId="67F2FE2A">
            <w:pPr>
              <w:spacing w:line="460" w:lineRule="exact"/>
              <w:ind w:firstLine="480" w:firstLineChars="200"/>
              <w:jc w:val="both"/>
              <w:rPr>
                <w:rFonts w:eastAsia="宋体"/>
                <w:color w:val="auto"/>
                <w:kern w:val="2"/>
                <w:sz w:val="24"/>
                <w:szCs w:val="24"/>
              </w:rPr>
            </w:pPr>
          </w:p>
          <w:p w14:paraId="40EFE50E">
            <w:pPr>
              <w:spacing w:line="460" w:lineRule="exact"/>
              <w:ind w:firstLine="480" w:firstLineChars="200"/>
              <w:jc w:val="both"/>
              <w:rPr>
                <w:rFonts w:eastAsia="宋体"/>
                <w:color w:val="auto"/>
                <w:kern w:val="2"/>
                <w:sz w:val="24"/>
                <w:szCs w:val="24"/>
              </w:rPr>
            </w:pPr>
          </w:p>
          <w:p w14:paraId="1D105E77">
            <w:pPr>
              <w:spacing w:line="460" w:lineRule="exact"/>
              <w:ind w:firstLine="480" w:firstLineChars="200"/>
              <w:jc w:val="both"/>
              <w:rPr>
                <w:rFonts w:eastAsia="宋体"/>
                <w:color w:val="auto"/>
                <w:kern w:val="2"/>
                <w:sz w:val="24"/>
                <w:szCs w:val="24"/>
              </w:rPr>
            </w:pPr>
          </w:p>
          <w:p w14:paraId="459B2FAC">
            <w:pPr>
              <w:spacing w:line="460" w:lineRule="exact"/>
              <w:ind w:firstLine="480" w:firstLineChars="200"/>
              <w:jc w:val="both"/>
              <w:rPr>
                <w:rFonts w:eastAsia="宋体"/>
                <w:color w:val="auto"/>
                <w:kern w:val="2"/>
                <w:sz w:val="24"/>
                <w:szCs w:val="24"/>
              </w:rPr>
            </w:pPr>
          </w:p>
          <w:p w14:paraId="04A4ACDC">
            <w:pPr>
              <w:spacing w:line="460" w:lineRule="exact"/>
              <w:ind w:firstLine="480" w:firstLineChars="200"/>
              <w:jc w:val="both"/>
              <w:rPr>
                <w:rFonts w:eastAsia="宋体"/>
                <w:color w:val="auto"/>
                <w:kern w:val="2"/>
                <w:sz w:val="24"/>
                <w:szCs w:val="24"/>
              </w:rPr>
            </w:pPr>
          </w:p>
          <w:p w14:paraId="77DA19C9">
            <w:pPr>
              <w:spacing w:line="460" w:lineRule="exact"/>
              <w:ind w:firstLine="480" w:firstLineChars="200"/>
              <w:jc w:val="both"/>
              <w:rPr>
                <w:rFonts w:eastAsia="宋体"/>
                <w:color w:val="auto"/>
                <w:kern w:val="2"/>
                <w:sz w:val="24"/>
                <w:szCs w:val="24"/>
              </w:rPr>
            </w:pPr>
          </w:p>
          <w:p w14:paraId="7B43F2E0">
            <w:pPr>
              <w:spacing w:line="460" w:lineRule="exact"/>
              <w:ind w:firstLine="480" w:firstLineChars="200"/>
              <w:jc w:val="both"/>
              <w:rPr>
                <w:rFonts w:eastAsia="宋体"/>
                <w:color w:val="auto"/>
                <w:kern w:val="2"/>
                <w:sz w:val="24"/>
                <w:szCs w:val="24"/>
              </w:rPr>
            </w:pPr>
          </w:p>
          <w:p w14:paraId="5850A563">
            <w:pPr>
              <w:spacing w:line="460" w:lineRule="exact"/>
              <w:ind w:firstLine="480" w:firstLineChars="200"/>
              <w:jc w:val="both"/>
              <w:rPr>
                <w:rFonts w:eastAsia="宋体"/>
                <w:color w:val="auto"/>
                <w:kern w:val="2"/>
                <w:sz w:val="24"/>
                <w:szCs w:val="24"/>
              </w:rPr>
            </w:pPr>
          </w:p>
          <w:p w14:paraId="3BC30B48">
            <w:pPr>
              <w:spacing w:line="460" w:lineRule="exact"/>
              <w:ind w:firstLine="480" w:firstLineChars="200"/>
              <w:jc w:val="both"/>
              <w:rPr>
                <w:rFonts w:eastAsia="宋体"/>
                <w:color w:val="auto"/>
                <w:kern w:val="2"/>
                <w:sz w:val="24"/>
                <w:szCs w:val="24"/>
              </w:rPr>
            </w:pPr>
          </w:p>
          <w:p w14:paraId="22E631DA">
            <w:pPr>
              <w:spacing w:line="460" w:lineRule="exact"/>
              <w:jc w:val="both"/>
              <w:rPr>
                <w:rFonts w:eastAsia="宋体"/>
                <w:color w:val="auto"/>
                <w:kern w:val="2"/>
                <w:sz w:val="24"/>
                <w:szCs w:val="24"/>
              </w:rPr>
            </w:pPr>
          </w:p>
          <w:p w14:paraId="1B22E47F">
            <w:pPr>
              <w:spacing w:after="0" w:line="460" w:lineRule="exact"/>
              <w:jc w:val="both"/>
              <w:rPr>
                <w:rFonts w:eastAsia="宋体"/>
                <w:color w:val="auto"/>
                <w:kern w:val="2"/>
                <w:sz w:val="24"/>
                <w:szCs w:val="24"/>
              </w:rPr>
            </w:pPr>
          </w:p>
          <w:p w14:paraId="6E1D508B">
            <w:pPr>
              <w:spacing w:after="0" w:line="460" w:lineRule="exact"/>
              <w:jc w:val="both"/>
              <w:rPr>
                <w:rFonts w:eastAsia="宋体"/>
                <w:color w:val="auto"/>
                <w:kern w:val="2"/>
                <w:sz w:val="24"/>
                <w:szCs w:val="24"/>
              </w:rPr>
            </w:pPr>
            <w:r>
              <w:rPr>
                <w:rFonts w:eastAsia="宋体"/>
                <w:color w:val="auto"/>
                <w:kern w:val="2"/>
                <w:sz w:val="24"/>
                <w:szCs w:val="24"/>
              </w:rPr>
              <w:t>2、审批部门的决定</w:t>
            </w:r>
          </w:p>
          <w:p w14:paraId="1437A71C">
            <w:pPr>
              <w:spacing w:after="0" w:line="460" w:lineRule="exact"/>
              <w:jc w:val="both"/>
              <w:rPr>
                <w:rFonts w:hint="eastAsia" w:eastAsia="宋体"/>
                <w:color w:val="auto"/>
                <w:kern w:val="2"/>
                <w:sz w:val="24"/>
                <w:szCs w:val="24"/>
                <w:lang w:eastAsia="zh-CN"/>
              </w:rPr>
            </w:pPr>
            <w:r>
              <w:rPr>
                <w:rFonts w:hint="eastAsia" w:eastAsia="宋体"/>
                <w:color w:val="auto"/>
                <w:kern w:val="2"/>
                <w:sz w:val="24"/>
                <w:szCs w:val="24"/>
              </w:rPr>
              <w:t>审批意见</w:t>
            </w:r>
            <w:r>
              <w:rPr>
                <w:rFonts w:hint="eastAsia" w:eastAsia="宋体"/>
                <w:color w:val="auto"/>
                <w:kern w:val="2"/>
                <w:sz w:val="24"/>
                <w:szCs w:val="24"/>
                <w:lang w:eastAsia="zh-CN"/>
              </w:rPr>
              <w:t>：</w:t>
            </w:r>
            <w:r>
              <w:rPr>
                <w:rFonts w:hint="eastAsia" w:eastAsia="宋体"/>
                <w:color w:val="auto"/>
                <w:kern w:val="2"/>
                <w:sz w:val="24"/>
                <w:szCs w:val="24"/>
                <w:lang w:val="en-US" w:eastAsia="zh-CN"/>
              </w:rPr>
              <w:t xml:space="preserve">                                         </w:t>
            </w:r>
            <w:r>
              <w:rPr>
                <w:rFonts w:hint="eastAsia" w:eastAsia="宋体"/>
                <w:color w:val="auto"/>
                <w:kern w:val="2"/>
                <w:sz w:val="24"/>
                <w:szCs w:val="24"/>
                <w:lang w:eastAsia="zh-CN"/>
              </w:rPr>
              <w:t>新环表审〔2026〕22号</w:t>
            </w:r>
          </w:p>
          <w:p w14:paraId="37C8A3E1">
            <w:pPr>
              <w:keepNext w:val="0"/>
              <w:keepLines w:val="0"/>
              <w:pageBreakBefore w:val="0"/>
              <w:widowControl/>
              <w:kinsoku/>
              <w:overflowPunct/>
              <w:topLinePunct w:val="0"/>
              <w:autoSpaceDE/>
              <w:autoSpaceDN/>
              <w:bidi w:val="0"/>
              <w:spacing w:after="0" w:line="460" w:lineRule="exact"/>
              <w:jc w:val="center"/>
              <w:textAlignment w:val="auto"/>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lang w:eastAsia="zh-CN"/>
              </w:rPr>
              <w:t>新乡市生态环境局</w:t>
            </w:r>
          </w:p>
          <w:p w14:paraId="58AEFD7F">
            <w:pPr>
              <w:keepNext w:val="0"/>
              <w:keepLines w:val="0"/>
              <w:pageBreakBefore w:val="0"/>
              <w:widowControl/>
              <w:kinsoku/>
              <w:overflowPunct/>
              <w:topLinePunct w:val="0"/>
              <w:autoSpaceDE/>
              <w:autoSpaceDN/>
              <w:bidi w:val="0"/>
              <w:spacing w:after="0" w:line="460" w:lineRule="exact"/>
              <w:jc w:val="center"/>
              <w:textAlignment w:val="auto"/>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lang w:eastAsia="zh-CN"/>
              </w:rPr>
              <w:t>关于《河南省养乐奇生物科技有限责任公司年产6000万只塑料瓶</w:t>
            </w:r>
          </w:p>
          <w:p w14:paraId="785E3DEF">
            <w:pPr>
              <w:keepNext w:val="0"/>
              <w:keepLines w:val="0"/>
              <w:pageBreakBefore w:val="0"/>
              <w:widowControl/>
              <w:kinsoku/>
              <w:overflowPunct/>
              <w:topLinePunct w:val="0"/>
              <w:autoSpaceDE/>
              <w:autoSpaceDN/>
              <w:bidi w:val="0"/>
              <w:spacing w:after="0" w:line="460" w:lineRule="exact"/>
              <w:jc w:val="center"/>
              <w:textAlignment w:val="auto"/>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lang w:eastAsia="zh-CN"/>
              </w:rPr>
              <w:t>项目环境影响报告表》的批复</w:t>
            </w:r>
          </w:p>
          <w:p w14:paraId="66A18A3A">
            <w:pPr>
              <w:keepNext w:val="0"/>
              <w:keepLines w:val="0"/>
              <w:pageBreakBefore w:val="0"/>
              <w:widowControl/>
              <w:kinsoku/>
              <w:overflowPunct/>
              <w:topLinePunct w:val="0"/>
              <w:autoSpaceDE/>
              <w:autoSpaceDN/>
              <w:bidi w:val="0"/>
              <w:spacing w:after="0" w:line="460" w:lineRule="exact"/>
              <w:jc w:val="both"/>
              <w:textAlignment w:val="auto"/>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lang w:eastAsia="zh-CN"/>
              </w:rPr>
              <w:t>河南省养乐奇生物科技有限责任公司：</w:t>
            </w:r>
          </w:p>
          <w:p w14:paraId="6D1DAF32">
            <w:pPr>
              <w:pStyle w:val="15"/>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你单位上报的由</w:t>
            </w:r>
            <w:r>
              <w:rPr>
                <w:rFonts w:hint="default" w:ascii="Times New Roman" w:hAnsi="Times New Roman" w:eastAsia="宋体" w:cs="Times New Roman"/>
                <w:color w:val="auto"/>
                <w:sz w:val="24"/>
                <w:szCs w:val="24"/>
                <w:lang w:val="en-US" w:eastAsia="zh-CN"/>
              </w:rPr>
              <w:t>河南蓝天环境工程有限公司</w:t>
            </w:r>
            <w:r>
              <w:rPr>
                <w:rFonts w:hint="default" w:ascii="Times New Roman" w:hAnsi="Times New Roman" w:eastAsia="宋体" w:cs="Times New Roman"/>
                <w:color w:val="auto"/>
                <w:sz w:val="24"/>
                <w:szCs w:val="24"/>
                <w:shd w:val="clear" w:color="auto" w:fill="FFFFFF"/>
              </w:rPr>
              <w:t>环评工程师</w:t>
            </w:r>
            <w:r>
              <w:rPr>
                <w:rFonts w:hint="default" w:ascii="Times New Roman" w:hAnsi="Times New Roman" w:eastAsia="宋体" w:cs="Times New Roman"/>
                <w:color w:val="auto"/>
                <w:sz w:val="24"/>
                <w:szCs w:val="24"/>
                <w:shd w:val="clear" w:color="auto" w:fill="FFFFFF"/>
                <w:lang w:val="en-US" w:eastAsia="zh-CN"/>
              </w:rPr>
              <w:t>徐贵良</w:t>
            </w:r>
            <w:r>
              <w:rPr>
                <w:rFonts w:hint="default" w:ascii="Times New Roman" w:hAnsi="Times New Roman" w:eastAsia="宋体" w:cs="Times New Roman"/>
                <w:color w:val="auto"/>
                <w:sz w:val="24"/>
                <w:szCs w:val="24"/>
                <w:shd w:val="clear" w:color="auto" w:fill="FFFFFF"/>
              </w:rPr>
              <w:t>主持编制的</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河南</w:t>
            </w:r>
            <w:r>
              <w:rPr>
                <w:rFonts w:hint="default" w:ascii="Times New Roman" w:hAnsi="Times New Roman" w:eastAsia="宋体" w:cs="Times New Roman"/>
                <w:color w:val="auto"/>
                <w:sz w:val="24"/>
                <w:szCs w:val="24"/>
                <w:lang w:val="en-US" w:eastAsia="zh-CN"/>
              </w:rPr>
              <w:t>省养乐奇生物科技有限责任公司</w:t>
            </w:r>
            <w:r>
              <w:rPr>
                <w:rFonts w:hint="default" w:ascii="Times New Roman" w:hAnsi="Times New Roman" w:eastAsia="宋体" w:cs="Times New Roman"/>
                <w:color w:val="auto"/>
                <w:sz w:val="24"/>
                <w:szCs w:val="24"/>
              </w:rPr>
              <w:t>年产</w:t>
            </w:r>
            <w:r>
              <w:rPr>
                <w:rFonts w:hint="default" w:ascii="Times New Roman" w:hAnsi="Times New Roman" w:eastAsia="宋体" w:cs="Times New Roman"/>
                <w:color w:val="auto"/>
                <w:sz w:val="24"/>
                <w:szCs w:val="24"/>
                <w:lang w:val="en-US" w:eastAsia="zh-CN"/>
              </w:rPr>
              <w:t>6000</w:t>
            </w:r>
            <w:r>
              <w:rPr>
                <w:rFonts w:hint="default" w:ascii="Times New Roman" w:hAnsi="Times New Roman" w:eastAsia="宋体" w:cs="Times New Roman"/>
                <w:color w:val="auto"/>
                <w:sz w:val="24"/>
                <w:szCs w:val="24"/>
              </w:rPr>
              <w:t>万只塑料</w:t>
            </w:r>
            <w:r>
              <w:rPr>
                <w:rFonts w:hint="default" w:ascii="Times New Roman" w:hAnsi="Times New Roman" w:eastAsia="宋体" w:cs="Times New Roman"/>
                <w:color w:val="auto"/>
                <w:sz w:val="24"/>
                <w:szCs w:val="24"/>
                <w:lang w:val="en-US" w:eastAsia="zh-CN"/>
              </w:rPr>
              <w:t>瓶</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环境影响报告</w:t>
            </w:r>
            <w:r>
              <w:rPr>
                <w:rFonts w:hint="default" w:ascii="Times New Roman" w:hAnsi="Times New Roman" w:eastAsia="宋体" w:cs="Times New Roman"/>
                <w:color w:val="auto"/>
                <w:sz w:val="24"/>
                <w:szCs w:val="24"/>
                <w:lang w:val="en-US" w:eastAsia="zh-CN"/>
              </w:rPr>
              <w:t>表</w:t>
            </w:r>
            <w:r>
              <w:rPr>
                <w:rFonts w:hint="default" w:ascii="Times New Roman" w:hAnsi="Times New Roman" w:eastAsia="宋体" w:cs="Times New Roman"/>
                <w:color w:val="auto"/>
                <w:sz w:val="24"/>
                <w:szCs w:val="24"/>
                <w:shd w:val="clear" w:color="auto" w:fill="FFFFFF"/>
              </w:rPr>
              <w:t>》（以下简称《报告表》）及新乡市生态环境局</w:t>
            </w:r>
            <w:r>
              <w:rPr>
                <w:rFonts w:hint="default" w:ascii="Times New Roman" w:hAnsi="Times New Roman" w:eastAsia="宋体" w:cs="Times New Roman"/>
                <w:color w:val="auto"/>
                <w:sz w:val="24"/>
                <w:szCs w:val="24"/>
                <w:shd w:val="clear" w:color="auto" w:fill="FFFFFF"/>
                <w:lang w:val="en-US" w:eastAsia="zh-CN"/>
              </w:rPr>
              <w:t>延津</w:t>
            </w:r>
            <w:r>
              <w:rPr>
                <w:rFonts w:hint="default" w:ascii="Times New Roman" w:hAnsi="Times New Roman" w:eastAsia="宋体" w:cs="Times New Roman"/>
                <w:color w:val="auto"/>
                <w:sz w:val="24"/>
                <w:szCs w:val="24"/>
                <w:shd w:val="clear" w:color="auto" w:fill="FFFFFF"/>
              </w:rPr>
              <w:t>分局的审查意见收悉。该项目环评审批事项已在我局网站公示期满，根据《中华人民共和国环境保护法》、《中华人民共和国行政许可法》、《中华人民共和国环境影响评价法》、《建设项目环境保护管理条例》等法律法规规定，经研究，批复如下：</w:t>
            </w:r>
          </w:p>
          <w:p w14:paraId="1D3230B5">
            <w:pPr>
              <w:pStyle w:val="15"/>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一、我局批准该《报告表》，原则同意你单位按照《报告表》所列项目的建设内容和生态环境保护措施进行建设。</w:t>
            </w:r>
          </w:p>
          <w:p w14:paraId="29836074">
            <w:pPr>
              <w:pStyle w:val="15"/>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shd w:val="clear" w:color="auto" w:fill="FFFFFF"/>
              </w:rPr>
              <w:t>二、你单位应主动向社会公众公开经批准的《报告表》，并接受相关方的垂询。</w:t>
            </w:r>
          </w:p>
          <w:p w14:paraId="30180DAB">
            <w:pPr>
              <w:pStyle w:val="15"/>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shd w:val="clear" w:color="auto" w:fill="FFFFFF"/>
              </w:rPr>
              <w:t>三、你单位应全面落实《报告表》提出的各项生态环境保护措施，各环境保护设施必须与主体工程同时设计、同时施工、同时投产使用，确保各项污染物达标排放。</w:t>
            </w:r>
          </w:p>
          <w:p w14:paraId="25D1368F">
            <w:pPr>
              <w:pStyle w:val="15"/>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shd w:val="clear" w:color="auto" w:fill="FFFFFF"/>
              </w:rPr>
              <w:t>（一）依据《报告表》和本批复文件，对项目建设和运行过程中产生的废水、废气、固体废物、噪声等污染，采取相应的防治措施。</w:t>
            </w:r>
          </w:p>
          <w:p w14:paraId="6626D2D4">
            <w:pPr>
              <w:pStyle w:val="15"/>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shd w:val="clear" w:color="auto" w:fill="FFFFFF"/>
              </w:rPr>
              <w:t>（二）项目运行时，外排污染物应满足以下要求：</w:t>
            </w:r>
          </w:p>
          <w:p w14:paraId="65C290BE">
            <w:pPr>
              <w:keepNext w:val="0"/>
              <w:keepLines w:val="0"/>
              <w:pageBreakBefore w:val="0"/>
              <w:widowControl/>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shd w:val="clear" w:color="auto" w:fill="FFFFFF"/>
              </w:rPr>
              <w:t>1、废水：</w:t>
            </w:r>
            <w:r>
              <w:rPr>
                <w:rFonts w:hint="default" w:ascii="Times New Roman" w:hAnsi="Times New Roman" w:eastAsia="宋体" w:cs="Times New Roman"/>
                <w:color w:val="auto"/>
                <w:sz w:val="24"/>
                <w:szCs w:val="24"/>
                <w:lang w:val="en-US" w:eastAsia="zh-CN"/>
              </w:rPr>
              <w:t>生活污水经</w:t>
            </w:r>
            <w:r>
              <w:rPr>
                <w:rFonts w:hint="default" w:ascii="Times New Roman" w:hAnsi="Times New Roman" w:eastAsia="宋体" w:cs="Times New Roman"/>
                <w:color w:val="auto"/>
                <w:sz w:val="24"/>
                <w:szCs w:val="24"/>
              </w:rPr>
              <w:t>化粪池处理后与循环冷却</w:t>
            </w:r>
            <w:r>
              <w:rPr>
                <w:rFonts w:hint="default" w:ascii="Times New Roman" w:hAnsi="Times New Roman" w:eastAsia="宋体" w:cs="Times New Roman"/>
                <w:color w:val="auto"/>
                <w:sz w:val="24"/>
                <w:szCs w:val="24"/>
                <w:lang w:val="en-US" w:eastAsia="zh-CN"/>
              </w:rPr>
              <w:t>水排水一同通过厂区总排口</w:t>
            </w:r>
            <w:r>
              <w:rPr>
                <w:rFonts w:hint="default" w:ascii="Times New Roman" w:hAnsi="Times New Roman" w:eastAsia="宋体" w:cs="Times New Roman"/>
                <w:color w:val="auto"/>
                <w:sz w:val="24"/>
                <w:szCs w:val="24"/>
              </w:rPr>
              <w:t>排入延津县第一污水处理厂进一步处理</w:t>
            </w:r>
            <w:r>
              <w:rPr>
                <w:rFonts w:hint="default" w:ascii="Times New Roman" w:hAnsi="Times New Roman" w:eastAsia="宋体" w:cs="Times New Roman"/>
                <w:color w:val="auto"/>
                <w:sz w:val="24"/>
                <w:szCs w:val="24"/>
                <w:lang w:val="en-US" w:eastAsia="zh-CN"/>
              </w:rPr>
              <w:t>。总排口</w:t>
            </w:r>
            <w:r>
              <w:rPr>
                <w:rFonts w:hint="default" w:ascii="Times New Roman" w:hAnsi="Times New Roman" w:eastAsia="宋体" w:cs="Times New Roman"/>
                <w:color w:val="auto"/>
                <w:sz w:val="24"/>
                <w:szCs w:val="24"/>
              </w:rPr>
              <w:t>外排达标废水经延津县第一污水处理厂二次处理后排入</w:t>
            </w:r>
            <w:r>
              <w:rPr>
                <w:rFonts w:hint="default" w:ascii="Times New Roman" w:hAnsi="Times New Roman" w:eastAsia="宋体" w:cs="Times New Roman"/>
                <w:color w:val="auto"/>
                <w:sz w:val="24"/>
                <w:szCs w:val="24"/>
                <w:lang w:val="en-US" w:eastAsia="zh-CN"/>
              </w:rPr>
              <w:t>文岩渠</w:t>
            </w:r>
            <w:r>
              <w:rPr>
                <w:rFonts w:hint="default" w:ascii="Times New Roman" w:hAnsi="Times New Roman" w:eastAsia="宋体" w:cs="Times New Roman"/>
                <w:color w:val="auto"/>
                <w:sz w:val="24"/>
                <w:szCs w:val="24"/>
              </w:rPr>
              <w:t>。总排口废水污染物排放浓度须满足</w:t>
            </w:r>
            <w:r>
              <w:rPr>
                <w:rFonts w:hint="default" w:ascii="Times New Roman" w:hAnsi="Times New Roman" w:eastAsia="宋体" w:cs="Times New Roman"/>
                <w:color w:val="auto"/>
                <w:sz w:val="24"/>
                <w:szCs w:val="24"/>
                <w:lang w:val="en-US" w:eastAsia="zh-CN"/>
              </w:rPr>
              <w:t>《污水综合排放标准》（GB8978-1996）表4三级标准及</w:t>
            </w:r>
            <w:r>
              <w:rPr>
                <w:rFonts w:hint="default" w:ascii="Times New Roman" w:hAnsi="Times New Roman" w:eastAsia="宋体" w:cs="Times New Roman"/>
                <w:color w:val="auto"/>
                <w:sz w:val="24"/>
                <w:szCs w:val="24"/>
                <w:lang w:eastAsia="zh-CN"/>
              </w:rPr>
              <w:t>延津县第</w:t>
            </w:r>
            <w:r>
              <w:rPr>
                <w:rFonts w:hint="default" w:ascii="Times New Roman" w:hAnsi="Times New Roman" w:eastAsia="宋体" w:cs="Times New Roman"/>
                <w:color w:val="auto"/>
                <w:sz w:val="24"/>
                <w:szCs w:val="24"/>
                <w:lang w:val="en-US" w:eastAsia="zh-CN"/>
              </w:rPr>
              <w:t>一</w:t>
            </w:r>
            <w:r>
              <w:rPr>
                <w:rFonts w:hint="default" w:ascii="Times New Roman" w:hAnsi="Times New Roman" w:eastAsia="宋体" w:cs="Times New Roman"/>
                <w:color w:val="auto"/>
                <w:sz w:val="24"/>
                <w:szCs w:val="24"/>
                <w:lang w:eastAsia="zh-CN"/>
              </w:rPr>
              <w:t>污水处理厂</w:t>
            </w:r>
            <w:r>
              <w:rPr>
                <w:rFonts w:hint="default" w:ascii="Times New Roman" w:hAnsi="Times New Roman" w:eastAsia="宋体" w:cs="Times New Roman"/>
                <w:color w:val="auto"/>
                <w:sz w:val="24"/>
                <w:szCs w:val="24"/>
              </w:rPr>
              <w:t>的收水标准</w:t>
            </w:r>
            <w:r>
              <w:rPr>
                <w:rFonts w:hint="default" w:ascii="Times New Roman" w:hAnsi="Times New Roman" w:eastAsia="宋体" w:cs="Times New Roman"/>
                <w:color w:val="auto"/>
                <w:sz w:val="24"/>
                <w:szCs w:val="24"/>
                <w:lang w:val="en-US" w:eastAsia="zh-CN"/>
              </w:rPr>
              <w:t>要求。</w:t>
            </w:r>
          </w:p>
          <w:p w14:paraId="0F373A37">
            <w:pPr>
              <w:keepNext w:val="0"/>
              <w:keepLines w:val="0"/>
              <w:pageBreakBefore w:val="0"/>
              <w:widowControl/>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2、废气：</w:t>
            </w:r>
            <w:r>
              <w:rPr>
                <w:rFonts w:hint="default" w:ascii="Times New Roman" w:hAnsi="Times New Roman" w:eastAsia="宋体" w:cs="Times New Roman"/>
                <w:color w:val="auto"/>
                <w:sz w:val="24"/>
                <w:szCs w:val="24"/>
              </w:rPr>
              <w:t>本</w:t>
            </w:r>
            <w:r>
              <w:rPr>
                <w:rFonts w:hint="default" w:ascii="Times New Roman" w:hAnsi="Times New Roman" w:eastAsia="宋体" w:cs="Times New Roman"/>
                <w:color w:val="auto"/>
                <w:sz w:val="24"/>
                <w:szCs w:val="24"/>
                <w:lang w:val="en-US" w:eastAsia="zh-CN"/>
              </w:rPr>
              <w:t>工程</w:t>
            </w:r>
            <w:r>
              <w:rPr>
                <w:rFonts w:hint="default" w:ascii="Times New Roman" w:hAnsi="Times New Roman" w:eastAsia="宋体" w:cs="Times New Roman"/>
                <w:color w:val="auto"/>
                <w:sz w:val="24"/>
                <w:szCs w:val="24"/>
              </w:rPr>
              <w:t>废气污染物</w:t>
            </w:r>
            <w:r>
              <w:rPr>
                <w:rFonts w:hint="default" w:ascii="Times New Roman" w:hAnsi="Times New Roman" w:eastAsia="宋体" w:cs="Times New Roman"/>
                <w:color w:val="auto"/>
                <w:sz w:val="24"/>
                <w:szCs w:val="24"/>
                <w:lang w:val="en-US" w:eastAsia="zh-CN"/>
              </w:rPr>
              <w:t>为注塑、吹瓶工序</w:t>
            </w:r>
            <w:r>
              <w:rPr>
                <w:rFonts w:hint="default" w:ascii="Times New Roman" w:hAnsi="Times New Roman" w:eastAsia="宋体" w:cs="Times New Roman"/>
                <w:color w:val="auto"/>
                <w:sz w:val="24"/>
                <w:szCs w:val="24"/>
              </w:rPr>
              <w:t>产生的</w:t>
            </w:r>
            <w:r>
              <w:rPr>
                <w:rFonts w:hint="default" w:ascii="Times New Roman" w:hAnsi="Times New Roman" w:eastAsia="宋体" w:cs="Times New Roman"/>
                <w:color w:val="auto"/>
                <w:sz w:val="24"/>
                <w:szCs w:val="24"/>
                <w:lang w:val="en-US" w:eastAsia="zh-CN"/>
              </w:rPr>
              <w:t>非甲烷总烃</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对注塑、吹瓶工序进行二次密闭，产生的非甲烷总烃</w:t>
            </w:r>
            <w:r>
              <w:rPr>
                <w:rFonts w:hint="default" w:ascii="Times New Roman" w:hAnsi="Times New Roman" w:eastAsia="宋体" w:cs="Times New Roman"/>
                <w:color w:val="auto"/>
                <w:sz w:val="24"/>
                <w:szCs w:val="24"/>
                <w:lang w:val="zh-CN"/>
              </w:rPr>
              <w:t>负压收集</w:t>
            </w:r>
            <w:r>
              <w:rPr>
                <w:rFonts w:hint="default" w:ascii="Times New Roman" w:hAnsi="Times New Roman" w:eastAsia="宋体" w:cs="Times New Roman"/>
                <w:color w:val="auto"/>
                <w:sz w:val="24"/>
                <w:szCs w:val="24"/>
                <w:lang w:val="en-US" w:eastAsia="zh-CN"/>
              </w:rPr>
              <w:t>至</w:t>
            </w:r>
            <w:r>
              <w:rPr>
                <w:rFonts w:hint="default" w:ascii="Times New Roman" w:hAnsi="Times New Roman" w:eastAsia="宋体" w:cs="Times New Roman"/>
                <w:color w:val="auto"/>
                <w:sz w:val="24"/>
                <w:szCs w:val="24"/>
                <w:lang w:val="zh-CN"/>
              </w:rPr>
              <w:t>“活性炭吸附/脱附装置-催化燃烧装置”</w:t>
            </w:r>
            <w:r>
              <w:rPr>
                <w:rFonts w:hint="default" w:ascii="Times New Roman" w:hAnsi="Times New Roman" w:eastAsia="宋体" w:cs="Times New Roman"/>
                <w:color w:val="auto"/>
                <w:sz w:val="24"/>
                <w:szCs w:val="24"/>
                <w:lang w:val="en-US" w:eastAsia="zh-CN"/>
              </w:rPr>
              <w:t>处理，处理后通过</w:t>
            </w:r>
            <w:r>
              <w:rPr>
                <w:rFonts w:hint="default" w:ascii="Times New Roman" w:hAnsi="Times New Roman" w:eastAsia="宋体" w:cs="Times New Roman"/>
                <w:color w:val="auto"/>
                <w:sz w:val="24"/>
                <w:szCs w:val="24"/>
                <w:lang w:val="zh-CN"/>
              </w:rPr>
              <w:t>15m高排气筒</w:t>
            </w:r>
            <w:r>
              <w:rPr>
                <w:rFonts w:hint="default" w:ascii="Times New Roman" w:hAnsi="Times New Roman" w:eastAsia="宋体" w:cs="Times New Roman"/>
                <w:color w:val="auto"/>
                <w:sz w:val="24"/>
                <w:szCs w:val="24"/>
                <w:lang w:val="en-US" w:eastAsia="zh-CN"/>
              </w:rPr>
              <w:t>排放。非甲烷总烃排放须满足《合成树脂工业污染物排放标准》（GB31572-2015）（含2024年修改单）、《关于全省开展工业企业挥发性有机物专项治理工作中排放建议值的通知》（豫环攻坚办〔2017〕162号）与</w:t>
            </w:r>
            <w:r>
              <w:rPr>
                <w:rFonts w:hint="default" w:ascii="Times New Roman" w:hAnsi="Times New Roman" w:eastAsia="宋体" w:cs="Times New Roman"/>
                <w:color w:val="auto"/>
                <w:sz w:val="24"/>
                <w:szCs w:val="24"/>
                <w:lang w:val="en-US"/>
              </w:rPr>
              <w:t>《河南省重污染天气重点行业应急减排措施制定技术指南（202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rPr>
              <w:t>年修订版）》中“塑料制品”企业A级绩效指标</w:t>
            </w:r>
            <w:r>
              <w:rPr>
                <w:rFonts w:hint="default" w:ascii="Times New Roman" w:hAnsi="Times New Roman" w:eastAsia="宋体" w:cs="Times New Roman"/>
                <w:color w:val="auto"/>
                <w:sz w:val="24"/>
                <w:szCs w:val="24"/>
                <w:lang w:val="en-US" w:eastAsia="zh-CN"/>
              </w:rPr>
              <w:t>限值</w:t>
            </w:r>
            <w:r>
              <w:rPr>
                <w:rFonts w:hint="default" w:ascii="Times New Roman" w:hAnsi="Times New Roman" w:eastAsia="宋体" w:cs="Times New Roman"/>
                <w:color w:val="auto"/>
                <w:sz w:val="24"/>
                <w:szCs w:val="24"/>
                <w:lang w:val="en-US"/>
              </w:rPr>
              <w:t>要求</w:t>
            </w:r>
            <w:r>
              <w:rPr>
                <w:rFonts w:hint="default" w:ascii="Times New Roman" w:hAnsi="Times New Roman" w:eastAsia="宋体" w:cs="Times New Roman"/>
                <w:color w:val="auto"/>
                <w:sz w:val="24"/>
                <w:szCs w:val="24"/>
                <w:lang w:val="en-US" w:eastAsia="zh-CN"/>
              </w:rPr>
              <w:t>。</w:t>
            </w:r>
          </w:p>
          <w:p w14:paraId="2DD55642">
            <w:pPr>
              <w:pStyle w:val="15"/>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3、噪声：对高噪声设备采取隔声、减振等降噪措施后，厂界噪声应满足《工业企业厂界环境噪声排放标准》(GB12348-2008)</w:t>
            </w:r>
            <w:r>
              <w:rPr>
                <w:rFonts w:hint="default" w:ascii="Times New Roman" w:hAnsi="Times New Roman" w:eastAsia="宋体" w:cs="Times New Roman"/>
                <w:color w:val="auto"/>
                <w:sz w:val="24"/>
                <w:szCs w:val="24"/>
                <w:shd w:val="clear" w:color="auto" w:fill="FFFFFF"/>
                <w:lang w:val="en-US" w:eastAsia="zh-CN"/>
              </w:rPr>
              <w:t>2</w:t>
            </w:r>
            <w:r>
              <w:rPr>
                <w:rFonts w:hint="default" w:ascii="Times New Roman" w:hAnsi="Times New Roman" w:eastAsia="宋体" w:cs="Times New Roman"/>
                <w:color w:val="auto"/>
                <w:sz w:val="24"/>
                <w:szCs w:val="24"/>
                <w:shd w:val="clear" w:color="auto" w:fill="FFFFFF"/>
              </w:rPr>
              <w:t>类标准要求。</w:t>
            </w:r>
          </w:p>
          <w:p w14:paraId="6C5AE9AE">
            <w:pPr>
              <w:keepNext w:val="0"/>
              <w:keepLines w:val="0"/>
              <w:pageBreakBefore w:val="0"/>
              <w:widowControl/>
              <w:kinsoku/>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4、固废：</w:t>
            </w:r>
            <w:r>
              <w:rPr>
                <w:rFonts w:hint="default" w:ascii="Times New Roman" w:hAnsi="Times New Roman" w:eastAsia="宋体" w:cs="Times New Roman"/>
                <w:color w:val="auto"/>
                <w:sz w:val="24"/>
                <w:szCs w:val="24"/>
              </w:rPr>
              <w:t>按照环评提出的措施妥善处置生产过程中产生的各种固废，一般工业固废须按《一般工业固体废物贮存和填埋污染控制标准》(GB18599-2020)要求进行控制、危废须按《危险废物贮存污染控制标准》（GB18597-2023）进行控制。</w:t>
            </w:r>
          </w:p>
          <w:p w14:paraId="7A285441">
            <w:pPr>
              <w:pStyle w:val="15"/>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四、按照国家、省、市有关规定设置规范的污染物排放口、安装污染物在线监测及监控设施，并按要求与环保部门联网。</w:t>
            </w:r>
          </w:p>
          <w:p w14:paraId="43CE9DB0">
            <w:pPr>
              <w:pStyle w:val="15"/>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shd w:val="clear" w:color="auto" w:fill="FFFFFF"/>
              </w:rPr>
              <w:t>五、项目建成后，须按照《固定污染源排污许可分类管理名录》规定的时限依法申报排污许可证，按规定程序和标准实施竣工环境保护验收。</w:t>
            </w:r>
          </w:p>
          <w:p w14:paraId="6DD849DC">
            <w:pPr>
              <w:pStyle w:val="15"/>
              <w:keepNext w:val="0"/>
              <w:keepLines w:val="0"/>
              <w:pageBreakBefore w:val="0"/>
              <w:widowControl/>
              <w:shd w:val="clear" w:color="auto" w:fill="FFFFFF"/>
              <w:kinsoku/>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shd w:val="clear" w:color="auto" w:fill="FFFFFF"/>
              </w:rPr>
              <w:t>六、如果今后国家或我省颁布新的标准，届时你单位应按新标准执行。</w:t>
            </w:r>
          </w:p>
          <w:p w14:paraId="4FFD35BD">
            <w:pPr>
              <w:keepNext w:val="0"/>
              <w:keepLines w:val="0"/>
              <w:pageBreakBefore w:val="0"/>
              <w:widowControl/>
              <w:kinsoku/>
              <w:overflowPunct/>
              <w:topLinePunct w:val="0"/>
              <w:autoSpaceDE/>
              <w:autoSpaceDN/>
              <w:bidi w:val="0"/>
              <w:spacing w:after="0" w:line="460" w:lineRule="exact"/>
              <w:ind w:firstLine="480" w:firstLineChars="200"/>
              <w:jc w:val="both"/>
              <w:textAlignment w:val="auto"/>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sz w:val="24"/>
                <w:szCs w:val="24"/>
                <w:shd w:val="clear" w:color="auto" w:fill="FFFFFF"/>
              </w:rPr>
              <w:t>七、本批复有效期为5年，如该项目逾期方开工建设，其环境影响报告表应报我局重新审核</w:t>
            </w:r>
            <w:r>
              <w:rPr>
                <w:rFonts w:hint="default" w:ascii="Times New Roman" w:hAnsi="Times New Roman" w:eastAsia="仿宋" w:cs="Times New Roman"/>
                <w:color w:val="auto"/>
                <w:sz w:val="32"/>
                <w:szCs w:val="32"/>
                <w:shd w:val="clear" w:color="auto" w:fill="FFFFFF"/>
              </w:rPr>
              <w:t>。</w:t>
            </w:r>
          </w:p>
          <w:p w14:paraId="736DE16E">
            <w:pPr>
              <w:spacing w:after="0" w:line="460" w:lineRule="exact"/>
              <w:jc w:val="both"/>
              <w:rPr>
                <w:rFonts w:hint="eastAsia" w:eastAsia="宋体"/>
                <w:color w:val="auto"/>
                <w:kern w:val="2"/>
                <w:sz w:val="24"/>
                <w:szCs w:val="24"/>
                <w:lang w:eastAsia="zh-CN"/>
              </w:rPr>
            </w:pPr>
          </w:p>
          <w:p w14:paraId="3CAC18C3">
            <w:pPr>
              <w:spacing w:after="0" w:line="460" w:lineRule="exact"/>
              <w:jc w:val="both"/>
              <w:rPr>
                <w:rFonts w:hint="eastAsia" w:eastAsia="宋体"/>
                <w:color w:val="auto"/>
                <w:kern w:val="2"/>
                <w:sz w:val="24"/>
                <w:szCs w:val="24"/>
                <w:lang w:eastAsia="zh-CN"/>
              </w:rPr>
            </w:pPr>
          </w:p>
          <w:p w14:paraId="4AE454A5">
            <w:pPr>
              <w:keepNext w:val="0"/>
              <w:keepLines w:val="0"/>
              <w:pageBreakBefore w:val="0"/>
              <w:widowControl/>
              <w:kinsoku/>
              <w:wordWrap/>
              <w:overflowPunct/>
              <w:topLinePunct w:val="0"/>
              <w:autoSpaceDE/>
              <w:autoSpaceDN/>
              <w:bidi w:val="0"/>
              <w:adjustRightInd w:val="0"/>
              <w:snapToGrid w:val="0"/>
              <w:spacing w:after="0" w:line="460" w:lineRule="exact"/>
              <w:ind w:right="880" w:rightChars="400"/>
              <w:jc w:val="right"/>
              <w:textAlignment w:val="auto"/>
              <w:rPr>
                <w:rFonts w:eastAsia="宋体"/>
                <w:color w:val="auto"/>
                <w:kern w:val="2"/>
                <w:sz w:val="24"/>
                <w:szCs w:val="24"/>
              </w:rPr>
            </w:pPr>
            <w:r>
              <w:rPr>
                <w:rFonts w:hint="eastAsia" w:eastAsia="宋体"/>
                <w:color w:val="auto"/>
                <w:kern w:val="2"/>
                <w:sz w:val="24"/>
                <w:szCs w:val="24"/>
              </w:rPr>
              <w:t>新乡市生态环境局</w:t>
            </w:r>
          </w:p>
          <w:p w14:paraId="05C65C54">
            <w:pPr>
              <w:spacing w:after="0" w:line="440" w:lineRule="exact"/>
              <w:ind w:firstLine="5952" w:firstLineChars="2480"/>
              <w:jc w:val="both"/>
              <w:rPr>
                <w:rFonts w:hint="eastAsia" w:eastAsia="宋体"/>
                <w:color w:val="auto"/>
                <w:kern w:val="2"/>
                <w:sz w:val="24"/>
                <w:szCs w:val="24"/>
              </w:rPr>
            </w:pPr>
            <w:r>
              <w:rPr>
                <w:rFonts w:hint="eastAsia" w:eastAsia="宋体"/>
                <w:color w:val="auto"/>
                <w:kern w:val="2"/>
                <w:sz w:val="24"/>
                <w:szCs w:val="24"/>
              </w:rPr>
              <w:t>202</w:t>
            </w:r>
            <w:r>
              <w:rPr>
                <w:rFonts w:hint="eastAsia" w:eastAsia="宋体"/>
                <w:color w:val="auto"/>
                <w:kern w:val="2"/>
                <w:sz w:val="24"/>
                <w:szCs w:val="24"/>
                <w:lang w:val="en-US" w:eastAsia="zh-CN"/>
              </w:rPr>
              <w:t>6</w:t>
            </w:r>
            <w:r>
              <w:rPr>
                <w:rFonts w:hint="eastAsia" w:eastAsia="宋体"/>
                <w:color w:val="auto"/>
                <w:kern w:val="2"/>
                <w:sz w:val="24"/>
                <w:szCs w:val="24"/>
              </w:rPr>
              <w:t>年</w:t>
            </w:r>
            <w:r>
              <w:rPr>
                <w:rFonts w:hint="eastAsia" w:eastAsia="宋体"/>
                <w:color w:val="auto"/>
                <w:kern w:val="2"/>
                <w:sz w:val="24"/>
                <w:szCs w:val="24"/>
                <w:lang w:val="en-US" w:eastAsia="zh-CN"/>
              </w:rPr>
              <w:t>2</w:t>
            </w:r>
            <w:r>
              <w:rPr>
                <w:rFonts w:hint="eastAsia" w:eastAsia="宋体"/>
                <w:color w:val="auto"/>
                <w:kern w:val="2"/>
                <w:sz w:val="24"/>
                <w:szCs w:val="24"/>
              </w:rPr>
              <w:t>月</w:t>
            </w:r>
            <w:r>
              <w:rPr>
                <w:rFonts w:hint="eastAsia" w:eastAsia="宋体"/>
                <w:color w:val="auto"/>
                <w:kern w:val="2"/>
                <w:sz w:val="24"/>
                <w:szCs w:val="24"/>
                <w:lang w:val="en-US" w:eastAsia="zh-CN"/>
              </w:rPr>
              <w:t>26</w:t>
            </w:r>
            <w:r>
              <w:rPr>
                <w:rFonts w:hint="eastAsia" w:eastAsia="宋体"/>
                <w:color w:val="auto"/>
                <w:kern w:val="2"/>
                <w:sz w:val="24"/>
                <w:szCs w:val="24"/>
              </w:rPr>
              <w:t>日</w:t>
            </w:r>
          </w:p>
          <w:p w14:paraId="290E63E7">
            <w:pPr>
              <w:spacing w:after="0" w:line="460" w:lineRule="exact"/>
              <w:ind w:firstLine="480" w:firstLineChars="200"/>
              <w:jc w:val="both"/>
              <w:rPr>
                <w:rFonts w:eastAsia="宋体"/>
                <w:color w:val="auto"/>
                <w:kern w:val="2"/>
                <w:sz w:val="24"/>
                <w:szCs w:val="24"/>
              </w:rPr>
            </w:pPr>
          </w:p>
          <w:p w14:paraId="591E0D82">
            <w:pPr>
              <w:spacing w:after="0" w:line="460" w:lineRule="exact"/>
              <w:ind w:firstLine="480" w:firstLineChars="200"/>
              <w:jc w:val="both"/>
              <w:rPr>
                <w:rFonts w:eastAsia="宋体"/>
                <w:color w:val="auto"/>
                <w:kern w:val="2"/>
                <w:sz w:val="24"/>
                <w:szCs w:val="24"/>
              </w:rPr>
            </w:pPr>
          </w:p>
          <w:p w14:paraId="1DD7F004">
            <w:pPr>
              <w:spacing w:after="0" w:line="460" w:lineRule="exact"/>
              <w:ind w:firstLine="480" w:firstLineChars="200"/>
              <w:jc w:val="both"/>
              <w:rPr>
                <w:rFonts w:eastAsia="宋体"/>
                <w:color w:val="auto"/>
                <w:kern w:val="2"/>
                <w:sz w:val="24"/>
                <w:szCs w:val="24"/>
              </w:rPr>
            </w:pPr>
          </w:p>
          <w:p w14:paraId="3E628C28">
            <w:pPr>
              <w:spacing w:after="0" w:line="460" w:lineRule="exact"/>
              <w:ind w:firstLine="480" w:firstLineChars="200"/>
              <w:jc w:val="both"/>
              <w:rPr>
                <w:rFonts w:eastAsia="宋体"/>
                <w:color w:val="auto"/>
                <w:kern w:val="2"/>
                <w:sz w:val="24"/>
                <w:szCs w:val="24"/>
              </w:rPr>
            </w:pPr>
          </w:p>
          <w:p w14:paraId="095DF9D5">
            <w:pPr>
              <w:spacing w:after="0" w:line="460" w:lineRule="exact"/>
              <w:ind w:firstLine="480" w:firstLineChars="200"/>
              <w:jc w:val="both"/>
              <w:rPr>
                <w:rFonts w:eastAsia="宋体"/>
                <w:color w:val="auto"/>
                <w:kern w:val="2"/>
                <w:sz w:val="24"/>
                <w:szCs w:val="24"/>
              </w:rPr>
            </w:pPr>
          </w:p>
          <w:p w14:paraId="4AD18109">
            <w:pPr>
              <w:spacing w:after="0" w:line="460" w:lineRule="exact"/>
              <w:ind w:firstLine="480" w:firstLineChars="200"/>
              <w:jc w:val="both"/>
              <w:rPr>
                <w:rFonts w:eastAsia="宋体"/>
                <w:color w:val="auto"/>
                <w:kern w:val="2"/>
                <w:sz w:val="24"/>
                <w:szCs w:val="24"/>
              </w:rPr>
            </w:pPr>
          </w:p>
          <w:p w14:paraId="62EBDDCD">
            <w:pPr>
              <w:spacing w:after="0" w:line="460" w:lineRule="exact"/>
              <w:ind w:firstLine="480" w:firstLineChars="200"/>
              <w:jc w:val="both"/>
              <w:rPr>
                <w:rFonts w:eastAsia="宋体"/>
                <w:color w:val="auto"/>
                <w:kern w:val="2"/>
                <w:sz w:val="24"/>
                <w:szCs w:val="24"/>
              </w:rPr>
            </w:pPr>
          </w:p>
          <w:p w14:paraId="69D37094">
            <w:pPr>
              <w:spacing w:after="0" w:line="460" w:lineRule="exact"/>
              <w:ind w:firstLine="480" w:firstLineChars="200"/>
              <w:jc w:val="both"/>
              <w:rPr>
                <w:rFonts w:eastAsia="宋体"/>
                <w:color w:val="auto"/>
                <w:kern w:val="2"/>
                <w:sz w:val="24"/>
                <w:szCs w:val="24"/>
              </w:rPr>
            </w:pPr>
          </w:p>
          <w:p w14:paraId="40875A87">
            <w:pPr>
              <w:spacing w:after="0" w:line="460" w:lineRule="exact"/>
              <w:ind w:firstLine="480" w:firstLineChars="200"/>
              <w:jc w:val="both"/>
              <w:rPr>
                <w:rFonts w:eastAsia="宋体"/>
                <w:color w:val="auto"/>
                <w:kern w:val="2"/>
                <w:sz w:val="24"/>
                <w:szCs w:val="24"/>
              </w:rPr>
            </w:pPr>
          </w:p>
          <w:p w14:paraId="687B4E9A">
            <w:pPr>
              <w:spacing w:after="0" w:line="460" w:lineRule="exact"/>
              <w:ind w:firstLine="480" w:firstLineChars="200"/>
              <w:jc w:val="both"/>
              <w:rPr>
                <w:rFonts w:eastAsia="宋体"/>
                <w:color w:val="auto"/>
                <w:kern w:val="2"/>
                <w:sz w:val="24"/>
                <w:szCs w:val="24"/>
              </w:rPr>
            </w:pPr>
          </w:p>
          <w:p w14:paraId="051499B8">
            <w:pPr>
              <w:spacing w:after="0" w:line="460" w:lineRule="exact"/>
              <w:ind w:firstLine="480" w:firstLineChars="200"/>
              <w:jc w:val="both"/>
              <w:rPr>
                <w:rFonts w:eastAsia="宋体"/>
                <w:color w:val="auto"/>
                <w:kern w:val="2"/>
                <w:sz w:val="24"/>
                <w:szCs w:val="24"/>
              </w:rPr>
            </w:pPr>
          </w:p>
          <w:p w14:paraId="6B39E822">
            <w:pPr>
              <w:spacing w:after="0" w:line="460" w:lineRule="exact"/>
              <w:ind w:firstLine="480" w:firstLineChars="200"/>
              <w:jc w:val="both"/>
              <w:rPr>
                <w:rFonts w:eastAsia="宋体"/>
                <w:color w:val="auto"/>
                <w:kern w:val="2"/>
                <w:sz w:val="24"/>
                <w:szCs w:val="24"/>
              </w:rPr>
            </w:pPr>
          </w:p>
          <w:p w14:paraId="0D219C41">
            <w:pPr>
              <w:spacing w:after="0" w:line="460" w:lineRule="exact"/>
              <w:jc w:val="both"/>
              <w:rPr>
                <w:rFonts w:eastAsia="宋体"/>
                <w:color w:val="auto"/>
                <w:kern w:val="2"/>
                <w:sz w:val="24"/>
                <w:szCs w:val="24"/>
              </w:rPr>
            </w:pPr>
          </w:p>
          <w:p w14:paraId="46EC7DC6">
            <w:pPr>
              <w:spacing w:after="0" w:line="460" w:lineRule="exact"/>
              <w:ind w:firstLine="480" w:firstLineChars="200"/>
              <w:jc w:val="both"/>
              <w:rPr>
                <w:rFonts w:eastAsia="宋体"/>
                <w:color w:val="auto"/>
                <w:kern w:val="2"/>
                <w:sz w:val="24"/>
                <w:szCs w:val="24"/>
              </w:rPr>
            </w:pPr>
            <w:r>
              <w:rPr>
                <w:rFonts w:eastAsia="宋体"/>
                <w:color w:val="auto"/>
                <w:kern w:val="2"/>
                <w:sz w:val="24"/>
                <w:szCs w:val="24"/>
              </w:rPr>
              <w:t>3、本项目落实环评批复情况</w:t>
            </w:r>
          </w:p>
          <w:p w14:paraId="79A1FE20">
            <w:pPr>
              <w:spacing w:after="0" w:line="480" w:lineRule="exact"/>
              <w:ind w:firstLine="480" w:firstLineChars="200"/>
              <w:textAlignment w:val="baseline"/>
              <w:rPr>
                <w:rFonts w:eastAsia="黑体"/>
                <w:color w:val="auto"/>
                <w:sz w:val="24"/>
                <w:szCs w:val="21"/>
              </w:rPr>
            </w:pPr>
            <w:r>
              <w:rPr>
                <w:rFonts w:eastAsia="黑体"/>
                <w:color w:val="auto"/>
                <w:sz w:val="24"/>
                <w:szCs w:val="21"/>
              </w:rPr>
              <w:t>表</w:t>
            </w:r>
            <w:r>
              <w:rPr>
                <w:rFonts w:hint="eastAsia" w:eastAsia="黑体"/>
                <w:color w:val="auto"/>
                <w:sz w:val="24"/>
                <w:szCs w:val="21"/>
              </w:rPr>
              <w:t>1</w:t>
            </w:r>
            <w:r>
              <w:rPr>
                <w:rFonts w:eastAsia="黑体"/>
                <w:color w:val="auto"/>
                <w:sz w:val="24"/>
                <w:szCs w:val="21"/>
              </w:rPr>
              <w:t xml:space="preserve">0             </w:t>
            </w:r>
            <w:r>
              <w:rPr>
                <w:rFonts w:hint="eastAsia" w:eastAsia="黑体"/>
                <w:color w:val="auto"/>
                <w:sz w:val="24"/>
                <w:szCs w:val="21"/>
              </w:rPr>
              <w:t xml:space="preserve">   </w:t>
            </w:r>
            <w:r>
              <w:rPr>
                <w:rFonts w:eastAsia="黑体"/>
                <w:color w:val="auto"/>
                <w:sz w:val="24"/>
                <w:szCs w:val="21"/>
              </w:rPr>
              <w:t>本项目落实环评批复情况</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8"/>
              <w:gridCol w:w="5539"/>
              <w:gridCol w:w="2270"/>
            </w:tblGrid>
            <w:tr w14:paraId="655EE6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517" w:type="dxa"/>
                  <w:gridSpan w:val="2"/>
                  <w:tcBorders>
                    <w:top w:val="single" w:color="auto" w:sz="8" w:space="0"/>
                    <w:left w:val="nil"/>
                    <w:bottom w:val="single" w:color="auto" w:sz="4" w:space="0"/>
                    <w:right w:val="single" w:color="auto" w:sz="4" w:space="0"/>
                  </w:tcBorders>
                  <w:shd w:val="clear" w:color="auto" w:fill="auto"/>
                  <w:vAlign w:val="center"/>
                </w:tcPr>
                <w:p w14:paraId="569F12BA">
                  <w:pPr>
                    <w:spacing w:after="0" w:line="280" w:lineRule="exact"/>
                    <w:jc w:val="center"/>
                    <w:rPr>
                      <w:rFonts w:eastAsia="宋体"/>
                      <w:b/>
                      <w:bCs/>
                      <w:color w:val="auto"/>
                      <w:kern w:val="2"/>
                      <w:sz w:val="21"/>
                      <w:szCs w:val="21"/>
                    </w:rPr>
                  </w:pPr>
                  <w:r>
                    <w:rPr>
                      <w:rFonts w:hint="eastAsia" w:eastAsia="宋体"/>
                      <w:b/>
                      <w:bCs/>
                      <w:color w:val="auto"/>
                      <w:kern w:val="2"/>
                      <w:sz w:val="21"/>
                      <w:szCs w:val="21"/>
                    </w:rPr>
                    <w:t>新乡市生态环境局凤泉分局</w:t>
                  </w:r>
                  <w:r>
                    <w:rPr>
                      <w:rFonts w:eastAsia="宋体"/>
                      <w:b/>
                      <w:bCs/>
                      <w:color w:val="auto"/>
                      <w:kern w:val="2"/>
                      <w:sz w:val="21"/>
                      <w:szCs w:val="21"/>
                    </w:rPr>
                    <w:t>对本项目环评批复情况</w:t>
                  </w:r>
                </w:p>
              </w:tc>
              <w:tc>
                <w:tcPr>
                  <w:tcW w:w="2270" w:type="dxa"/>
                  <w:tcBorders>
                    <w:top w:val="single" w:color="auto" w:sz="8" w:space="0"/>
                    <w:left w:val="single" w:color="auto" w:sz="4" w:space="0"/>
                    <w:bottom w:val="single" w:color="auto" w:sz="4" w:space="0"/>
                    <w:right w:val="nil"/>
                  </w:tcBorders>
                  <w:shd w:val="clear" w:color="auto" w:fill="auto"/>
                  <w:vAlign w:val="center"/>
                </w:tcPr>
                <w:p w14:paraId="2F9E4236">
                  <w:pPr>
                    <w:spacing w:after="0" w:line="280" w:lineRule="exact"/>
                    <w:jc w:val="center"/>
                    <w:rPr>
                      <w:rFonts w:eastAsia="宋体"/>
                      <w:b/>
                      <w:bCs/>
                      <w:color w:val="auto"/>
                      <w:kern w:val="2"/>
                      <w:sz w:val="21"/>
                      <w:szCs w:val="21"/>
                    </w:rPr>
                  </w:pPr>
                  <w:r>
                    <w:rPr>
                      <w:rFonts w:eastAsia="宋体"/>
                      <w:b/>
                      <w:bCs/>
                      <w:color w:val="auto"/>
                      <w:kern w:val="2"/>
                      <w:sz w:val="21"/>
                      <w:szCs w:val="21"/>
                    </w:rPr>
                    <w:t>落实情况</w:t>
                  </w:r>
                </w:p>
              </w:tc>
            </w:tr>
            <w:tr w14:paraId="3D3B20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7" w:type="dxa"/>
                  <w:gridSpan w:val="2"/>
                  <w:tcBorders>
                    <w:top w:val="single" w:color="auto" w:sz="4" w:space="0"/>
                    <w:left w:val="nil"/>
                    <w:bottom w:val="single" w:color="auto" w:sz="4" w:space="0"/>
                    <w:right w:val="single" w:color="auto" w:sz="4" w:space="0"/>
                  </w:tcBorders>
                  <w:vAlign w:val="center"/>
                </w:tcPr>
                <w:p w14:paraId="6C273A43">
                  <w:pPr>
                    <w:pStyle w:val="1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eastAsia="宋体"/>
                      <w:color w:val="auto"/>
                      <w:kern w:val="2"/>
                      <w:sz w:val="21"/>
                      <w:szCs w:val="21"/>
                    </w:rPr>
                  </w:pPr>
                  <w:r>
                    <w:rPr>
                      <w:rFonts w:hint="default" w:ascii="Times New Roman" w:hAnsi="Times New Roman" w:eastAsia="宋体" w:cs="Times New Roman"/>
                      <w:color w:val="auto"/>
                      <w:sz w:val="24"/>
                      <w:szCs w:val="24"/>
                      <w:shd w:val="clear" w:color="auto" w:fill="FFFFFF"/>
                    </w:rPr>
                    <w:t>一、我局批准该《报告表》，原则同意你单位按照《报告表》所列项目的建设内容和生态环境保护措施进行建设。</w:t>
                  </w:r>
                </w:p>
              </w:tc>
              <w:tc>
                <w:tcPr>
                  <w:tcW w:w="2270" w:type="dxa"/>
                  <w:tcBorders>
                    <w:top w:val="single" w:color="auto" w:sz="4" w:space="0"/>
                    <w:left w:val="single" w:color="auto" w:sz="4" w:space="0"/>
                    <w:bottom w:val="single" w:color="auto" w:sz="4" w:space="0"/>
                    <w:right w:val="nil"/>
                  </w:tcBorders>
                  <w:vAlign w:val="center"/>
                </w:tcPr>
                <w:p w14:paraId="0045E0F4">
                  <w:pPr>
                    <w:keepNext w:val="0"/>
                    <w:keepLines w:val="0"/>
                    <w:pageBreakBefore w:val="0"/>
                    <w:widowControl/>
                    <w:kinsoku/>
                    <w:wordWrap/>
                    <w:overflowPunct/>
                    <w:topLinePunct w:val="0"/>
                    <w:autoSpaceDE/>
                    <w:autoSpaceDN/>
                    <w:bidi w:val="0"/>
                    <w:spacing w:after="0" w:line="240" w:lineRule="auto"/>
                    <w:ind w:firstLine="0" w:firstLineChars="0"/>
                    <w:jc w:val="center"/>
                    <w:textAlignment w:val="auto"/>
                    <w:rPr>
                      <w:rFonts w:eastAsia="宋体"/>
                      <w:color w:val="auto"/>
                      <w:kern w:val="2"/>
                      <w:sz w:val="21"/>
                      <w:szCs w:val="21"/>
                    </w:rPr>
                  </w:pPr>
                  <w:r>
                    <w:rPr>
                      <w:rFonts w:eastAsia="宋体"/>
                      <w:color w:val="auto"/>
                      <w:kern w:val="2"/>
                      <w:sz w:val="21"/>
                      <w:szCs w:val="21"/>
                    </w:rPr>
                    <w:t>已落实</w:t>
                  </w:r>
                </w:p>
              </w:tc>
            </w:tr>
            <w:tr w14:paraId="6D3E4D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7" w:type="dxa"/>
                  <w:gridSpan w:val="2"/>
                  <w:tcBorders>
                    <w:top w:val="single" w:color="auto" w:sz="4" w:space="0"/>
                    <w:left w:val="nil"/>
                    <w:bottom w:val="single" w:color="auto" w:sz="4" w:space="0"/>
                    <w:right w:val="single" w:color="auto" w:sz="4" w:space="0"/>
                  </w:tcBorders>
                  <w:vAlign w:val="center"/>
                </w:tcPr>
                <w:p w14:paraId="205B4AB6">
                  <w:pPr>
                    <w:keepNext w:val="0"/>
                    <w:keepLines w:val="0"/>
                    <w:pageBreakBefore w:val="0"/>
                    <w:widowControl/>
                    <w:kinsoku/>
                    <w:wordWrap/>
                    <w:overflowPunct/>
                    <w:topLinePunct w:val="0"/>
                    <w:autoSpaceDE/>
                    <w:autoSpaceDN/>
                    <w:bidi w:val="0"/>
                    <w:spacing w:after="0" w:line="240" w:lineRule="auto"/>
                    <w:ind w:firstLine="0" w:firstLineChars="0"/>
                    <w:jc w:val="both"/>
                    <w:textAlignment w:val="auto"/>
                    <w:rPr>
                      <w:rFonts w:eastAsia="宋体"/>
                      <w:color w:val="auto"/>
                      <w:kern w:val="2"/>
                      <w:sz w:val="21"/>
                      <w:szCs w:val="21"/>
                    </w:rPr>
                  </w:pPr>
                  <w:r>
                    <w:rPr>
                      <w:rFonts w:hint="default" w:ascii="Times New Roman" w:hAnsi="Times New Roman" w:eastAsia="宋体" w:cs="Times New Roman"/>
                      <w:color w:val="auto"/>
                      <w:sz w:val="24"/>
                      <w:szCs w:val="24"/>
                      <w:shd w:val="clear" w:color="auto" w:fill="FFFFFF"/>
                    </w:rPr>
                    <w:t>二、你单位应主动向社会公众公开经批准的《报告表》，并接受相关方的垂询。</w:t>
                  </w:r>
                </w:p>
              </w:tc>
              <w:tc>
                <w:tcPr>
                  <w:tcW w:w="2270" w:type="dxa"/>
                  <w:tcBorders>
                    <w:top w:val="single" w:color="auto" w:sz="4" w:space="0"/>
                    <w:left w:val="single" w:color="auto" w:sz="4" w:space="0"/>
                    <w:bottom w:val="single" w:color="auto" w:sz="4" w:space="0"/>
                    <w:right w:val="nil"/>
                  </w:tcBorders>
                  <w:vAlign w:val="center"/>
                </w:tcPr>
                <w:p w14:paraId="694DEB07">
                  <w:pPr>
                    <w:keepNext w:val="0"/>
                    <w:keepLines w:val="0"/>
                    <w:pageBreakBefore w:val="0"/>
                    <w:widowControl/>
                    <w:tabs>
                      <w:tab w:val="left" w:pos="510"/>
                      <w:tab w:val="center" w:pos="1259"/>
                    </w:tabs>
                    <w:kinsoku/>
                    <w:wordWrap/>
                    <w:overflowPunct/>
                    <w:topLinePunct w:val="0"/>
                    <w:autoSpaceDE/>
                    <w:autoSpaceDN/>
                    <w:bidi w:val="0"/>
                    <w:spacing w:after="0" w:line="240" w:lineRule="auto"/>
                    <w:ind w:firstLine="0" w:firstLineChars="0"/>
                    <w:jc w:val="center"/>
                    <w:textAlignment w:val="auto"/>
                    <w:rPr>
                      <w:rFonts w:eastAsia="宋体"/>
                      <w:color w:val="auto"/>
                      <w:kern w:val="2"/>
                      <w:sz w:val="21"/>
                      <w:szCs w:val="21"/>
                    </w:rPr>
                  </w:pPr>
                  <w:r>
                    <w:rPr>
                      <w:rFonts w:eastAsia="宋体"/>
                      <w:color w:val="auto"/>
                      <w:kern w:val="2"/>
                      <w:sz w:val="21"/>
                      <w:szCs w:val="21"/>
                    </w:rPr>
                    <w:t>已落实</w:t>
                  </w:r>
                </w:p>
              </w:tc>
            </w:tr>
            <w:tr w14:paraId="1B627E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restart"/>
                  <w:tcBorders>
                    <w:top w:val="single" w:color="auto" w:sz="4" w:space="0"/>
                    <w:left w:val="nil"/>
                    <w:bottom w:val="single" w:color="auto" w:sz="8" w:space="0"/>
                    <w:right w:val="single" w:color="auto" w:sz="4" w:space="0"/>
                  </w:tcBorders>
                  <w:vAlign w:val="center"/>
                </w:tcPr>
                <w:p w14:paraId="02E1ECC3">
                  <w:pPr>
                    <w:keepNext w:val="0"/>
                    <w:keepLines w:val="0"/>
                    <w:pageBreakBefore w:val="0"/>
                    <w:widowControl/>
                    <w:tabs>
                      <w:tab w:val="left" w:pos="510"/>
                      <w:tab w:val="center" w:pos="1259"/>
                    </w:tabs>
                    <w:kinsoku/>
                    <w:wordWrap/>
                    <w:overflowPunct/>
                    <w:topLinePunct w:val="0"/>
                    <w:autoSpaceDE/>
                    <w:autoSpaceDN/>
                    <w:bidi w:val="0"/>
                    <w:spacing w:after="0" w:line="240" w:lineRule="auto"/>
                    <w:ind w:firstLine="0" w:firstLineChars="0"/>
                    <w:jc w:val="both"/>
                    <w:textAlignment w:val="auto"/>
                    <w:rPr>
                      <w:rFonts w:hint="eastAsia" w:eastAsia="宋体"/>
                      <w:color w:val="auto"/>
                      <w:kern w:val="2"/>
                      <w:sz w:val="21"/>
                      <w:szCs w:val="21"/>
                      <w:lang w:eastAsia="zh-CN"/>
                    </w:rPr>
                  </w:pPr>
                  <w:r>
                    <w:rPr>
                      <w:rFonts w:hint="default" w:ascii="Times New Roman" w:hAnsi="Times New Roman" w:eastAsia="宋体" w:cs="Times New Roman"/>
                      <w:color w:val="auto"/>
                      <w:sz w:val="24"/>
                      <w:szCs w:val="24"/>
                      <w:shd w:val="clear" w:color="auto" w:fill="FFFFFF"/>
                    </w:rPr>
                    <w:t>三、你单位应全面落实《报告表》提出的各项生态环境保护措施，各环境保护设施必须与主体工程同时设计、同时施工、同时投产使用，确保各项污染物达标排放。</w:t>
                  </w:r>
                </w:p>
              </w:tc>
              <w:tc>
                <w:tcPr>
                  <w:tcW w:w="5539" w:type="dxa"/>
                  <w:tcBorders>
                    <w:top w:val="single" w:color="auto" w:sz="4" w:space="0"/>
                    <w:left w:val="single" w:color="auto" w:sz="4" w:space="0"/>
                    <w:bottom w:val="single" w:color="auto" w:sz="4" w:space="0"/>
                    <w:right w:val="single" w:color="auto" w:sz="4" w:space="0"/>
                  </w:tcBorders>
                  <w:vAlign w:val="center"/>
                </w:tcPr>
                <w:p w14:paraId="20E7D8D2">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eastAsia="宋体"/>
                      <w:color w:val="auto"/>
                      <w:kern w:val="2"/>
                      <w:sz w:val="21"/>
                      <w:szCs w:val="21"/>
                    </w:rPr>
                  </w:pPr>
                  <w:r>
                    <w:rPr>
                      <w:rFonts w:hint="default" w:ascii="Times New Roman" w:hAnsi="Times New Roman" w:eastAsia="宋体" w:cs="Times New Roman"/>
                      <w:color w:val="auto"/>
                      <w:sz w:val="24"/>
                      <w:szCs w:val="24"/>
                      <w:shd w:val="clear" w:color="auto" w:fill="FFFFFF"/>
                    </w:rPr>
                    <w:t>1、废水：</w:t>
                  </w:r>
                  <w:r>
                    <w:rPr>
                      <w:rFonts w:hint="default" w:ascii="Times New Roman" w:hAnsi="Times New Roman" w:eastAsia="宋体" w:cs="Times New Roman"/>
                      <w:color w:val="auto"/>
                      <w:sz w:val="24"/>
                      <w:szCs w:val="24"/>
                      <w:lang w:val="en-US" w:eastAsia="zh-CN"/>
                    </w:rPr>
                    <w:t>生活污水经</w:t>
                  </w:r>
                  <w:r>
                    <w:rPr>
                      <w:rFonts w:hint="default" w:ascii="Times New Roman" w:hAnsi="Times New Roman" w:eastAsia="宋体" w:cs="Times New Roman"/>
                      <w:color w:val="auto"/>
                      <w:sz w:val="24"/>
                      <w:szCs w:val="24"/>
                    </w:rPr>
                    <w:t>化粪池处理后与循环冷却</w:t>
                  </w:r>
                  <w:r>
                    <w:rPr>
                      <w:rFonts w:hint="default" w:ascii="Times New Roman" w:hAnsi="Times New Roman" w:eastAsia="宋体" w:cs="Times New Roman"/>
                      <w:color w:val="auto"/>
                      <w:sz w:val="24"/>
                      <w:szCs w:val="24"/>
                      <w:lang w:val="en-US" w:eastAsia="zh-CN"/>
                    </w:rPr>
                    <w:t>水排水一同通过厂区总排口</w:t>
                  </w:r>
                  <w:r>
                    <w:rPr>
                      <w:rFonts w:hint="default" w:ascii="Times New Roman" w:hAnsi="Times New Roman" w:eastAsia="宋体" w:cs="Times New Roman"/>
                      <w:color w:val="auto"/>
                      <w:sz w:val="24"/>
                      <w:szCs w:val="24"/>
                    </w:rPr>
                    <w:t>排入延津县第一污水处理厂进一步处理</w:t>
                  </w:r>
                  <w:r>
                    <w:rPr>
                      <w:rFonts w:hint="default" w:ascii="Times New Roman" w:hAnsi="Times New Roman" w:eastAsia="宋体" w:cs="Times New Roman"/>
                      <w:color w:val="auto"/>
                      <w:sz w:val="24"/>
                      <w:szCs w:val="24"/>
                      <w:lang w:val="en-US" w:eastAsia="zh-CN"/>
                    </w:rPr>
                    <w:t>。总排口</w:t>
                  </w:r>
                  <w:r>
                    <w:rPr>
                      <w:rFonts w:hint="default" w:ascii="Times New Roman" w:hAnsi="Times New Roman" w:eastAsia="宋体" w:cs="Times New Roman"/>
                      <w:color w:val="auto"/>
                      <w:sz w:val="24"/>
                      <w:szCs w:val="24"/>
                    </w:rPr>
                    <w:t>外排达标废水经延津县第一污水处理厂二次处理后排入</w:t>
                  </w:r>
                  <w:r>
                    <w:rPr>
                      <w:rFonts w:hint="default" w:ascii="Times New Roman" w:hAnsi="Times New Roman" w:eastAsia="宋体" w:cs="Times New Roman"/>
                      <w:color w:val="auto"/>
                      <w:sz w:val="24"/>
                      <w:szCs w:val="24"/>
                      <w:lang w:val="en-US" w:eastAsia="zh-CN"/>
                    </w:rPr>
                    <w:t>文岩渠</w:t>
                  </w:r>
                  <w:r>
                    <w:rPr>
                      <w:rFonts w:hint="default" w:ascii="Times New Roman" w:hAnsi="Times New Roman" w:eastAsia="宋体" w:cs="Times New Roman"/>
                      <w:color w:val="auto"/>
                      <w:sz w:val="24"/>
                      <w:szCs w:val="24"/>
                    </w:rPr>
                    <w:t>。总排口废水污染物排放浓度须满足</w:t>
                  </w:r>
                  <w:r>
                    <w:rPr>
                      <w:rFonts w:hint="default" w:ascii="Times New Roman" w:hAnsi="Times New Roman" w:eastAsia="宋体" w:cs="Times New Roman"/>
                      <w:color w:val="auto"/>
                      <w:sz w:val="24"/>
                      <w:szCs w:val="24"/>
                      <w:lang w:val="en-US" w:eastAsia="zh-CN"/>
                    </w:rPr>
                    <w:t>《污水综合排放标准》（GB8978-1996）表4三级标准及</w:t>
                  </w:r>
                  <w:r>
                    <w:rPr>
                      <w:rFonts w:hint="default" w:ascii="Times New Roman" w:hAnsi="Times New Roman" w:eastAsia="宋体" w:cs="Times New Roman"/>
                      <w:color w:val="auto"/>
                      <w:sz w:val="24"/>
                      <w:szCs w:val="24"/>
                      <w:lang w:eastAsia="zh-CN"/>
                    </w:rPr>
                    <w:t>延津县第</w:t>
                  </w:r>
                  <w:r>
                    <w:rPr>
                      <w:rFonts w:hint="default" w:ascii="Times New Roman" w:hAnsi="Times New Roman" w:eastAsia="宋体" w:cs="Times New Roman"/>
                      <w:color w:val="auto"/>
                      <w:sz w:val="24"/>
                      <w:szCs w:val="24"/>
                      <w:lang w:val="en-US" w:eastAsia="zh-CN"/>
                    </w:rPr>
                    <w:t>一</w:t>
                  </w:r>
                  <w:r>
                    <w:rPr>
                      <w:rFonts w:hint="default" w:ascii="Times New Roman" w:hAnsi="Times New Roman" w:eastAsia="宋体" w:cs="Times New Roman"/>
                      <w:color w:val="auto"/>
                      <w:sz w:val="24"/>
                      <w:szCs w:val="24"/>
                      <w:lang w:eastAsia="zh-CN"/>
                    </w:rPr>
                    <w:t>污水处理厂</w:t>
                  </w:r>
                  <w:r>
                    <w:rPr>
                      <w:rFonts w:hint="default" w:ascii="Times New Roman" w:hAnsi="Times New Roman" w:eastAsia="宋体" w:cs="Times New Roman"/>
                      <w:color w:val="auto"/>
                      <w:sz w:val="24"/>
                      <w:szCs w:val="24"/>
                    </w:rPr>
                    <w:t>的收水标准</w:t>
                  </w:r>
                  <w:r>
                    <w:rPr>
                      <w:rFonts w:hint="default" w:ascii="Times New Roman" w:hAnsi="Times New Roman" w:eastAsia="宋体" w:cs="Times New Roman"/>
                      <w:color w:val="auto"/>
                      <w:sz w:val="24"/>
                      <w:szCs w:val="24"/>
                      <w:lang w:val="en-US" w:eastAsia="zh-CN"/>
                    </w:rPr>
                    <w:t>要求。</w:t>
                  </w:r>
                </w:p>
              </w:tc>
              <w:tc>
                <w:tcPr>
                  <w:tcW w:w="2270" w:type="dxa"/>
                  <w:tcBorders>
                    <w:top w:val="single" w:color="auto" w:sz="4" w:space="0"/>
                    <w:left w:val="single" w:color="auto" w:sz="4" w:space="0"/>
                    <w:bottom w:val="single" w:color="auto" w:sz="4" w:space="0"/>
                    <w:right w:val="nil"/>
                  </w:tcBorders>
                  <w:vAlign w:val="center"/>
                </w:tcPr>
                <w:p w14:paraId="54BABFF2">
                  <w:pPr>
                    <w:keepNext w:val="0"/>
                    <w:keepLines w:val="0"/>
                    <w:pageBreakBefore w:val="0"/>
                    <w:widowControl/>
                    <w:tabs>
                      <w:tab w:val="left" w:pos="510"/>
                      <w:tab w:val="center" w:pos="1259"/>
                    </w:tabs>
                    <w:kinsoku/>
                    <w:wordWrap/>
                    <w:overflowPunct/>
                    <w:topLinePunct w:val="0"/>
                    <w:autoSpaceDE/>
                    <w:autoSpaceDN/>
                    <w:bidi w:val="0"/>
                    <w:spacing w:after="0" w:line="240" w:lineRule="auto"/>
                    <w:ind w:firstLine="0" w:firstLineChars="0"/>
                    <w:jc w:val="center"/>
                    <w:textAlignment w:val="auto"/>
                    <w:rPr>
                      <w:rFonts w:eastAsia="宋体"/>
                      <w:color w:val="auto"/>
                      <w:kern w:val="2"/>
                      <w:sz w:val="21"/>
                      <w:szCs w:val="21"/>
                    </w:rPr>
                  </w:pPr>
                  <w:r>
                    <w:rPr>
                      <w:rFonts w:eastAsia="宋体"/>
                      <w:color w:val="auto"/>
                      <w:kern w:val="2"/>
                      <w:sz w:val="21"/>
                      <w:szCs w:val="21"/>
                    </w:rPr>
                    <w:t>已落实</w:t>
                  </w:r>
                </w:p>
              </w:tc>
            </w:tr>
            <w:tr w14:paraId="08780B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tcBorders>
                    <w:top w:val="single" w:color="auto" w:sz="4" w:space="0"/>
                    <w:left w:val="nil"/>
                    <w:bottom w:val="single" w:color="auto" w:sz="8" w:space="0"/>
                    <w:right w:val="single" w:color="auto" w:sz="4" w:space="0"/>
                  </w:tcBorders>
                  <w:vAlign w:val="center"/>
                </w:tcPr>
                <w:p w14:paraId="2CAA6105">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eastAsia="宋体"/>
                      <w:color w:val="auto"/>
                      <w:kern w:val="2"/>
                      <w:sz w:val="21"/>
                      <w:szCs w:val="21"/>
                    </w:rPr>
                  </w:pPr>
                </w:p>
              </w:tc>
              <w:tc>
                <w:tcPr>
                  <w:tcW w:w="5539" w:type="dxa"/>
                  <w:tcBorders>
                    <w:top w:val="single" w:color="auto" w:sz="4" w:space="0"/>
                    <w:left w:val="single" w:color="auto" w:sz="4" w:space="0"/>
                    <w:bottom w:val="single" w:color="auto" w:sz="4" w:space="0"/>
                    <w:right w:val="single" w:color="auto" w:sz="4" w:space="0"/>
                  </w:tcBorders>
                  <w:vAlign w:val="center"/>
                </w:tcPr>
                <w:p w14:paraId="521C7DE4">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eastAsia="宋体"/>
                      <w:color w:val="auto"/>
                      <w:kern w:val="2"/>
                      <w:sz w:val="21"/>
                      <w:szCs w:val="21"/>
                    </w:rPr>
                  </w:pPr>
                  <w:r>
                    <w:rPr>
                      <w:rFonts w:hint="default" w:ascii="Times New Roman" w:hAnsi="Times New Roman" w:eastAsia="宋体" w:cs="Times New Roman"/>
                      <w:color w:val="auto"/>
                      <w:sz w:val="24"/>
                      <w:szCs w:val="24"/>
                      <w:shd w:val="clear" w:color="auto" w:fill="FFFFFF"/>
                    </w:rPr>
                    <w:t>2、废气：</w:t>
                  </w:r>
                  <w:r>
                    <w:rPr>
                      <w:rFonts w:hint="default" w:ascii="Times New Roman" w:hAnsi="Times New Roman" w:eastAsia="宋体" w:cs="Times New Roman"/>
                      <w:color w:val="auto"/>
                      <w:sz w:val="24"/>
                      <w:szCs w:val="24"/>
                    </w:rPr>
                    <w:t>本</w:t>
                  </w:r>
                  <w:r>
                    <w:rPr>
                      <w:rFonts w:hint="default" w:ascii="Times New Roman" w:hAnsi="Times New Roman" w:eastAsia="宋体" w:cs="Times New Roman"/>
                      <w:color w:val="auto"/>
                      <w:sz w:val="24"/>
                      <w:szCs w:val="24"/>
                      <w:lang w:val="en-US" w:eastAsia="zh-CN"/>
                    </w:rPr>
                    <w:t>工程</w:t>
                  </w:r>
                  <w:r>
                    <w:rPr>
                      <w:rFonts w:hint="default" w:ascii="Times New Roman" w:hAnsi="Times New Roman" w:eastAsia="宋体" w:cs="Times New Roman"/>
                      <w:color w:val="auto"/>
                      <w:sz w:val="24"/>
                      <w:szCs w:val="24"/>
                    </w:rPr>
                    <w:t>废气污染物</w:t>
                  </w:r>
                  <w:r>
                    <w:rPr>
                      <w:rFonts w:hint="default" w:ascii="Times New Roman" w:hAnsi="Times New Roman" w:eastAsia="宋体" w:cs="Times New Roman"/>
                      <w:color w:val="auto"/>
                      <w:sz w:val="24"/>
                      <w:szCs w:val="24"/>
                      <w:lang w:val="en-US" w:eastAsia="zh-CN"/>
                    </w:rPr>
                    <w:t>为注塑、吹瓶工序</w:t>
                  </w:r>
                  <w:r>
                    <w:rPr>
                      <w:rFonts w:hint="default" w:ascii="Times New Roman" w:hAnsi="Times New Roman" w:eastAsia="宋体" w:cs="Times New Roman"/>
                      <w:color w:val="auto"/>
                      <w:sz w:val="24"/>
                      <w:szCs w:val="24"/>
                    </w:rPr>
                    <w:t>产生的</w:t>
                  </w:r>
                  <w:r>
                    <w:rPr>
                      <w:rFonts w:hint="default" w:ascii="Times New Roman" w:hAnsi="Times New Roman" w:eastAsia="宋体" w:cs="Times New Roman"/>
                      <w:color w:val="auto"/>
                      <w:sz w:val="24"/>
                      <w:szCs w:val="24"/>
                      <w:lang w:val="en-US" w:eastAsia="zh-CN"/>
                    </w:rPr>
                    <w:t>非甲烷总烃</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对注塑、吹瓶工序进行二次密闭，产生的非甲烷总烃</w:t>
                  </w:r>
                  <w:r>
                    <w:rPr>
                      <w:rFonts w:hint="default" w:ascii="Times New Roman" w:hAnsi="Times New Roman" w:eastAsia="宋体" w:cs="Times New Roman"/>
                      <w:color w:val="auto"/>
                      <w:sz w:val="24"/>
                      <w:szCs w:val="24"/>
                      <w:lang w:val="zh-CN"/>
                    </w:rPr>
                    <w:t>负压收集</w:t>
                  </w:r>
                  <w:r>
                    <w:rPr>
                      <w:rFonts w:hint="default" w:ascii="Times New Roman" w:hAnsi="Times New Roman" w:eastAsia="宋体" w:cs="Times New Roman"/>
                      <w:color w:val="auto"/>
                      <w:sz w:val="24"/>
                      <w:szCs w:val="24"/>
                      <w:lang w:val="en-US" w:eastAsia="zh-CN"/>
                    </w:rPr>
                    <w:t>至</w:t>
                  </w:r>
                  <w:r>
                    <w:rPr>
                      <w:rFonts w:hint="default" w:ascii="Times New Roman" w:hAnsi="Times New Roman" w:eastAsia="宋体" w:cs="Times New Roman"/>
                      <w:color w:val="auto"/>
                      <w:sz w:val="24"/>
                      <w:szCs w:val="24"/>
                      <w:lang w:val="zh-CN"/>
                    </w:rPr>
                    <w:t>“活性炭吸附/脱附装置-催化燃烧装置”</w:t>
                  </w:r>
                  <w:r>
                    <w:rPr>
                      <w:rFonts w:hint="default" w:ascii="Times New Roman" w:hAnsi="Times New Roman" w:eastAsia="宋体" w:cs="Times New Roman"/>
                      <w:color w:val="auto"/>
                      <w:sz w:val="24"/>
                      <w:szCs w:val="24"/>
                      <w:lang w:val="en-US" w:eastAsia="zh-CN"/>
                    </w:rPr>
                    <w:t>处理，处理后通过</w:t>
                  </w:r>
                  <w:r>
                    <w:rPr>
                      <w:rFonts w:hint="default" w:ascii="Times New Roman" w:hAnsi="Times New Roman" w:eastAsia="宋体" w:cs="Times New Roman"/>
                      <w:color w:val="auto"/>
                      <w:sz w:val="24"/>
                      <w:szCs w:val="24"/>
                      <w:lang w:val="zh-CN"/>
                    </w:rPr>
                    <w:t>15m高排气筒</w:t>
                  </w:r>
                  <w:r>
                    <w:rPr>
                      <w:rFonts w:hint="default" w:ascii="Times New Roman" w:hAnsi="Times New Roman" w:eastAsia="宋体" w:cs="Times New Roman"/>
                      <w:color w:val="auto"/>
                      <w:sz w:val="24"/>
                      <w:szCs w:val="24"/>
                      <w:lang w:val="en-US" w:eastAsia="zh-CN"/>
                    </w:rPr>
                    <w:t>排放。非甲烷总烃排放须满足《合成树脂工业污染物排放标准》（GB31572-2015）（含2024年修改单）、《关于全省开展工业企业挥发性有机物专项治理工作中排放建议值的通知》（豫环攻坚办〔2017〕162号）与</w:t>
                  </w:r>
                  <w:r>
                    <w:rPr>
                      <w:rFonts w:hint="default" w:ascii="Times New Roman" w:hAnsi="Times New Roman" w:eastAsia="宋体" w:cs="Times New Roman"/>
                      <w:color w:val="auto"/>
                      <w:sz w:val="24"/>
                      <w:szCs w:val="24"/>
                      <w:lang w:val="en-US"/>
                    </w:rPr>
                    <w:t>《河南省重污染天气重点行业应急减排措施制定技术指南（202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rPr>
                    <w:t>年修订版）》中“塑料制品”企业A级绩效指标</w:t>
                  </w:r>
                  <w:r>
                    <w:rPr>
                      <w:rFonts w:hint="default" w:ascii="Times New Roman" w:hAnsi="Times New Roman" w:eastAsia="宋体" w:cs="Times New Roman"/>
                      <w:color w:val="auto"/>
                      <w:sz w:val="24"/>
                      <w:szCs w:val="24"/>
                      <w:lang w:val="en-US" w:eastAsia="zh-CN"/>
                    </w:rPr>
                    <w:t>限值</w:t>
                  </w:r>
                  <w:r>
                    <w:rPr>
                      <w:rFonts w:hint="default" w:ascii="Times New Roman" w:hAnsi="Times New Roman" w:eastAsia="宋体" w:cs="Times New Roman"/>
                      <w:color w:val="auto"/>
                      <w:sz w:val="24"/>
                      <w:szCs w:val="24"/>
                      <w:lang w:val="en-US"/>
                    </w:rPr>
                    <w:t>要求</w:t>
                  </w:r>
                  <w:r>
                    <w:rPr>
                      <w:rFonts w:hint="default" w:ascii="Times New Roman" w:hAnsi="Times New Roman" w:eastAsia="宋体" w:cs="Times New Roman"/>
                      <w:color w:val="auto"/>
                      <w:sz w:val="24"/>
                      <w:szCs w:val="24"/>
                      <w:lang w:val="en-US" w:eastAsia="zh-CN"/>
                    </w:rPr>
                    <w:t>。</w:t>
                  </w:r>
                </w:p>
              </w:tc>
              <w:tc>
                <w:tcPr>
                  <w:tcW w:w="2270" w:type="dxa"/>
                  <w:tcBorders>
                    <w:top w:val="single" w:color="auto" w:sz="4" w:space="0"/>
                    <w:left w:val="single" w:color="auto" w:sz="4" w:space="0"/>
                    <w:bottom w:val="single" w:color="auto" w:sz="4" w:space="0"/>
                    <w:right w:val="nil"/>
                  </w:tcBorders>
                  <w:vAlign w:val="center"/>
                </w:tcPr>
                <w:p w14:paraId="2C4FB24D">
                  <w:pPr>
                    <w:keepNext w:val="0"/>
                    <w:keepLines w:val="0"/>
                    <w:pageBreakBefore w:val="0"/>
                    <w:widowControl/>
                    <w:tabs>
                      <w:tab w:val="left" w:pos="510"/>
                      <w:tab w:val="center" w:pos="1259"/>
                    </w:tabs>
                    <w:kinsoku/>
                    <w:wordWrap/>
                    <w:overflowPunct/>
                    <w:topLinePunct w:val="0"/>
                    <w:autoSpaceDE/>
                    <w:autoSpaceDN/>
                    <w:bidi w:val="0"/>
                    <w:spacing w:after="0" w:line="240" w:lineRule="auto"/>
                    <w:ind w:firstLine="0" w:firstLineChars="0"/>
                    <w:jc w:val="both"/>
                    <w:textAlignment w:val="auto"/>
                    <w:rPr>
                      <w:rFonts w:eastAsia="宋体"/>
                      <w:color w:val="auto"/>
                      <w:kern w:val="2"/>
                      <w:sz w:val="21"/>
                      <w:szCs w:val="21"/>
                    </w:rPr>
                  </w:pPr>
                  <w:r>
                    <w:rPr>
                      <w:rFonts w:hint="eastAsia" w:eastAsia="宋体"/>
                      <w:color w:val="auto"/>
                      <w:kern w:val="2"/>
                      <w:sz w:val="21"/>
                      <w:szCs w:val="21"/>
                    </w:rPr>
                    <w:t>除</w:t>
                  </w:r>
                  <w:r>
                    <w:rPr>
                      <w:rFonts w:hint="eastAsia" w:eastAsia="宋体"/>
                      <w:color w:val="auto"/>
                      <w:kern w:val="2"/>
                      <w:sz w:val="21"/>
                      <w:szCs w:val="21"/>
                      <w:lang w:val="en-US" w:eastAsia="zh-CN"/>
                    </w:rPr>
                    <w:t>二</w:t>
                  </w:r>
                  <w:r>
                    <w:rPr>
                      <w:rFonts w:hint="eastAsia" w:eastAsia="宋体"/>
                      <w:color w:val="auto"/>
                      <w:kern w:val="2"/>
                      <w:sz w:val="21"/>
                      <w:szCs w:val="21"/>
                    </w:rPr>
                    <w:t>期未建设部分外，本期验收部分</w:t>
                  </w:r>
                  <w:r>
                    <w:rPr>
                      <w:rFonts w:eastAsia="宋体"/>
                      <w:color w:val="auto"/>
                      <w:kern w:val="2"/>
                      <w:sz w:val="21"/>
                      <w:szCs w:val="21"/>
                    </w:rPr>
                    <w:t>已落实</w:t>
                  </w:r>
                </w:p>
              </w:tc>
            </w:tr>
            <w:tr w14:paraId="04A733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tcBorders>
                    <w:top w:val="single" w:color="auto" w:sz="4" w:space="0"/>
                    <w:left w:val="nil"/>
                    <w:bottom w:val="single" w:color="auto" w:sz="8" w:space="0"/>
                    <w:right w:val="single" w:color="auto" w:sz="4" w:space="0"/>
                  </w:tcBorders>
                  <w:vAlign w:val="center"/>
                </w:tcPr>
                <w:p w14:paraId="004C5B06">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eastAsia="宋体"/>
                      <w:color w:val="auto"/>
                      <w:kern w:val="2"/>
                      <w:sz w:val="21"/>
                      <w:szCs w:val="21"/>
                    </w:rPr>
                  </w:pPr>
                </w:p>
              </w:tc>
              <w:tc>
                <w:tcPr>
                  <w:tcW w:w="5539" w:type="dxa"/>
                  <w:tcBorders>
                    <w:top w:val="single" w:color="auto" w:sz="4" w:space="0"/>
                    <w:left w:val="single" w:color="auto" w:sz="4" w:space="0"/>
                    <w:bottom w:val="single" w:color="auto" w:sz="4" w:space="0"/>
                    <w:right w:val="single" w:color="auto" w:sz="4" w:space="0"/>
                  </w:tcBorders>
                  <w:vAlign w:val="center"/>
                </w:tcPr>
                <w:p w14:paraId="6A31D7C6">
                  <w:pPr>
                    <w:pStyle w:val="1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eastAsia="宋体"/>
                      <w:color w:val="auto"/>
                      <w:kern w:val="2"/>
                      <w:sz w:val="21"/>
                      <w:szCs w:val="21"/>
                    </w:rPr>
                  </w:pPr>
                  <w:r>
                    <w:rPr>
                      <w:rFonts w:hint="default" w:ascii="Times New Roman" w:hAnsi="Times New Roman" w:eastAsia="宋体" w:cs="Times New Roman"/>
                      <w:color w:val="auto"/>
                      <w:sz w:val="24"/>
                      <w:szCs w:val="24"/>
                      <w:shd w:val="clear" w:color="auto" w:fill="FFFFFF"/>
                    </w:rPr>
                    <w:t>3、噪声：对高噪声设备采取隔声、减振等降噪措施后，厂界噪声应满足《工业企业厂界环境噪声排放标准》(GB12348-2008)</w:t>
                  </w:r>
                  <w:r>
                    <w:rPr>
                      <w:rFonts w:hint="default" w:ascii="Times New Roman" w:hAnsi="Times New Roman" w:eastAsia="宋体" w:cs="Times New Roman"/>
                      <w:color w:val="auto"/>
                      <w:sz w:val="24"/>
                      <w:szCs w:val="24"/>
                      <w:shd w:val="clear" w:color="auto" w:fill="FFFFFF"/>
                      <w:lang w:val="en-US" w:eastAsia="zh-CN"/>
                    </w:rPr>
                    <w:t>2</w:t>
                  </w:r>
                  <w:r>
                    <w:rPr>
                      <w:rFonts w:hint="default" w:ascii="Times New Roman" w:hAnsi="Times New Roman" w:eastAsia="宋体" w:cs="Times New Roman"/>
                      <w:color w:val="auto"/>
                      <w:sz w:val="24"/>
                      <w:szCs w:val="24"/>
                      <w:shd w:val="clear" w:color="auto" w:fill="FFFFFF"/>
                    </w:rPr>
                    <w:t>类标准要求。</w:t>
                  </w:r>
                </w:p>
              </w:tc>
              <w:tc>
                <w:tcPr>
                  <w:tcW w:w="2270" w:type="dxa"/>
                  <w:tcBorders>
                    <w:top w:val="single" w:color="auto" w:sz="4" w:space="0"/>
                    <w:left w:val="single" w:color="auto" w:sz="4" w:space="0"/>
                    <w:bottom w:val="single" w:color="auto" w:sz="4" w:space="0"/>
                    <w:right w:val="nil"/>
                  </w:tcBorders>
                  <w:vAlign w:val="center"/>
                </w:tcPr>
                <w:p w14:paraId="73B86929">
                  <w:pPr>
                    <w:keepNext w:val="0"/>
                    <w:keepLines w:val="0"/>
                    <w:pageBreakBefore w:val="0"/>
                    <w:widowControl/>
                    <w:tabs>
                      <w:tab w:val="left" w:pos="510"/>
                      <w:tab w:val="center" w:pos="1259"/>
                    </w:tabs>
                    <w:kinsoku/>
                    <w:wordWrap/>
                    <w:overflowPunct/>
                    <w:topLinePunct w:val="0"/>
                    <w:autoSpaceDE/>
                    <w:autoSpaceDN/>
                    <w:bidi w:val="0"/>
                    <w:spacing w:after="0" w:line="240" w:lineRule="auto"/>
                    <w:ind w:firstLine="0" w:firstLineChars="0"/>
                    <w:jc w:val="center"/>
                    <w:textAlignment w:val="auto"/>
                    <w:rPr>
                      <w:rFonts w:eastAsia="宋体"/>
                      <w:color w:val="auto"/>
                      <w:kern w:val="2"/>
                      <w:sz w:val="21"/>
                      <w:szCs w:val="21"/>
                    </w:rPr>
                  </w:pPr>
                  <w:r>
                    <w:rPr>
                      <w:rFonts w:eastAsia="宋体"/>
                      <w:color w:val="auto"/>
                      <w:kern w:val="2"/>
                      <w:sz w:val="21"/>
                      <w:szCs w:val="21"/>
                    </w:rPr>
                    <w:t>已落实</w:t>
                  </w:r>
                </w:p>
              </w:tc>
            </w:tr>
            <w:tr w14:paraId="323F2B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tcBorders>
                    <w:top w:val="single" w:color="auto" w:sz="4" w:space="0"/>
                    <w:left w:val="nil"/>
                    <w:bottom w:val="single" w:color="auto" w:sz="4" w:space="0"/>
                    <w:right w:val="single" w:color="auto" w:sz="4" w:space="0"/>
                  </w:tcBorders>
                  <w:vAlign w:val="center"/>
                </w:tcPr>
                <w:p w14:paraId="1D655E57">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eastAsia="宋体"/>
                      <w:color w:val="auto"/>
                      <w:kern w:val="2"/>
                      <w:sz w:val="21"/>
                      <w:szCs w:val="21"/>
                    </w:rPr>
                  </w:pPr>
                </w:p>
              </w:tc>
              <w:tc>
                <w:tcPr>
                  <w:tcW w:w="5539" w:type="dxa"/>
                  <w:tcBorders>
                    <w:top w:val="single" w:color="auto" w:sz="4" w:space="0"/>
                    <w:left w:val="single" w:color="auto" w:sz="4" w:space="0"/>
                    <w:bottom w:val="single" w:color="auto" w:sz="4" w:space="0"/>
                    <w:right w:val="single" w:color="auto" w:sz="4" w:space="0"/>
                  </w:tcBorders>
                  <w:vAlign w:val="center"/>
                </w:tcPr>
                <w:p w14:paraId="302004B5">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eastAsia="宋体"/>
                      <w:color w:val="auto"/>
                      <w:kern w:val="2"/>
                      <w:sz w:val="21"/>
                      <w:szCs w:val="21"/>
                    </w:rPr>
                  </w:pPr>
                  <w:r>
                    <w:rPr>
                      <w:rFonts w:hint="default" w:ascii="Times New Roman" w:hAnsi="Times New Roman" w:eastAsia="宋体" w:cs="Times New Roman"/>
                      <w:color w:val="auto"/>
                      <w:sz w:val="24"/>
                      <w:szCs w:val="24"/>
                      <w:shd w:val="clear" w:color="auto" w:fill="FFFFFF"/>
                    </w:rPr>
                    <w:t>4、固废：</w:t>
                  </w:r>
                  <w:r>
                    <w:rPr>
                      <w:rFonts w:hint="default" w:ascii="Times New Roman" w:hAnsi="Times New Roman" w:eastAsia="宋体" w:cs="Times New Roman"/>
                      <w:color w:val="auto"/>
                      <w:sz w:val="24"/>
                      <w:szCs w:val="24"/>
                    </w:rPr>
                    <w:t>按照环评提出的措施妥善处置生产过程中产生的各种固废，一般工业固废须按《一般工业固体废物贮存和填埋污染控制标准》(GB18599-2020)要求进行控制、危废须按《危险废物贮存污染控制标准》（GB18597-2023）进行控制。</w:t>
                  </w:r>
                </w:p>
              </w:tc>
              <w:tc>
                <w:tcPr>
                  <w:tcW w:w="2270" w:type="dxa"/>
                  <w:tcBorders>
                    <w:top w:val="single" w:color="auto" w:sz="4" w:space="0"/>
                    <w:left w:val="single" w:color="auto" w:sz="4" w:space="0"/>
                    <w:bottom w:val="single" w:color="auto" w:sz="4" w:space="0"/>
                    <w:right w:val="nil"/>
                  </w:tcBorders>
                  <w:vAlign w:val="center"/>
                </w:tcPr>
                <w:p w14:paraId="52CD8A4A">
                  <w:pPr>
                    <w:keepNext w:val="0"/>
                    <w:keepLines w:val="0"/>
                    <w:pageBreakBefore w:val="0"/>
                    <w:widowControl/>
                    <w:tabs>
                      <w:tab w:val="left" w:pos="510"/>
                      <w:tab w:val="center" w:pos="1259"/>
                    </w:tabs>
                    <w:kinsoku/>
                    <w:wordWrap/>
                    <w:overflowPunct/>
                    <w:topLinePunct w:val="0"/>
                    <w:autoSpaceDE/>
                    <w:autoSpaceDN/>
                    <w:bidi w:val="0"/>
                    <w:spacing w:after="0" w:line="240" w:lineRule="auto"/>
                    <w:ind w:firstLine="0" w:firstLineChars="0"/>
                    <w:jc w:val="center"/>
                    <w:textAlignment w:val="auto"/>
                    <w:rPr>
                      <w:rFonts w:eastAsia="宋体"/>
                      <w:color w:val="auto"/>
                      <w:kern w:val="2"/>
                      <w:sz w:val="21"/>
                      <w:szCs w:val="21"/>
                    </w:rPr>
                  </w:pPr>
                  <w:r>
                    <w:rPr>
                      <w:rFonts w:eastAsia="宋体"/>
                      <w:color w:val="auto"/>
                      <w:kern w:val="2"/>
                      <w:sz w:val="21"/>
                      <w:szCs w:val="21"/>
                    </w:rPr>
                    <w:t>已落实</w:t>
                  </w:r>
                </w:p>
              </w:tc>
            </w:tr>
            <w:tr w14:paraId="09F9B5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7" w:type="dxa"/>
                  <w:gridSpan w:val="2"/>
                  <w:tcBorders>
                    <w:top w:val="single" w:color="auto" w:sz="4" w:space="0"/>
                    <w:left w:val="nil"/>
                    <w:bottom w:val="single" w:color="auto" w:sz="4" w:space="0"/>
                    <w:right w:val="single" w:color="auto" w:sz="4" w:space="0"/>
                  </w:tcBorders>
                  <w:vAlign w:val="center"/>
                </w:tcPr>
                <w:p w14:paraId="324C08DA">
                  <w:pPr>
                    <w:pStyle w:val="1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eastAsia="宋体"/>
                      <w:color w:val="auto"/>
                      <w:kern w:val="2"/>
                      <w:sz w:val="21"/>
                      <w:szCs w:val="21"/>
                    </w:rPr>
                  </w:pPr>
                  <w:r>
                    <w:rPr>
                      <w:rFonts w:hint="default" w:ascii="Times New Roman" w:hAnsi="Times New Roman" w:eastAsia="宋体" w:cs="Times New Roman"/>
                      <w:color w:val="auto"/>
                      <w:sz w:val="24"/>
                      <w:szCs w:val="24"/>
                      <w:shd w:val="clear" w:color="auto" w:fill="FFFFFF"/>
                    </w:rPr>
                    <w:t>四、按照国家、省、市有关规定设置规范的污染物排放口、安装污染物在线监测及监控设施，并按要求与环保部门联网。</w:t>
                  </w:r>
                </w:p>
              </w:tc>
              <w:tc>
                <w:tcPr>
                  <w:tcW w:w="2270" w:type="dxa"/>
                  <w:tcBorders>
                    <w:top w:val="single" w:color="auto" w:sz="4" w:space="0"/>
                    <w:left w:val="single" w:color="auto" w:sz="4" w:space="0"/>
                    <w:bottom w:val="single" w:color="auto" w:sz="4" w:space="0"/>
                    <w:right w:val="nil"/>
                  </w:tcBorders>
                  <w:vAlign w:val="center"/>
                </w:tcPr>
                <w:p w14:paraId="19E53A49">
                  <w:pPr>
                    <w:keepNext w:val="0"/>
                    <w:keepLines w:val="0"/>
                    <w:pageBreakBefore w:val="0"/>
                    <w:widowControl/>
                    <w:tabs>
                      <w:tab w:val="left" w:pos="510"/>
                      <w:tab w:val="center" w:pos="1259"/>
                    </w:tabs>
                    <w:kinsoku/>
                    <w:wordWrap/>
                    <w:overflowPunct/>
                    <w:topLinePunct w:val="0"/>
                    <w:autoSpaceDE/>
                    <w:autoSpaceDN/>
                    <w:bidi w:val="0"/>
                    <w:spacing w:after="0" w:line="240" w:lineRule="auto"/>
                    <w:ind w:firstLine="0" w:firstLineChars="0"/>
                    <w:jc w:val="center"/>
                    <w:textAlignment w:val="auto"/>
                    <w:rPr>
                      <w:rFonts w:eastAsia="宋体"/>
                      <w:color w:val="auto"/>
                      <w:kern w:val="2"/>
                      <w:sz w:val="21"/>
                      <w:szCs w:val="21"/>
                    </w:rPr>
                  </w:pPr>
                  <w:r>
                    <w:rPr>
                      <w:rFonts w:eastAsia="宋体"/>
                      <w:color w:val="auto"/>
                      <w:kern w:val="2"/>
                      <w:sz w:val="21"/>
                      <w:szCs w:val="21"/>
                    </w:rPr>
                    <w:t>已落实</w:t>
                  </w:r>
                </w:p>
              </w:tc>
            </w:tr>
            <w:tr w14:paraId="7FA020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7" w:type="dxa"/>
                  <w:gridSpan w:val="2"/>
                  <w:tcBorders>
                    <w:top w:val="single" w:color="auto" w:sz="4" w:space="0"/>
                    <w:left w:val="nil"/>
                    <w:bottom w:val="single" w:color="auto" w:sz="4" w:space="0"/>
                    <w:right w:val="single" w:color="auto" w:sz="4" w:space="0"/>
                  </w:tcBorders>
                  <w:vAlign w:val="center"/>
                </w:tcPr>
                <w:p w14:paraId="1C857E69">
                  <w:pPr>
                    <w:pStyle w:val="1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eastAsia="宋体"/>
                      <w:color w:val="auto"/>
                      <w:kern w:val="2"/>
                      <w:sz w:val="21"/>
                      <w:szCs w:val="21"/>
                    </w:rPr>
                  </w:pPr>
                  <w:r>
                    <w:rPr>
                      <w:rFonts w:hint="default" w:ascii="Times New Roman" w:hAnsi="Times New Roman" w:eastAsia="宋体" w:cs="Times New Roman"/>
                      <w:color w:val="auto"/>
                      <w:sz w:val="24"/>
                      <w:szCs w:val="24"/>
                      <w:shd w:val="clear" w:color="auto" w:fill="FFFFFF"/>
                    </w:rPr>
                    <w:t>五、项目建成后，须按照《固定污染源排污许可分类管理名录》规定的时限依法申报排污许可证，按规定程序和标准实施竣工环境保护验收。</w:t>
                  </w:r>
                </w:p>
              </w:tc>
              <w:tc>
                <w:tcPr>
                  <w:tcW w:w="2270" w:type="dxa"/>
                  <w:tcBorders>
                    <w:top w:val="single" w:color="auto" w:sz="4" w:space="0"/>
                    <w:left w:val="single" w:color="auto" w:sz="4" w:space="0"/>
                    <w:bottom w:val="single" w:color="auto" w:sz="4" w:space="0"/>
                    <w:right w:val="nil"/>
                  </w:tcBorders>
                  <w:vAlign w:val="center"/>
                </w:tcPr>
                <w:p w14:paraId="34DC39BF">
                  <w:pPr>
                    <w:keepNext w:val="0"/>
                    <w:keepLines w:val="0"/>
                    <w:pageBreakBefore w:val="0"/>
                    <w:widowControl/>
                    <w:tabs>
                      <w:tab w:val="left" w:pos="510"/>
                      <w:tab w:val="center" w:pos="1259"/>
                    </w:tabs>
                    <w:kinsoku/>
                    <w:wordWrap/>
                    <w:overflowPunct/>
                    <w:topLinePunct w:val="0"/>
                    <w:autoSpaceDE/>
                    <w:autoSpaceDN/>
                    <w:bidi w:val="0"/>
                    <w:spacing w:after="0" w:line="240" w:lineRule="auto"/>
                    <w:ind w:firstLine="0" w:firstLineChars="0"/>
                    <w:jc w:val="center"/>
                    <w:textAlignment w:val="auto"/>
                    <w:rPr>
                      <w:rFonts w:eastAsia="宋体"/>
                      <w:color w:val="auto"/>
                      <w:kern w:val="2"/>
                      <w:sz w:val="21"/>
                      <w:szCs w:val="21"/>
                    </w:rPr>
                  </w:pPr>
                  <w:r>
                    <w:rPr>
                      <w:rFonts w:eastAsia="宋体"/>
                      <w:color w:val="auto"/>
                      <w:kern w:val="2"/>
                      <w:sz w:val="21"/>
                      <w:szCs w:val="21"/>
                    </w:rPr>
                    <w:t>已落实</w:t>
                  </w:r>
                </w:p>
              </w:tc>
            </w:tr>
            <w:tr w14:paraId="68165D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7" w:type="dxa"/>
                  <w:gridSpan w:val="2"/>
                  <w:tcBorders>
                    <w:top w:val="single" w:color="auto" w:sz="4" w:space="0"/>
                    <w:left w:val="nil"/>
                    <w:bottom w:val="single" w:color="auto" w:sz="4" w:space="0"/>
                    <w:right w:val="single" w:color="auto" w:sz="4" w:space="0"/>
                  </w:tcBorders>
                  <w:vAlign w:val="center"/>
                </w:tcPr>
                <w:p w14:paraId="576A94F9">
                  <w:pPr>
                    <w:pStyle w:val="1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eastAsia="宋体"/>
                      <w:color w:val="auto"/>
                      <w:kern w:val="2"/>
                      <w:sz w:val="21"/>
                      <w:szCs w:val="21"/>
                    </w:rPr>
                  </w:pPr>
                  <w:r>
                    <w:rPr>
                      <w:rFonts w:hint="default" w:ascii="Times New Roman" w:hAnsi="Times New Roman" w:eastAsia="宋体" w:cs="Times New Roman"/>
                      <w:color w:val="auto"/>
                      <w:sz w:val="24"/>
                      <w:szCs w:val="24"/>
                      <w:shd w:val="clear" w:color="auto" w:fill="FFFFFF"/>
                    </w:rPr>
                    <w:t>六、如果今后国家或我省颁布新的标准，届时你单位应按新标准执行。</w:t>
                  </w:r>
                </w:p>
              </w:tc>
              <w:tc>
                <w:tcPr>
                  <w:tcW w:w="2270" w:type="dxa"/>
                  <w:tcBorders>
                    <w:top w:val="single" w:color="auto" w:sz="4" w:space="0"/>
                    <w:left w:val="single" w:color="auto" w:sz="4" w:space="0"/>
                    <w:bottom w:val="single" w:color="auto" w:sz="4" w:space="0"/>
                    <w:right w:val="nil"/>
                  </w:tcBorders>
                  <w:vAlign w:val="center"/>
                </w:tcPr>
                <w:p w14:paraId="3B1D24B7">
                  <w:pPr>
                    <w:keepNext w:val="0"/>
                    <w:keepLines w:val="0"/>
                    <w:pageBreakBefore w:val="0"/>
                    <w:widowControl/>
                    <w:tabs>
                      <w:tab w:val="left" w:pos="510"/>
                      <w:tab w:val="center" w:pos="1259"/>
                    </w:tabs>
                    <w:kinsoku/>
                    <w:wordWrap/>
                    <w:overflowPunct/>
                    <w:topLinePunct w:val="0"/>
                    <w:autoSpaceDE/>
                    <w:autoSpaceDN/>
                    <w:bidi w:val="0"/>
                    <w:spacing w:after="0" w:line="240" w:lineRule="auto"/>
                    <w:ind w:firstLine="0" w:firstLineChars="0"/>
                    <w:jc w:val="center"/>
                    <w:textAlignment w:val="auto"/>
                    <w:rPr>
                      <w:rFonts w:eastAsia="宋体"/>
                      <w:color w:val="auto"/>
                      <w:kern w:val="2"/>
                      <w:sz w:val="21"/>
                      <w:szCs w:val="21"/>
                    </w:rPr>
                  </w:pPr>
                  <w:r>
                    <w:rPr>
                      <w:rFonts w:eastAsia="宋体"/>
                      <w:color w:val="auto"/>
                      <w:kern w:val="2"/>
                      <w:sz w:val="21"/>
                      <w:szCs w:val="21"/>
                    </w:rPr>
                    <w:t>已落实</w:t>
                  </w:r>
                </w:p>
              </w:tc>
            </w:tr>
            <w:tr w14:paraId="18CAA6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7" w:type="dxa"/>
                  <w:gridSpan w:val="2"/>
                  <w:tcBorders>
                    <w:top w:val="single" w:color="auto" w:sz="4" w:space="0"/>
                    <w:left w:val="nil"/>
                    <w:bottom w:val="single" w:color="auto" w:sz="8" w:space="0"/>
                    <w:right w:val="single" w:color="auto" w:sz="4" w:space="0"/>
                  </w:tcBorders>
                  <w:vAlign w:val="center"/>
                </w:tcPr>
                <w:p w14:paraId="44283C1F">
                  <w:pPr>
                    <w:keepNext w:val="0"/>
                    <w:keepLines w:val="0"/>
                    <w:pageBreakBefore w:val="0"/>
                    <w:widowControl/>
                    <w:kinsoku/>
                    <w:wordWrap/>
                    <w:overflowPunct/>
                    <w:topLinePunct w:val="0"/>
                    <w:autoSpaceDE/>
                    <w:autoSpaceDN/>
                    <w:bidi w:val="0"/>
                    <w:spacing w:after="0" w:line="240" w:lineRule="auto"/>
                    <w:ind w:firstLine="0" w:firstLineChars="0"/>
                    <w:jc w:val="both"/>
                    <w:textAlignment w:val="auto"/>
                    <w:rPr>
                      <w:rFonts w:eastAsia="宋体"/>
                      <w:color w:val="auto"/>
                      <w:kern w:val="2"/>
                      <w:sz w:val="21"/>
                      <w:szCs w:val="21"/>
                    </w:rPr>
                  </w:pPr>
                  <w:r>
                    <w:rPr>
                      <w:rFonts w:hint="default" w:ascii="Times New Roman" w:hAnsi="Times New Roman" w:eastAsia="宋体" w:cs="Times New Roman"/>
                      <w:color w:val="auto"/>
                      <w:sz w:val="24"/>
                      <w:szCs w:val="24"/>
                      <w:shd w:val="clear" w:color="auto" w:fill="FFFFFF"/>
                    </w:rPr>
                    <w:t>七、本批复有效期为5年，如该项目逾期方开工建设，其环境影响报告表应报我局重新审核</w:t>
                  </w:r>
                  <w:r>
                    <w:rPr>
                      <w:rFonts w:hint="default" w:ascii="Times New Roman" w:hAnsi="Times New Roman" w:eastAsia="仿宋" w:cs="Times New Roman"/>
                      <w:color w:val="auto"/>
                      <w:sz w:val="32"/>
                      <w:szCs w:val="32"/>
                      <w:shd w:val="clear" w:color="auto" w:fill="FFFFFF"/>
                    </w:rPr>
                    <w:t>。</w:t>
                  </w:r>
                </w:p>
              </w:tc>
              <w:tc>
                <w:tcPr>
                  <w:tcW w:w="2270" w:type="dxa"/>
                  <w:tcBorders>
                    <w:top w:val="single" w:color="auto" w:sz="4" w:space="0"/>
                    <w:left w:val="single" w:color="auto" w:sz="4" w:space="0"/>
                    <w:bottom w:val="single" w:color="auto" w:sz="8" w:space="0"/>
                    <w:right w:val="nil"/>
                  </w:tcBorders>
                  <w:vAlign w:val="center"/>
                </w:tcPr>
                <w:p w14:paraId="7D6B4F35">
                  <w:pPr>
                    <w:keepNext w:val="0"/>
                    <w:keepLines w:val="0"/>
                    <w:pageBreakBefore w:val="0"/>
                    <w:widowControl/>
                    <w:tabs>
                      <w:tab w:val="left" w:pos="510"/>
                      <w:tab w:val="center" w:pos="1259"/>
                    </w:tabs>
                    <w:kinsoku/>
                    <w:wordWrap/>
                    <w:overflowPunct/>
                    <w:topLinePunct w:val="0"/>
                    <w:autoSpaceDE/>
                    <w:autoSpaceDN/>
                    <w:bidi w:val="0"/>
                    <w:spacing w:after="0" w:line="240" w:lineRule="auto"/>
                    <w:ind w:firstLine="0" w:firstLineChars="0"/>
                    <w:jc w:val="center"/>
                    <w:textAlignment w:val="auto"/>
                    <w:rPr>
                      <w:rFonts w:eastAsia="宋体"/>
                      <w:color w:val="auto"/>
                      <w:kern w:val="2"/>
                      <w:sz w:val="21"/>
                      <w:szCs w:val="21"/>
                    </w:rPr>
                  </w:pPr>
                  <w:r>
                    <w:rPr>
                      <w:rFonts w:eastAsia="宋体"/>
                      <w:color w:val="auto"/>
                      <w:kern w:val="2"/>
                      <w:sz w:val="21"/>
                      <w:szCs w:val="21"/>
                    </w:rPr>
                    <w:t>已落实</w:t>
                  </w:r>
                </w:p>
              </w:tc>
            </w:tr>
          </w:tbl>
          <w:p w14:paraId="7135327D">
            <w:pPr>
              <w:spacing w:after="0" w:line="500" w:lineRule="exact"/>
              <w:ind w:firstLine="480" w:firstLineChars="200"/>
              <w:jc w:val="both"/>
              <w:rPr>
                <w:rFonts w:hint="default" w:eastAsia="宋体"/>
                <w:color w:val="auto"/>
                <w:kern w:val="2"/>
                <w:sz w:val="24"/>
                <w:szCs w:val="24"/>
                <w:highlight w:val="yellow"/>
                <w:lang w:val="en-US" w:eastAsia="zh-CN"/>
              </w:rPr>
            </w:pPr>
          </w:p>
        </w:tc>
      </w:tr>
    </w:tbl>
    <w:p w14:paraId="1EDFAF08">
      <w:pPr>
        <w:spacing w:after="0" w:line="440" w:lineRule="exact"/>
        <w:rPr>
          <w:rFonts w:eastAsia="仿宋_GB2312"/>
          <w:b/>
          <w:color w:val="auto"/>
          <w:sz w:val="21"/>
          <w:szCs w:val="21"/>
        </w:rPr>
      </w:pPr>
      <w:r>
        <w:rPr>
          <w:rFonts w:eastAsia="仿宋_GB2312"/>
          <w:b/>
          <w:color w:val="auto"/>
          <w:sz w:val="21"/>
          <w:szCs w:val="21"/>
        </w:rPr>
        <w:t>表五</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7BF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64A7D82">
            <w:pPr>
              <w:widowControl w:val="0"/>
              <w:adjustRightInd/>
              <w:spacing w:after="0" w:line="440" w:lineRule="exact"/>
              <w:textAlignment w:val="baseline"/>
              <w:rPr>
                <w:rFonts w:eastAsia="宋体"/>
                <w:b/>
                <w:bCs w:val="0"/>
                <w:color w:val="auto"/>
                <w:sz w:val="24"/>
                <w:szCs w:val="24"/>
              </w:rPr>
            </w:pPr>
            <w:r>
              <w:rPr>
                <w:rFonts w:eastAsia="宋体"/>
                <w:b/>
                <w:bCs w:val="0"/>
                <w:color w:val="auto"/>
                <w:sz w:val="24"/>
                <w:szCs w:val="24"/>
              </w:rPr>
              <w:t>验收监测质量保证及质量控制：</w:t>
            </w:r>
          </w:p>
          <w:p w14:paraId="12C94453">
            <w:pPr>
              <w:widowControl w:val="0"/>
              <w:adjustRightInd/>
              <w:spacing w:after="0" w:line="440" w:lineRule="exact"/>
              <w:ind w:firstLine="482" w:firstLineChars="200"/>
              <w:jc w:val="both"/>
              <w:textAlignment w:val="baseline"/>
              <w:rPr>
                <w:rFonts w:hint="default" w:ascii="Times New Roman" w:hAnsi="Times New Roman" w:eastAsia="宋体" w:cs="Times New Roman"/>
                <w:b/>
                <w:bCs w:val="0"/>
                <w:color w:val="auto"/>
                <w:kern w:val="2"/>
                <w:sz w:val="24"/>
                <w:szCs w:val="24"/>
              </w:rPr>
            </w:pPr>
            <w:r>
              <w:rPr>
                <w:rFonts w:hint="default" w:ascii="Times New Roman" w:hAnsi="Times New Roman" w:eastAsia="宋体" w:cs="Times New Roman"/>
                <w:b/>
                <w:bCs w:val="0"/>
                <w:color w:val="auto"/>
                <w:sz w:val="24"/>
                <w:szCs w:val="24"/>
              </w:rPr>
              <w:t>1、验收执行标准</w:t>
            </w:r>
          </w:p>
          <w:p w14:paraId="522FB1EC">
            <w:pPr>
              <w:widowControl w:val="0"/>
              <w:adjustRightInd/>
              <w:spacing w:after="0" w:line="440" w:lineRule="exact"/>
              <w:ind w:firstLine="480" w:firstLineChars="200"/>
              <w:jc w:val="both"/>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lang w:val="en-US" w:eastAsia="zh-CN"/>
              </w:rPr>
              <w:t>1）废水</w:t>
            </w:r>
          </w:p>
          <w:p w14:paraId="4561A587">
            <w:pPr>
              <w:spacing w:after="0" w:line="480" w:lineRule="exact"/>
              <w:ind w:firstLine="480" w:firstLineChars="200"/>
              <w:textAlignment w:val="baseline"/>
              <w:rPr>
                <w:rFonts w:hint="default" w:ascii="Times New Roman" w:hAnsi="Times New Roman" w:eastAsia="黑体" w:cs="Times New Roman"/>
                <w:color w:val="auto"/>
                <w:sz w:val="24"/>
                <w:szCs w:val="21"/>
                <w:lang w:val="en-US" w:eastAsia="zh-CN"/>
              </w:rPr>
            </w:pPr>
            <w:r>
              <w:rPr>
                <w:rFonts w:hint="default" w:ascii="Times New Roman" w:hAnsi="Times New Roman" w:eastAsia="黑体" w:cs="Times New Roman"/>
                <w:color w:val="auto"/>
                <w:sz w:val="24"/>
                <w:szCs w:val="21"/>
              </w:rPr>
              <w:t>表11                  废水污染物执行标准限值</w:t>
            </w:r>
          </w:p>
          <w:tbl>
            <w:tblPr>
              <w:tblStyle w:val="18"/>
              <w:tblW w:w="4999"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30"/>
              <w:gridCol w:w="2977"/>
              <w:gridCol w:w="2570"/>
              <w:gridCol w:w="1527"/>
            </w:tblGrid>
            <w:tr w14:paraId="598358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41" w:type="pct"/>
                  <w:tcBorders>
                    <w:bottom w:val="single" w:color="auto" w:sz="4" w:space="0"/>
                  </w:tcBorders>
                  <w:vAlign w:val="center"/>
                </w:tcPr>
                <w:p w14:paraId="0604C13D">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污染因素</w:t>
                  </w:r>
                </w:p>
              </w:tc>
              <w:tc>
                <w:tcPr>
                  <w:tcW w:w="1792" w:type="pct"/>
                  <w:tcBorders>
                    <w:top w:val="single" w:color="auto" w:sz="8" w:space="0"/>
                    <w:bottom w:val="single" w:color="auto" w:sz="4" w:space="0"/>
                  </w:tcBorders>
                  <w:vAlign w:val="center"/>
                </w:tcPr>
                <w:p w14:paraId="021064DD">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标准名称及级(类)别</w:t>
                  </w:r>
                </w:p>
              </w:tc>
              <w:tc>
                <w:tcPr>
                  <w:tcW w:w="2466" w:type="pct"/>
                  <w:gridSpan w:val="2"/>
                  <w:tcBorders>
                    <w:bottom w:val="single" w:color="auto" w:sz="4" w:space="0"/>
                  </w:tcBorders>
                  <w:vAlign w:val="center"/>
                </w:tcPr>
                <w:p w14:paraId="3DD58252">
                  <w:pPr>
                    <w:widowControl w:val="0"/>
                    <w:tabs>
                      <w:tab w:val="left" w:pos="1332"/>
                    </w:tabs>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标准限值</w:t>
                  </w:r>
                </w:p>
              </w:tc>
            </w:tr>
            <w:tr w14:paraId="21C399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41" w:type="pct"/>
                  <w:vMerge w:val="restart"/>
                  <w:vAlign w:val="center"/>
                </w:tcPr>
                <w:p w14:paraId="742C3B85">
                  <w:pPr>
                    <w:widowControl w:val="0"/>
                    <w:spacing w:after="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废水</w:t>
                  </w:r>
                </w:p>
              </w:tc>
              <w:tc>
                <w:tcPr>
                  <w:tcW w:w="1792" w:type="pct"/>
                  <w:vMerge w:val="restart"/>
                  <w:tcBorders>
                    <w:top w:val="single" w:color="auto" w:sz="4" w:space="0"/>
                  </w:tcBorders>
                  <w:vAlign w:val="center"/>
                </w:tcPr>
                <w:p w14:paraId="5E974DE5">
                  <w:pPr>
                    <w:pStyle w:val="67"/>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延津县第一污水处理厂收水标准</w:t>
                  </w:r>
                </w:p>
              </w:tc>
              <w:tc>
                <w:tcPr>
                  <w:tcW w:w="1547" w:type="pct"/>
                  <w:vAlign w:val="center"/>
                </w:tcPr>
                <w:p w14:paraId="6F4CA700">
                  <w:pPr>
                    <w:pStyle w:val="67"/>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highlight w:val="none"/>
                    </w:rPr>
                    <w:t>SS</w:t>
                  </w:r>
                </w:p>
              </w:tc>
              <w:tc>
                <w:tcPr>
                  <w:tcW w:w="919" w:type="pct"/>
                  <w:tcBorders>
                    <w:top w:val="single" w:color="auto" w:sz="4" w:space="0"/>
                    <w:bottom w:val="single" w:color="auto" w:sz="4" w:space="0"/>
                  </w:tcBorders>
                  <w:vAlign w:val="center"/>
                </w:tcPr>
                <w:p w14:paraId="03F22286">
                  <w:pPr>
                    <w:pStyle w:val="67"/>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200mg/L</w:t>
                  </w:r>
                </w:p>
              </w:tc>
            </w:tr>
            <w:tr w14:paraId="287C18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41" w:type="pct"/>
                  <w:vMerge w:val="continue"/>
                  <w:vAlign w:val="center"/>
                </w:tcPr>
                <w:p w14:paraId="0161BE06">
                  <w:pPr>
                    <w:widowControl w:val="0"/>
                    <w:spacing w:after="0"/>
                    <w:jc w:val="center"/>
                    <w:rPr>
                      <w:rFonts w:hint="default" w:ascii="Times New Roman" w:hAnsi="Times New Roman" w:eastAsia="宋体" w:cs="Times New Roman"/>
                      <w:color w:val="auto"/>
                      <w:kern w:val="2"/>
                      <w:sz w:val="21"/>
                      <w:szCs w:val="21"/>
                      <w:highlight w:val="none"/>
                    </w:rPr>
                  </w:pPr>
                </w:p>
              </w:tc>
              <w:tc>
                <w:tcPr>
                  <w:tcW w:w="1792" w:type="pct"/>
                  <w:vMerge w:val="continue"/>
                  <w:vAlign w:val="center"/>
                </w:tcPr>
                <w:p w14:paraId="6C2FA718">
                  <w:pPr>
                    <w:spacing w:after="0"/>
                    <w:jc w:val="center"/>
                    <w:rPr>
                      <w:rFonts w:hint="default" w:ascii="Times New Roman" w:hAnsi="Times New Roman" w:eastAsia="宋体" w:cs="Times New Roman"/>
                      <w:color w:val="auto"/>
                      <w:sz w:val="21"/>
                      <w:szCs w:val="21"/>
                      <w:highlight w:val="none"/>
                    </w:rPr>
                  </w:pPr>
                </w:p>
              </w:tc>
              <w:tc>
                <w:tcPr>
                  <w:tcW w:w="1547" w:type="pct"/>
                  <w:vAlign w:val="center"/>
                </w:tcPr>
                <w:p w14:paraId="0D241745">
                  <w:pPr>
                    <w:pStyle w:val="67"/>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highlight w:val="none"/>
                    </w:rPr>
                    <w:t>COD</w:t>
                  </w:r>
                </w:p>
              </w:tc>
              <w:tc>
                <w:tcPr>
                  <w:tcW w:w="919" w:type="pct"/>
                  <w:tcBorders>
                    <w:top w:val="single" w:color="auto" w:sz="4" w:space="0"/>
                    <w:bottom w:val="single" w:color="auto" w:sz="4" w:space="0"/>
                  </w:tcBorders>
                  <w:vAlign w:val="center"/>
                </w:tcPr>
                <w:p w14:paraId="151FC980">
                  <w:pPr>
                    <w:pStyle w:val="67"/>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350mg/L</w:t>
                  </w:r>
                </w:p>
              </w:tc>
            </w:tr>
            <w:tr w14:paraId="60C844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41" w:type="pct"/>
                  <w:vMerge w:val="continue"/>
                  <w:vAlign w:val="center"/>
                </w:tcPr>
                <w:p w14:paraId="45447B3D">
                  <w:pPr>
                    <w:widowControl w:val="0"/>
                    <w:spacing w:after="0"/>
                    <w:jc w:val="center"/>
                    <w:rPr>
                      <w:rFonts w:hint="default" w:ascii="Times New Roman" w:hAnsi="Times New Roman" w:eastAsia="宋体" w:cs="Times New Roman"/>
                      <w:color w:val="auto"/>
                      <w:kern w:val="2"/>
                      <w:sz w:val="21"/>
                      <w:szCs w:val="21"/>
                      <w:highlight w:val="none"/>
                    </w:rPr>
                  </w:pPr>
                </w:p>
              </w:tc>
              <w:tc>
                <w:tcPr>
                  <w:tcW w:w="1792" w:type="pct"/>
                  <w:vMerge w:val="continue"/>
                  <w:vAlign w:val="center"/>
                </w:tcPr>
                <w:p w14:paraId="11ADBFBF">
                  <w:pPr>
                    <w:spacing w:after="0"/>
                    <w:jc w:val="center"/>
                    <w:rPr>
                      <w:rFonts w:hint="default" w:ascii="Times New Roman" w:hAnsi="Times New Roman" w:eastAsia="宋体" w:cs="Times New Roman"/>
                      <w:color w:val="auto"/>
                      <w:sz w:val="21"/>
                      <w:szCs w:val="21"/>
                      <w:highlight w:val="none"/>
                    </w:rPr>
                  </w:pPr>
                </w:p>
              </w:tc>
              <w:tc>
                <w:tcPr>
                  <w:tcW w:w="1547" w:type="pct"/>
                  <w:vAlign w:val="center"/>
                </w:tcPr>
                <w:p w14:paraId="42AD1A6F">
                  <w:pPr>
                    <w:pStyle w:val="67"/>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highlight w:val="none"/>
                    </w:rPr>
                    <w:t>BOD</w:t>
                  </w:r>
                  <w:r>
                    <w:rPr>
                      <w:rFonts w:hint="default" w:ascii="Times New Roman" w:hAnsi="Times New Roman" w:cs="Times New Roman"/>
                      <w:color w:val="auto"/>
                      <w:kern w:val="0"/>
                      <w:highlight w:val="none"/>
                      <w:vertAlign w:val="subscript"/>
                    </w:rPr>
                    <w:t>5</w:t>
                  </w:r>
                </w:p>
              </w:tc>
              <w:tc>
                <w:tcPr>
                  <w:tcW w:w="919" w:type="pct"/>
                  <w:tcBorders>
                    <w:top w:val="single" w:color="auto" w:sz="4" w:space="0"/>
                    <w:bottom w:val="single" w:color="auto" w:sz="4" w:space="0"/>
                  </w:tcBorders>
                  <w:vAlign w:val="center"/>
                </w:tcPr>
                <w:p w14:paraId="039B800D">
                  <w:pPr>
                    <w:pStyle w:val="67"/>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rPr>
                    <w:t>150mg/L</w:t>
                  </w:r>
                </w:p>
              </w:tc>
            </w:tr>
            <w:tr w14:paraId="6325A1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41" w:type="pct"/>
                  <w:vMerge w:val="continue"/>
                  <w:vAlign w:val="center"/>
                </w:tcPr>
                <w:p w14:paraId="45BE11AF">
                  <w:pPr>
                    <w:widowControl w:val="0"/>
                    <w:spacing w:after="0"/>
                    <w:jc w:val="center"/>
                    <w:rPr>
                      <w:rFonts w:hint="default" w:ascii="Times New Roman" w:hAnsi="Times New Roman" w:eastAsia="宋体" w:cs="Times New Roman"/>
                      <w:color w:val="auto"/>
                      <w:kern w:val="2"/>
                      <w:sz w:val="21"/>
                      <w:szCs w:val="21"/>
                      <w:highlight w:val="none"/>
                    </w:rPr>
                  </w:pPr>
                </w:p>
              </w:tc>
              <w:tc>
                <w:tcPr>
                  <w:tcW w:w="1792" w:type="pct"/>
                  <w:vMerge w:val="continue"/>
                  <w:vAlign w:val="center"/>
                </w:tcPr>
                <w:p w14:paraId="45B04F65">
                  <w:pPr>
                    <w:spacing w:after="0"/>
                    <w:jc w:val="center"/>
                    <w:rPr>
                      <w:rFonts w:hint="default" w:ascii="Times New Roman" w:hAnsi="Times New Roman" w:eastAsia="宋体" w:cs="Times New Roman"/>
                      <w:color w:val="auto"/>
                      <w:sz w:val="21"/>
                      <w:szCs w:val="21"/>
                      <w:highlight w:val="none"/>
                    </w:rPr>
                  </w:pPr>
                </w:p>
              </w:tc>
              <w:tc>
                <w:tcPr>
                  <w:tcW w:w="1547" w:type="pct"/>
                  <w:vAlign w:val="center"/>
                </w:tcPr>
                <w:p w14:paraId="710D3F13">
                  <w:pPr>
                    <w:pStyle w:val="67"/>
                    <w:rPr>
                      <w:rFonts w:hint="default" w:ascii="Times New Roman" w:hAnsi="Times New Roman" w:cs="Times New Roman"/>
                      <w:bCs/>
                      <w:color w:val="auto"/>
                      <w:highlight w:val="none"/>
                      <w:lang w:val="en-US" w:eastAsia="zh-CN"/>
                    </w:rPr>
                  </w:pPr>
                  <w:r>
                    <w:rPr>
                      <w:rFonts w:hint="default" w:ascii="Times New Roman" w:hAnsi="Times New Roman" w:cs="Times New Roman"/>
                      <w:color w:val="auto"/>
                      <w:kern w:val="0"/>
                      <w:highlight w:val="none"/>
                    </w:rPr>
                    <w:t>NH</w:t>
                  </w:r>
                  <w:r>
                    <w:rPr>
                      <w:rFonts w:hint="default" w:ascii="Times New Roman" w:hAnsi="Times New Roman" w:cs="Times New Roman"/>
                      <w:color w:val="auto"/>
                      <w:kern w:val="0"/>
                      <w:highlight w:val="none"/>
                      <w:vertAlign w:val="subscript"/>
                    </w:rPr>
                    <w:t>3</w:t>
                  </w:r>
                  <w:r>
                    <w:rPr>
                      <w:rFonts w:hint="default" w:ascii="Times New Roman" w:hAnsi="Times New Roman" w:cs="Times New Roman"/>
                      <w:color w:val="auto"/>
                      <w:kern w:val="0"/>
                      <w:highlight w:val="none"/>
                    </w:rPr>
                    <w:t>-N</w:t>
                  </w:r>
                </w:p>
              </w:tc>
              <w:tc>
                <w:tcPr>
                  <w:tcW w:w="919" w:type="pct"/>
                  <w:tcBorders>
                    <w:top w:val="single" w:color="auto" w:sz="4" w:space="0"/>
                    <w:bottom w:val="single" w:color="auto" w:sz="4" w:space="0"/>
                  </w:tcBorders>
                  <w:vAlign w:val="center"/>
                </w:tcPr>
                <w:p w14:paraId="6888FDFE">
                  <w:pPr>
                    <w:pStyle w:val="67"/>
                    <w:rPr>
                      <w:rFonts w:hint="default" w:ascii="Times New Roman" w:hAnsi="Times New Roman" w:cs="Times New Roman"/>
                      <w:bCs/>
                      <w:color w:val="auto"/>
                      <w:highlight w:val="none"/>
                      <w:lang w:val="en-US" w:eastAsia="zh-CN"/>
                    </w:rPr>
                  </w:pPr>
                  <w:r>
                    <w:rPr>
                      <w:rFonts w:hint="default" w:ascii="Times New Roman" w:hAnsi="Times New Roman" w:cs="Times New Roman"/>
                      <w:color w:val="auto"/>
                      <w:highlight w:val="none"/>
                    </w:rPr>
                    <w:t>40mg/L</w:t>
                  </w:r>
                </w:p>
              </w:tc>
            </w:tr>
            <w:tr w14:paraId="199196D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41" w:type="pct"/>
                  <w:vMerge w:val="continue"/>
                  <w:vAlign w:val="center"/>
                </w:tcPr>
                <w:p w14:paraId="3FD55C45">
                  <w:pPr>
                    <w:widowControl w:val="0"/>
                    <w:spacing w:after="0"/>
                    <w:jc w:val="center"/>
                    <w:rPr>
                      <w:rFonts w:hint="default" w:ascii="Times New Roman" w:hAnsi="Times New Roman" w:eastAsia="宋体" w:cs="Times New Roman"/>
                      <w:color w:val="auto"/>
                      <w:kern w:val="2"/>
                      <w:sz w:val="21"/>
                      <w:szCs w:val="21"/>
                      <w:highlight w:val="none"/>
                    </w:rPr>
                  </w:pPr>
                </w:p>
              </w:tc>
              <w:tc>
                <w:tcPr>
                  <w:tcW w:w="1792" w:type="pct"/>
                  <w:vMerge w:val="continue"/>
                  <w:vAlign w:val="center"/>
                </w:tcPr>
                <w:p w14:paraId="37C16B7C">
                  <w:pPr>
                    <w:spacing w:after="0"/>
                    <w:jc w:val="center"/>
                    <w:rPr>
                      <w:rFonts w:hint="default" w:ascii="Times New Roman" w:hAnsi="Times New Roman" w:eastAsia="宋体" w:cs="Times New Roman"/>
                      <w:color w:val="auto"/>
                      <w:sz w:val="21"/>
                      <w:szCs w:val="21"/>
                      <w:highlight w:val="none"/>
                    </w:rPr>
                  </w:pPr>
                </w:p>
              </w:tc>
              <w:tc>
                <w:tcPr>
                  <w:tcW w:w="1547" w:type="pct"/>
                  <w:vAlign w:val="center"/>
                </w:tcPr>
                <w:p w14:paraId="44599193">
                  <w:pPr>
                    <w:pStyle w:val="67"/>
                    <w:rPr>
                      <w:rFonts w:hint="default" w:ascii="Times New Roman" w:hAnsi="Times New Roman" w:cs="Times New Roman"/>
                      <w:bCs/>
                      <w:color w:val="auto"/>
                      <w:highlight w:val="none"/>
                      <w:lang w:val="en-US" w:eastAsia="zh-CN"/>
                    </w:rPr>
                  </w:pPr>
                  <w:r>
                    <w:rPr>
                      <w:rFonts w:hint="default" w:ascii="Times New Roman" w:hAnsi="Times New Roman" w:cs="Times New Roman"/>
                      <w:color w:val="auto"/>
                      <w:kern w:val="0"/>
                      <w:highlight w:val="none"/>
                    </w:rPr>
                    <w:t>TN</w:t>
                  </w:r>
                </w:p>
              </w:tc>
              <w:tc>
                <w:tcPr>
                  <w:tcW w:w="919" w:type="pct"/>
                  <w:tcBorders>
                    <w:top w:val="single" w:color="auto" w:sz="4" w:space="0"/>
                    <w:bottom w:val="single" w:color="auto" w:sz="4" w:space="0"/>
                  </w:tcBorders>
                  <w:vAlign w:val="center"/>
                </w:tcPr>
                <w:p w14:paraId="6F4F3481">
                  <w:pPr>
                    <w:pStyle w:val="67"/>
                    <w:rPr>
                      <w:rFonts w:hint="default" w:ascii="Times New Roman" w:hAnsi="Times New Roman" w:cs="Times New Roman"/>
                      <w:bCs/>
                      <w:color w:val="auto"/>
                      <w:highlight w:val="none"/>
                      <w:lang w:val="en-US" w:eastAsia="zh-CN"/>
                    </w:rPr>
                  </w:pPr>
                  <w:r>
                    <w:rPr>
                      <w:rFonts w:hint="default" w:ascii="Times New Roman" w:hAnsi="Times New Roman" w:cs="Times New Roman"/>
                      <w:color w:val="auto"/>
                      <w:highlight w:val="none"/>
                    </w:rPr>
                    <w:t>55mg/L</w:t>
                  </w:r>
                </w:p>
              </w:tc>
            </w:tr>
            <w:tr w14:paraId="67217E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41" w:type="pct"/>
                  <w:vMerge w:val="continue"/>
                  <w:vAlign w:val="center"/>
                </w:tcPr>
                <w:p w14:paraId="44C442D2">
                  <w:pPr>
                    <w:widowControl w:val="0"/>
                    <w:spacing w:after="0"/>
                    <w:jc w:val="center"/>
                    <w:rPr>
                      <w:rFonts w:hint="default" w:ascii="Times New Roman" w:hAnsi="Times New Roman" w:eastAsia="宋体" w:cs="Times New Roman"/>
                      <w:color w:val="auto"/>
                      <w:kern w:val="2"/>
                      <w:sz w:val="21"/>
                      <w:szCs w:val="21"/>
                      <w:highlight w:val="none"/>
                    </w:rPr>
                  </w:pPr>
                </w:p>
              </w:tc>
              <w:tc>
                <w:tcPr>
                  <w:tcW w:w="1792" w:type="pct"/>
                  <w:vMerge w:val="continue"/>
                  <w:vAlign w:val="center"/>
                </w:tcPr>
                <w:p w14:paraId="02279241">
                  <w:pPr>
                    <w:spacing w:after="0"/>
                    <w:jc w:val="center"/>
                    <w:rPr>
                      <w:rFonts w:hint="default" w:ascii="Times New Roman" w:hAnsi="Times New Roman" w:eastAsia="宋体" w:cs="Times New Roman"/>
                      <w:color w:val="auto"/>
                      <w:sz w:val="21"/>
                      <w:szCs w:val="21"/>
                      <w:highlight w:val="none"/>
                    </w:rPr>
                  </w:pPr>
                </w:p>
              </w:tc>
              <w:tc>
                <w:tcPr>
                  <w:tcW w:w="1547" w:type="pct"/>
                  <w:vAlign w:val="center"/>
                </w:tcPr>
                <w:p w14:paraId="38665275">
                  <w:pPr>
                    <w:pStyle w:val="67"/>
                    <w:rPr>
                      <w:rFonts w:hint="default" w:ascii="Times New Roman" w:hAnsi="Times New Roman" w:cs="Times New Roman"/>
                      <w:bCs/>
                      <w:color w:val="auto"/>
                      <w:highlight w:val="none"/>
                      <w:lang w:val="en-US" w:eastAsia="zh-CN"/>
                    </w:rPr>
                  </w:pPr>
                  <w:r>
                    <w:rPr>
                      <w:rFonts w:hint="default" w:ascii="Times New Roman" w:hAnsi="Times New Roman" w:cs="Times New Roman"/>
                      <w:color w:val="auto"/>
                      <w:kern w:val="0"/>
                      <w:highlight w:val="none"/>
                    </w:rPr>
                    <w:t>TP</w:t>
                  </w:r>
                </w:p>
              </w:tc>
              <w:tc>
                <w:tcPr>
                  <w:tcW w:w="919" w:type="pct"/>
                  <w:tcBorders>
                    <w:top w:val="single" w:color="auto" w:sz="4" w:space="0"/>
                    <w:bottom w:val="single" w:color="auto" w:sz="4" w:space="0"/>
                  </w:tcBorders>
                  <w:vAlign w:val="center"/>
                </w:tcPr>
                <w:p w14:paraId="6305872E">
                  <w:pPr>
                    <w:pStyle w:val="67"/>
                    <w:rPr>
                      <w:rFonts w:hint="default" w:ascii="Times New Roman" w:hAnsi="Times New Roman" w:cs="Times New Roman"/>
                      <w:bCs/>
                      <w:color w:val="auto"/>
                      <w:highlight w:val="none"/>
                      <w:lang w:val="en-US" w:eastAsia="zh-CN"/>
                    </w:rPr>
                  </w:pPr>
                  <w:r>
                    <w:rPr>
                      <w:rFonts w:hint="default" w:ascii="Times New Roman" w:hAnsi="Times New Roman" w:cs="Times New Roman"/>
                      <w:color w:val="auto"/>
                      <w:highlight w:val="none"/>
                    </w:rPr>
                    <w:t>4.0mg/L</w:t>
                  </w:r>
                </w:p>
              </w:tc>
            </w:tr>
            <w:tr w14:paraId="60DCC7B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41" w:type="pct"/>
                  <w:vMerge w:val="continue"/>
                  <w:vAlign w:val="center"/>
                </w:tcPr>
                <w:p w14:paraId="6F5B4C91">
                  <w:pPr>
                    <w:widowControl w:val="0"/>
                    <w:spacing w:after="0"/>
                    <w:jc w:val="center"/>
                    <w:rPr>
                      <w:rFonts w:hint="default" w:ascii="Times New Roman" w:hAnsi="Times New Roman" w:eastAsia="宋体" w:cs="Times New Roman"/>
                      <w:color w:val="auto"/>
                      <w:kern w:val="2"/>
                      <w:sz w:val="21"/>
                      <w:szCs w:val="21"/>
                      <w:highlight w:val="none"/>
                    </w:rPr>
                  </w:pPr>
                </w:p>
              </w:tc>
              <w:tc>
                <w:tcPr>
                  <w:tcW w:w="1792" w:type="pct"/>
                  <w:vMerge w:val="restart"/>
                  <w:vAlign w:val="center"/>
                </w:tcPr>
                <w:p w14:paraId="51C11BF3">
                  <w:pPr>
                    <w:pStyle w:val="67"/>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highlight w:val="none"/>
                      <w:lang w:val="en-US" w:eastAsia="zh-CN"/>
                    </w:rPr>
                    <w:t>《污水综合排放标准》（GB8978-1996）3级标准</w:t>
                  </w:r>
                </w:p>
              </w:tc>
              <w:tc>
                <w:tcPr>
                  <w:tcW w:w="1547" w:type="pct"/>
                  <w:vAlign w:val="center"/>
                </w:tcPr>
                <w:p w14:paraId="48F8F6D1">
                  <w:pPr>
                    <w:pStyle w:val="67"/>
                    <w:rPr>
                      <w:rFonts w:hint="default" w:ascii="Times New Roman" w:hAnsi="Times New Roman" w:cs="Times New Roman"/>
                      <w:bCs/>
                      <w:color w:val="auto"/>
                      <w:highlight w:val="none"/>
                      <w:lang w:val="en-US" w:eastAsia="zh-CN"/>
                    </w:rPr>
                  </w:pPr>
                  <w:r>
                    <w:rPr>
                      <w:rFonts w:hint="default" w:ascii="Times New Roman" w:hAnsi="Times New Roman" w:cs="Times New Roman"/>
                      <w:color w:val="auto"/>
                      <w:kern w:val="0"/>
                      <w:highlight w:val="none"/>
                    </w:rPr>
                    <w:t>SS</w:t>
                  </w:r>
                </w:p>
              </w:tc>
              <w:tc>
                <w:tcPr>
                  <w:tcW w:w="919" w:type="pct"/>
                  <w:tcBorders>
                    <w:top w:val="single" w:color="auto" w:sz="4" w:space="0"/>
                    <w:bottom w:val="single" w:color="auto" w:sz="4" w:space="0"/>
                  </w:tcBorders>
                  <w:vAlign w:val="center"/>
                </w:tcPr>
                <w:p w14:paraId="43530454">
                  <w:pPr>
                    <w:pStyle w:val="67"/>
                    <w:rPr>
                      <w:rFonts w:hint="default" w:ascii="Times New Roman" w:hAnsi="Times New Roman" w:cs="Times New Roman"/>
                      <w:bCs/>
                      <w:color w:val="auto"/>
                      <w:highlight w:val="none"/>
                      <w:lang w:val="en-US" w:eastAsia="zh-CN"/>
                    </w:rPr>
                  </w:pPr>
                  <w:r>
                    <w:rPr>
                      <w:rFonts w:hint="default" w:ascii="Times New Roman" w:hAnsi="Times New Roman" w:cs="Times New Roman"/>
                      <w:color w:val="auto"/>
                      <w:highlight w:val="none"/>
                      <w:lang w:val="en-US" w:eastAsia="zh-CN"/>
                    </w:rPr>
                    <w:t>400</w:t>
                  </w:r>
                  <w:r>
                    <w:rPr>
                      <w:rFonts w:hint="default" w:ascii="Times New Roman" w:hAnsi="Times New Roman" w:cs="Times New Roman"/>
                      <w:color w:val="auto"/>
                      <w:highlight w:val="none"/>
                    </w:rPr>
                    <w:t>mg/L</w:t>
                  </w:r>
                </w:p>
              </w:tc>
            </w:tr>
            <w:tr w14:paraId="0AA356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41" w:type="pct"/>
                  <w:vMerge w:val="continue"/>
                  <w:vAlign w:val="center"/>
                </w:tcPr>
                <w:p w14:paraId="5B04D7A7">
                  <w:pPr>
                    <w:widowControl w:val="0"/>
                    <w:spacing w:after="0"/>
                    <w:jc w:val="center"/>
                    <w:rPr>
                      <w:rFonts w:hint="default" w:ascii="Times New Roman" w:hAnsi="Times New Roman" w:eastAsia="宋体" w:cs="Times New Roman"/>
                      <w:color w:val="auto"/>
                      <w:kern w:val="2"/>
                      <w:sz w:val="21"/>
                      <w:szCs w:val="21"/>
                      <w:highlight w:val="none"/>
                    </w:rPr>
                  </w:pPr>
                </w:p>
              </w:tc>
              <w:tc>
                <w:tcPr>
                  <w:tcW w:w="1792" w:type="pct"/>
                  <w:vMerge w:val="continue"/>
                  <w:vAlign w:val="center"/>
                </w:tcPr>
                <w:p w14:paraId="5BD37F27">
                  <w:pPr>
                    <w:spacing w:after="0"/>
                    <w:jc w:val="center"/>
                    <w:rPr>
                      <w:rFonts w:hint="default" w:ascii="Times New Roman" w:hAnsi="Times New Roman" w:eastAsia="宋体" w:cs="Times New Roman"/>
                      <w:color w:val="auto"/>
                      <w:sz w:val="21"/>
                      <w:szCs w:val="21"/>
                      <w:highlight w:val="none"/>
                    </w:rPr>
                  </w:pPr>
                </w:p>
              </w:tc>
              <w:tc>
                <w:tcPr>
                  <w:tcW w:w="1547" w:type="pct"/>
                  <w:vAlign w:val="center"/>
                </w:tcPr>
                <w:p w14:paraId="59974957">
                  <w:pPr>
                    <w:pStyle w:val="67"/>
                    <w:rPr>
                      <w:rFonts w:hint="default" w:ascii="Times New Roman" w:hAnsi="Times New Roman" w:cs="Times New Roman"/>
                      <w:bCs/>
                      <w:color w:val="auto"/>
                      <w:highlight w:val="none"/>
                      <w:lang w:val="en-US" w:eastAsia="zh-CN"/>
                    </w:rPr>
                  </w:pPr>
                  <w:r>
                    <w:rPr>
                      <w:rFonts w:hint="default" w:ascii="Times New Roman" w:hAnsi="Times New Roman" w:cs="Times New Roman"/>
                      <w:color w:val="auto"/>
                      <w:kern w:val="0"/>
                      <w:highlight w:val="none"/>
                    </w:rPr>
                    <w:t>COD</w:t>
                  </w:r>
                </w:p>
              </w:tc>
              <w:tc>
                <w:tcPr>
                  <w:tcW w:w="919" w:type="pct"/>
                  <w:tcBorders>
                    <w:top w:val="single" w:color="auto" w:sz="4" w:space="0"/>
                    <w:bottom w:val="single" w:color="auto" w:sz="4" w:space="0"/>
                  </w:tcBorders>
                  <w:vAlign w:val="center"/>
                </w:tcPr>
                <w:p w14:paraId="1A7E9671">
                  <w:pPr>
                    <w:pStyle w:val="67"/>
                    <w:rPr>
                      <w:rFonts w:hint="default" w:ascii="Times New Roman" w:hAnsi="Times New Roman" w:cs="Times New Roman"/>
                      <w:bCs/>
                      <w:color w:val="auto"/>
                      <w:highlight w:val="none"/>
                      <w:lang w:val="en-US" w:eastAsia="zh-CN"/>
                    </w:rPr>
                  </w:pPr>
                  <w:r>
                    <w:rPr>
                      <w:rFonts w:hint="default" w:ascii="Times New Roman" w:hAnsi="Times New Roman" w:cs="Times New Roman"/>
                      <w:color w:val="auto"/>
                      <w:highlight w:val="none"/>
                      <w:lang w:val="en-US" w:eastAsia="zh-CN"/>
                    </w:rPr>
                    <w:t>500</w:t>
                  </w:r>
                  <w:r>
                    <w:rPr>
                      <w:rFonts w:hint="default" w:ascii="Times New Roman" w:hAnsi="Times New Roman" w:cs="Times New Roman"/>
                      <w:color w:val="auto"/>
                      <w:highlight w:val="none"/>
                    </w:rPr>
                    <w:t>mg/L</w:t>
                  </w:r>
                </w:p>
              </w:tc>
            </w:tr>
            <w:tr w14:paraId="2BB74B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41" w:type="pct"/>
                  <w:vMerge w:val="continue"/>
                  <w:vAlign w:val="center"/>
                </w:tcPr>
                <w:p w14:paraId="36EE85ED">
                  <w:pPr>
                    <w:widowControl w:val="0"/>
                    <w:spacing w:after="0"/>
                    <w:jc w:val="center"/>
                    <w:rPr>
                      <w:rFonts w:hint="default" w:ascii="Times New Roman" w:hAnsi="Times New Roman" w:eastAsia="宋体" w:cs="Times New Roman"/>
                      <w:color w:val="auto"/>
                      <w:kern w:val="2"/>
                      <w:sz w:val="21"/>
                      <w:szCs w:val="21"/>
                      <w:highlight w:val="none"/>
                    </w:rPr>
                  </w:pPr>
                </w:p>
              </w:tc>
              <w:tc>
                <w:tcPr>
                  <w:tcW w:w="1792" w:type="pct"/>
                  <w:vMerge w:val="continue"/>
                  <w:vAlign w:val="center"/>
                </w:tcPr>
                <w:p w14:paraId="7CBA80B5">
                  <w:pPr>
                    <w:spacing w:after="0"/>
                    <w:jc w:val="center"/>
                    <w:rPr>
                      <w:rFonts w:hint="default" w:ascii="Times New Roman" w:hAnsi="Times New Roman" w:eastAsia="宋体" w:cs="Times New Roman"/>
                      <w:color w:val="auto"/>
                      <w:sz w:val="21"/>
                      <w:szCs w:val="21"/>
                      <w:highlight w:val="none"/>
                    </w:rPr>
                  </w:pPr>
                </w:p>
              </w:tc>
              <w:tc>
                <w:tcPr>
                  <w:tcW w:w="1547" w:type="pct"/>
                  <w:vAlign w:val="center"/>
                </w:tcPr>
                <w:p w14:paraId="05F84FD4">
                  <w:pPr>
                    <w:pStyle w:val="67"/>
                    <w:rPr>
                      <w:rFonts w:hint="default" w:ascii="Times New Roman" w:hAnsi="Times New Roman" w:cs="Times New Roman"/>
                      <w:bCs/>
                      <w:color w:val="auto"/>
                      <w:highlight w:val="none"/>
                      <w:lang w:val="en-US" w:eastAsia="zh-CN"/>
                    </w:rPr>
                  </w:pPr>
                  <w:r>
                    <w:rPr>
                      <w:rFonts w:hint="default" w:ascii="Times New Roman" w:hAnsi="Times New Roman" w:cs="Times New Roman"/>
                      <w:color w:val="auto"/>
                      <w:kern w:val="0"/>
                      <w:highlight w:val="none"/>
                    </w:rPr>
                    <w:t>BOD</w:t>
                  </w:r>
                  <w:r>
                    <w:rPr>
                      <w:rFonts w:hint="default" w:ascii="Times New Roman" w:hAnsi="Times New Roman" w:cs="Times New Roman"/>
                      <w:color w:val="auto"/>
                      <w:kern w:val="0"/>
                      <w:highlight w:val="none"/>
                      <w:vertAlign w:val="subscript"/>
                    </w:rPr>
                    <w:t>5</w:t>
                  </w:r>
                </w:p>
              </w:tc>
              <w:tc>
                <w:tcPr>
                  <w:tcW w:w="919" w:type="pct"/>
                  <w:tcBorders>
                    <w:top w:val="single" w:color="auto" w:sz="4" w:space="0"/>
                    <w:bottom w:val="single" w:color="auto" w:sz="4" w:space="0"/>
                  </w:tcBorders>
                  <w:vAlign w:val="center"/>
                </w:tcPr>
                <w:p w14:paraId="411E494F">
                  <w:pPr>
                    <w:pStyle w:val="67"/>
                    <w:rPr>
                      <w:rFonts w:hint="default" w:ascii="Times New Roman" w:hAnsi="Times New Roman" w:cs="Times New Roman"/>
                      <w:bCs/>
                      <w:color w:val="auto"/>
                      <w:highlight w:val="none"/>
                      <w:lang w:val="en-US" w:eastAsia="zh-CN"/>
                    </w:rPr>
                  </w:pPr>
                  <w:r>
                    <w:rPr>
                      <w:rFonts w:hint="default" w:ascii="Times New Roman" w:hAnsi="Times New Roman" w:cs="Times New Roman"/>
                      <w:color w:val="auto"/>
                      <w:highlight w:val="none"/>
                      <w:lang w:val="en-US" w:eastAsia="zh-CN"/>
                    </w:rPr>
                    <w:t>300</w:t>
                  </w:r>
                  <w:r>
                    <w:rPr>
                      <w:rFonts w:hint="default" w:ascii="Times New Roman" w:hAnsi="Times New Roman" w:cs="Times New Roman"/>
                      <w:color w:val="auto"/>
                      <w:highlight w:val="none"/>
                    </w:rPr>
                    <w:t>mg/L</w:t>
                  </w:r>
                </w:p>
              </w:tc>
            </w:tr>
          </w:tbl>
          <w:p w14:paraId="4E4EE7BD">
            <w:pPr>
              <w:widowControl w:val="0"/>
              <w:adjustRightInd/>
              <w:spacing w:after="0" w:line="440" w:lineRule="exact"/>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lang w:val="en-US" w:eastAsia="zh-CN"/>
              </w:rPr>
              <w:t>2）</w:t>
            </w:r>
            <w:r>
              <w:rPr>
                <w:rFonts w:hint="default" w:ascii="Times New Roman" w:hAnsi="Times New Roman" w:eastAsia="宋体" w:cs="Times New Roman"/>
                <w:color w:val="auto"/>
                <w:kern w:val="2"/>
                <w:sz w:val="24"/>
                <w:szCs w:val="24"/>
              </w:rPr>
              <w:t>废气</w:t>
            </w:r>
          </w:p>
          <w:p w14:paraId="2A2FA5C7">
            <w:pPr>
              <w:spacing w:after="0" w:line="480" w:lineRule="exact"/>
              <w:ind w:firstLine="480" w:firstLineChars="200"/>
              <w:textAlignment w:val="baseline"/>
              <w:rPr>
                <w:rFonts w:hint="default" w:ascii="Times New Roman" w:hAnsi="Times New Roman" w:eastAsia="黑体" w:cs="Times New Roman"/>
                <w:color w:val="auto"/>
                <w:sz w:val="24"/>
                <w:szCs w:val="21"/>
              </w:rPr>
            </w:pPr>
            <w:r>
              <w:rPr>
                <w:rFonts w:hint="default" w:ascii="Times New Roman" w:hAnsi="Times New Roman" w:eastAsia="黑体" w:cs="Times New Roman"/>
                <w:color w:val="auto"/>
                <w:sz w:val="24"/>
                <w:szCs w:val="21"/>
              </w:rPr>
              <w:t>表11                  废气污染物执行标准限值</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32"/>
              <w:gridCol w:w="2735"/>
              <w:gridCol w:w="675"/>
              <w:gridCol w:w="2362"/>
              <w:gridCol w:w="1402"/>
            </w:tblGrid>
            <w:tr w14:paraId="70618E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32" w:type="dxa"/>
                  <w:tcBorders>
                    <w:bottom w:val="single" w:color="auto" w:sz="4" w:space="0"/>
                  </w:tcBorders>
                  <w:vAlign w:val="center"/>
                </w:tcPr>
                <w:p w14:paraId="5FF8DFA1">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污染因素</w:t>
                  </w:r>
                </w:p>
              </w:tc>
              <w:tc>
                <w:tcPr>
                  <w:tcW w:w="2735" w:type="dxa"/>
                  <w:tcBorders>
                    <w:top w:val="single" w:color="auto" w:sz="8" w:space="0"/>
                    <w:bottom w:val="single" w:color="auto" w:sz="4" w:space="0"/>
                  </w:tcBorders>
                  <w:vAlign w:val="center"/>
                </w:tcPr>
                <w:p w14:paraId="2BC88ADD">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标准名称及级(类)别</w:t>
                  </w:r>
                </w:p>
              </w:tc>
              <w:tc>
                <w:tcPr>
                  <w:tcW w:w="3037" w:type="dxa"/>
                  <w:gridSpan w:val="2"/>
                  <w:tcBorders>
                    <w:bottom w:val="single" w:color="auto" w:sz="4" w:space="0"/>
                  </w:tcBorders>
                  <w:vAlign w:val="center"/>
                </w:tcPr>
                <w:p w14:paraId="4B0EC918">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污染因子</w:t>
                  </w:r>
                </w:p>
              </w:tc>
              <w:tc>
                <w:tcPr>
                  <w:tcW w:w="1402" w:type="dxa"/>
                  <w:tcBorders>
                    <w:bottom w:val="single" w:color="auto" w:sz="4" w:space="0"/>
                  </w:tcBorders>
                  <w:vAlign w:val="center"/>
                </w:tcPr>
                <w:p w14:paraId="4F63316D">
                  <w:pPr>
                    <w:widowControl w:val="0"/>
                    <w:tabs>
                      <w:tab w:val="left" w:pos="1332"/>
                    </w:tabs>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标准限值</w:t>
                  </w:r>
                </w:p>
              </w:tc>
            </w:tr>
            <w:tr w14:paraId="18FB53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32" w:type="dxa"/>
                  <w:vMerge w:val="restart"/>
                  <w:vAlign w:val="center"/>
                </w:tcPr>
                <w:p w14:paraId="78A9167F">
                  <w:pPr>
                    <w:widowControl w:val="0"/>
                    <w:spacing w:after="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废气</w:t>
                  </w:r>
                </w:p>
              </w:tc>
              <w:tc>
                <w:tcPr>
                  <w:tcW w:w="2735" w:type="dxa"/>
                  <w:vMerge w:val="restart"/>
                  <w:tcBorders>
                    <w:top w:val="single" w:color="auto" w:sz="4" w:space="0"/>
                  </w:tcBorders>
                  <w:vAlign w:val="center"/>
                </w:tcPr>
                <w:p w14:paraId="3B131165">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《合成树脂工业污染物排放标准》（GB31572-2015）（含2024年修改单）</w:t>
                  </w:r>
                </w:p>
              </w:tc>
              <w:tc>
                <w:tcPr>
                  <w:tcW w:w="675" w:type="dxa"/>
                  <w:vMerge w:val="restart"/>
                  <w:vAlign w:val="center"/>
                </w:tcPr>
                <w:p w14:paraId="741C2932">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2362" w:type="dxa"/>
                  <w:vAlign w:val="center"/>
                </w:tcPr>
                <w:p w14:paraId="01A8D1CF">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402" w:type="dxa"/>
                  <w:tcBorders>
                    <w:top w:val="single" w:color="auto" w:sz="4" w:space="0"/>
                    <w:bottom w:val="single" w:color="auto" w:sz="4" w:space="0"/>
                  </w:tcBorders>
                  <w:vAlign w:val="center"/>
                </w:tcPr>
                <w:p w14:paraId="632BB733">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，排气筒高度≥15m</w:t>
                  </w:r>
                </w:p>
              </w:tc>
            </w:tr>
            <w:tr w14:paraId="6C9B73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32" w:type="dxa"/>
                  <w:vMerge w:val="continue"/>
                  <w:vAlign w:val="center"/>
                </w:tcPr>
                <w:p w14:paraId="5BBFFCF7">
                  <w:pPr>
                    <w:widowControl w:val="0"/>
                    <w:spacing w:after="0"/>
                    <w:jc w:val="center"/>
                    <w:rPr>
                      <w:rFonts w:hint="default" w:ascii="Times New Roman" w:hAnsi="Times New Roman" w:eastAsia="宋体" w:cs="Times New Roman"/>
                      <w:color w:val="auto"/>
                      <w:kern w:val="2"/>
                      <w:sz w:val="21"/>
                      <w:szCs w:val="21"/>
                      <w:highlight w:val="none"/>
                    </w:rPr>
                  </w:pPr>
                </w:p>
              </w:tc>
              <w:tc>
                <w:tcPr>
                  <w:tcW w:w="2735" w:type="dxa"/>
                  <w:vMerge w:val="continue"/>
                  <w:vAlign w:val="center"/>
                </w:tcPr>
                <w:p w14:paraId="0F465914">
                  <w:pPr>
                    <w:spacing w:after="0"/>
                    <w:jc w:val="center"/>
                    <w:rPr>
                      <w:rFonts w:hint="default" w:ascii="Times New Roman" w:hAnsi="Times New Roman" w:eastAsia="宋体" w:cs="Times New Roman"/>
                      <w:color w:val="auto"/>
                      <w:sz w:val="21"/>
                      <w:szCs w:val="21"/>
                      <w:highlight w:val="none"/>
                    </w:rPr>
                  </w:pPr>
                </w:p>
              </w:tc>
              <w:tc>
                <w:tcPr>
                  <w:tcW w:w="675" w:type="dxa"/>
                  <w:vMerge w:val="continue"/>
                  <w:vAlign w:val="center"/>
                </w:tcPr>
                <w:p w14:paraId="02B027AA">
                  <w:pPr>
                    <w:spacing w:after="0"/>
                    <w:jc w:val="center"/>
                    <w:rPr>
                      <w:rFonts w:hint="default" w:ascii="Times New Roman" w:hAnsi="Times New Roman" w:eastAsia="宋体" w:cs="Times New Roman"/>
                      <w:color w:val="auto"/>
                      <w:sz w:val="21"/>
                      <w:szCs w:val="21"/>
                      <w:highlight w:val="none"/>
                    </w:rPr>
                  </w:pPr>
                </w:p>
              </w:tc>
              <w:tc>
                <w:tcPr>
                  <w:tcW w:w="2362" w:type="dxa"/>
                  <w:vAlign w:val="center"/>
                </w:tcPr>
                <w:p w14:paraId="7835B915">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w:t>
                  </w:r>
                </w:p>
              </w:tc>
              <w:tc>
                <w:tcPr>
                  <w:tcW w:w="1402" w:type="dxa"/>
                  <w:tcBorders>
                    <w:top w:val="single" w:color="auto" w:sz="4" w:space="0"/>
                    <w:bottom w:val="single" w:color="auto" w:sz="4" w:space="0"/>
                  </w:tcBorders>
                  <w:vAlign w:val="center"/>
                </w:tcPr>
                <w:p w14:paraId="60890E4F">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4mg/m</w:t>
                  </w:r>
                  <w:r>
                    <w:rPr>
                      <w:rFonts w:hint="default" w:ascii="Times New Roman" w:hAnsi="Times New Roman" w:eastAsia="宋体" w:cs="Times New Roman"/>
                      <w:color w:val="auto"/>
                      <w:sz w:val="21"/>
                      <w:szCs w:val="21"/>
                      <w:highlight w:val="none"/>
                      <w:vertAlign w:val="superscript"/>
                    </w:rPr>
                    <w:t>3</w:t>
                  </w:r>
                </w:p>
              </w:tc>
            </w:tr>
            <w:tr w14:paraId="4A4E9C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32" w:type="dxa"/>
                  <w:vMerge w:val="continue"/>
                  <w:vAlign w:val="center"/>
                </w:tcPr>
                <w:p w14:paraId="346090EC">
                  <w:pPr>
                    <w:widowControl w:val="0"/>
                    <w:spacing w:after="0"/>
                    <w:jc w:val="center"/>
                    <w:rPr>
                      <w:rFonts w:hint="default" w:ascii="Times New Roman" w:hAnsi="Times New Roman" w:eastAsia="宋体" w:cs="Times New Roman"/>
                      <w:color w:val="auto"/>
                      <w:kern w:val="2"/>
                      <w:sz w:val="21"/>
                      <w:szCs w:val="21"/>
                      <w:highlight w:val="none"/>
                    </w:rPr>
                  </w:pPr>
                </w:p>
              </w:tc>
              <w:tc>
                <w:tcPr>
                  <w:tcW w:w="2735" w:type="dxa"/>
                  <w:vMerge w:val="continue"/>
                  <w:vAlign w:val="center"/>
                </w:tcPr>
                <w:p w14:paraId="7B4C4E21">
                  <w:pPr>
                    <w:spacing w:after="0"/>
                    <w:jc w:val="center"/>
                    <w:rPr>
                      <w:rFonts w:hint="default" w:ascii="Times New Roman" w:hAnsi="Times New Roman" w:eastAsia="宋体" w:cs="Times New Roman"/>
                      <w:color w:val="auto"/>
                      <w:sz w:val="21"/>
                      <w:szCs w:val="21"/>
                      <w:highlight w:val="none"/>
                    </w:rPr>
                  </w:pPr>
                </w:p>
              </w:tc>
              <w:tc>
                <w:tcPr>
                  <w:tcW w:w="675" w:type="dxa"/>
                  <w:vMerge w:val="continue"/>
                  <w:vAlign w:val="center"/>
                </w:tcPr>
                <w:p w14:paraId="4534A9CB">
                  <w:pPr>
                    <w:spacing w:after="0"/>
                    <w:jc w:val="center"/>
                    <w:rPr>
                      <w:rFonts w:hint="default" w:ascii="Times New Roman" w:hAnsi="Times New Roman" w:eastAsia="宋体" w:cs="Times New Roman"/>
                      <w:color w:val="auto"/>
                      <w:sz w:val="21"/>
                      <w:szCs w:val="21"/>
                      <w:highlight w:val="none"/>
                    </w:rPr>
                  </w:pPr>
                </w:p>
              </w:tc>
              <w:tc>
                <w:tcPr>
                  <w:tcW w:w="2362" w:type="dxa"/>
                  <w:vAlign w:val="center"/>
                </w:tcPr>
                <w:p w14:paraId="7A8A690B">
                  <w:pPr>
                    <w:pStyle w:val="67"/>
                    <w:rPr>
                      <w:rFonts w:hint="default" w:ascii="Times New Roman" w:hAnsi="Times New Roman" w:eastAsia="宋体" w:cs="Times New Roman"/>
                      <w:color w:val="auto"/>
                      <w:sz w:val="21"/>
                      <w:szCs w:val="21"/>
                      <w:highlight w:val="none"/>
                    </w:rPr>
                  </w:pPr>
                  <w:r>
                    <w:rPr>
                      <w:rFonts w:hint="default" w:ascii="Times New Roman" w:hAnsi="Times New Roman" w:cs="Times New Roman"/>
                      <w:bCs/>
                      <w:color w:val="auto"/>
                      <w:highlight w:val="none"/>
                      <w:lang w:val="en-US" w:eastAsia="zh-CN"/>
                    </w:rPr>
                    <w:t>单位产品非甲烷总烃排放量</w:t>
                  </w:r>
                </w:p>
              </w:tc>
              <w:tc>
                <w:tcPr>
                  <w:tcW w:w="1402" w:type="dxa"/>
                  <w:tcBorders>
                    <w:top w:val="single" w:color="auto" w:sz="4" w:space="0"/>
                    <w:bottom w:val="single" w:color="auto" w:sz="4" w:space="0"/>
                  </w:tcBorders>
                  <w:vAlign w:val="center"/>
                </w:tcPr>
                <w:p w14:paraId="6A43814F">
                  <w:pPr>
                    <w:pStyle w:val="67"/>
                    <w:rPr>
                      <w:rFonts w:hint="default" w:ascii="Times New Roman" w:hAnsi="Times New Roman" w:eastAsia="宋体" w:cs="Times New Roman"/>
                      <w:color w:val="auto"/>
                      <w:sz w:val="21"/>
                      <w:szCs w:val="21"/>
                      <w:highlight w:val="none"/>
                    </w:rPr>
                  </w:pPr>
                  <w:r>
                    <w:rPr>
                      <w:rFonts w:hint="default" w:ascii="Times New Roman" w:hAnsi="Times New Roman" w:cs="Times New Roman"/>
                      <w:bCs/>
                      <w:color w:val="auto"/>
                      <w:highlight w:val="none"/>
                      <w:lang w:val="en-US" w:eastAsia="zh-CN"/>
                    </w:rPr>
                    <w:t>0.3kg/t产品</w:t>
                  </w:r>
                </w:p>
              </w:tc>
            </w:tr>
            <w:tr w14:paraId="2C05B8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32" w:type="dxa"/>
                  <w:vMerge w:val="continue"/>
                  <w:vAlign w:val="center"/>
                </w:tcPr>
                <w:p w14:paraId="01F15516">
                  <w:pPr>
                    <w:widowControl w:val="0"/>
                    <w:spacing w:after="0"/>
                    <w:jc w:val="center"/>
                    <w:rPr>
                      <w:rFonts w:hint="default" w:ascii="Times New Roman" w:hAnsi="Times New Roman" w:eastAsia="宋体" w:cs="Times New Roman"/>
                      <w:color w:val="auto"/>
                      <w:kern w:val="2"/>
                      <w:sz w:val="21"/>
                      <w:szCs w:val="21"/>
                      <w:highlight w:val="none"/>
                    </w:rPr>
                  </w:pPr>
                </w:p>
              </w:tc>
              <w:tc>
                <w:tcPr>
                  <w:tcW w:w="2735" w:type="dxa"/>
                  <w:vMerge w:val="restart"/>
                  <w:tcBorders>
                    <w:top w:val="single" w:color="auto" w:sz="4" w:space="0"/>
                  </w:tcBorders>
                  <w:vAlign w:val="center"/>
                </w:tcPr>
                <w:p w14:paraId="0CDC007A">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《关于全省开展工业企业挥发性有机物专项治理工作中排放建议值的通知》（豫环攻坚办（2017）162号）</w:t>
                  </w:r>
                </w:p>
              </w:tc>
              <w:tc>
                <w:tcPr>
                  <w:tcW w:w="675" w:type="dxa"/>
                  <w:vMerge w:val="restart"/>
                  <w:vAlign w:val="center"/>
                </w:tcPr>
                <w:p w14:paraId="32B68035">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2362" w:type="dxa"/>
                  <w:vAlign w:val="center"/>
                </w:tcPr>
                <w:p w14:paraId="788069C1">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附件1：其他行业有机废气排放口</w:t>
                  </w:r>
                </w:p>
              </w:tc>
              <w:tc>
                <w:tcPr>
                  <w:tcW w:w="1402" w:type="dxa"/>
                  <w:tcBorders>
                    <w:top w:val="single" w:color="auto" w:sz="4" w:space="0"/>
                    <w:bottom w:val="single" w:color="auto" w:sz="4" w:space="0"/>
                  </w:tcBorders>
                  <w:vAlign w:val="center"/>
                </w:tcPr>
                <w:p w14:paraId="66C676FF">
                  <w:pPr>
                    <w:spacing w:after="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80mg/m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，去除率≥70%</w:t>
                  </w:r>
                </w:p>
              </w:tc>
            </w:tr>
            <w:tr w14:paraId="0C212C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32" w:type="dxa"/>
                  <w:vMerge w:val="continue"/>
                  <w:vAlign w:val="center"/>
                </w:tcPr>
                <w:p w14:paraId="246411C2">
                  <w:pPr>
                    <w:widowControl w:val="0"/>
                    <w:spacing w:after="0"/>
                    <w:jc w:val="center"/>
                    <w:rPr>
                      <w:rFonts w:hint="default" w:ascii="Times New Roman" w:hAnsi="Times New Roman" w:eastAsia="宋体" w:cs="Times New Roman"/>
                      <w:color w:val="auto"/>
                      <w:kern w:val="2"/>
                      <w:sz w:val="21"/>
                      <w:szCs w:val="21"/>
                      <w:highlight w:val="none"/>
                    </w:rPr>
                  </w:pPr>
                </w:p>
              </w:tc>
              <w:tc>
                <w:tcPr>
                  <w:tcW w:w="2735" w:type="dxa"/>
                  <w:vMerge w:val="continue"/>
                  <w:vAlign w:val="center"/>
                </w:tcPr>
                <w:p w14:paraId="390D0C3D">
                  <w:pPr>
                    <w:spacing w:after="0"/>
                    <w:jc w:val="center"/>
                    <w:rPr>
                      <w:rFonts w:hint="default" w:ascii="Times New Roman" w:hAnsi="Times New Roman" w:eastAsia="宋体" w:cs="Times New Roman"/>
                      <w:color w:val="auto"/>
                      <w:sz w:val="21"/>
                      <w:szCs w:val="21"/>
                      <w:highlight w:val="none"/>
                    </w:rPr>
                  </w:pPr>
                </w:p>
              </w:tc>
              <w:tc>
                <w:tcPr>
                  <w:tcW w:w="675" w:type="dxa"/>
                  <w:vMerge w:val="continue"/>
                  <w:vAlign w:val="center"/>
                </w:tcPr>
                <w:p w14:paraId="727855D1">
                  <w:pPr>
                    <w:spacing w:after="0"/>
                    <w:jc w:val="center"/>
                    <w:rPr>
                      <w:rFonts w:hint="default" w:ascii="Times New Roman" w:hAnsi="Times New Roman" w:eastAsia="宋体" w:cs="Times New Roman"/>
                      <w:color w:val="auto"/>
                      <w:sz w:val="21"/>
                      <w:szCs w:val="21"/>
                      <w:highlight w:val="none"/>
                    </w:rPr>
                  </w:pPr>
                </w:p>
              </w:tc>
              <w:tc>
                <w:tcPr>
                  <w:tcW w:w="2362" w:type="dxa"/>
                  <w:vAlign w:val="center"/>
                </w:tcPr>
                <w:p w14:paraId="41EE7387">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附件2：其他企业边界</w:t>
                  </w:r>
                </w:p>
              </w:tc>
              <w:tc>
                <w:tcPr>
                  <w:tcW w:w="1402" w:type="dxa"/>
                  <w:tcBorders>
                    <w:top w:val="single" w:color="auto" w:sz="4" w:space="0"/>
                    <w:bottom w:val="single" w:color="auto" w:sz="4" w:space="0"/>
                  </w:tcBorders>
                  <w:vAlign w:val="center"/>
                </w:tcPr>
                <w:p w14:paraId="4DB02791">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2.0mg/m</w:t>
                  </w:r>
                  <w:r>
                    <w:rPr>
                      <w:rFonts w:hint="default" w:ascii="Times New Roman" w:hAnsi="Times New Roman" w:eastAsia="宋体" w:cs="Times New Roman"/>
                      <w:color w:val="auto"/>
                      <w:sz w:val="21"/>
                      <w:szCs w:val="21"/>
                      <w:highlight w:val="none"/>
                      <w:vertAlign w:val="superscript"/>
                    </w:rPr>
                    <w:t>3</w:t>
                  </w:r>
                </w:p>
              </w:tc>
            </w:tr>
            <w:tr w14:paraId="3C80C3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32" w:type="dxa"/>
                  <w:vMerge w:val="continue"/>
                  <w:vAlign w:val="center"/>
                </w:tcPr>
                <w:p w14:paraId="261E954C">
                  <w:pPr>
                    <w:widowControl w:val="0"/>
                    <w:spacing w:after="0"/>
                    <w:jc w:val="center"/>
                    <w:rPr>
                      <w:rFonts w:hint="default" w:ascii="Times New Roman" w:hAnsi="Times New Roman" w:eastAsia="宋体" w:cs="Times New Roman"/>
                      <w:color w:val="auto"/>
                      <w:kern w:val="2"/>
                      <w:sz w:val="21"/>
                      <w:szCs w:val="21"/>
                      <w:highlight w:val="none"/>
                    </w:rPr>
                  </w:pPr>
                </w:p>
              </w:tc>
              <w:tc>
                <w:tcPr>
                  <w:tcW w:w="2735" w:type="dxa"/>
                  <w:vMerge w:val="restart"/>
                  <w:vAlign w:val="center"/>
                </w:tcPr>
                <w:p w14:paraId="1F3FE442">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u w:val="none"/>
                      <w:lang w:val="en-US" w:eastAsia="zh-CN"/>
                    </w:rPr>
                    <w:t>《挥发性有机物无组织排放控制标准》（GB 37822-2019）</w:t>
                  </w:r>
                </w:p>
              </w:tc>
              <w:tc>
                <w:tcPr>
                  <w:tcW w:w="675" w:type="dxa"/>
                  <w:vMerge w:val="restart"/>
                  <w:vAlign w:val="center"/>
                </w:tcPr>
                <w:p w14:paraId="15C64116">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2362" w:type="dxa"/>
                  <w:vAlign w:val="center"/>
                </w:tcPr>
                <w:p w14:paraId="2F561C7C">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u w:val="none"/>
                      <w:lang w:val="en-US" w:eastAsia="zh-CN"/>
                    </w:rPr>
                    <w:t>厂区内监控点处1h平均浓度</w:t>
                  </w:r>
                </w:p>
              </w:tc>
              <w:tc>
                <w:tcPr>
                  <w:tcW w:w="1402" w:type="dxa"/>
                  <w:tcBorders>
                    <w:top w:val="single" w:color="auto" w:sz="4" w:space="0"/>
                    <w:bottom w:val="single" w:color="auto" w:sz="4" w:space="0"/>
                  </w:tcBorders>
                  <w:vAlign w:val="center"/>
                </w:tcPr>
                <w:p w14:paraId="444F605B">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u w:val="none"/>
                      <w:lang w:val="en-US" w:eastAsia="zh-CN"/>
                    </w:rPr>
                    <w:t>6mg/m</w:t>
                  </w:r>
                  <w:r>
                    <w:rPr>
                      <w:rFonts w:hint="default" w:ascii="Times New Roman" w:hAnsi="Times New Roman" w:eastAsia="宋体" w:cs="Times New Roman"/>
                      <w:b w:val="0"/>
                      <w:bCs w:val="0"/>
                      <w:color w:val="auto"/>
                      <w:sz w:val="21"/>
                      <w:szCs w:val="21"/>
                      <w:highlight w:val="none"/>
                      <w:u w:val="none"/>
                      <w:vertAlign w:val="superscript"/>
                      <w:lang w:val="en-US" w:eastAsia="zh-CN"/>
                    </w:rPr>
                    <w:t>3</w:t>
                  </w:r>
                </w:p>
              </w:tc>
            </w:tr>
            <w:tr w14:paraId="50E49C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32" w:type="dxa"/>
                  <w:vMerge w:val="continue"/>
                  <w:vAlign w:val="center"/>
                </w:tcPr>
                <w:p w14:paraId="345E0679">
                  <w:pPr>
                    <w:widowControl w:val="0"/>
                    <w:spacing w:after="0"/>
                    <w:jc w:val="center"/>
                    <w:rPr>
                      <w:rFonts w:hint="default" w:ascii="Times New Roman" w:hAnsi="Times New Roman" w:eastAsia="宋体" w:cs="Times New Roman"/>
                      <w:color w:val="auto"/>
                      <w:kern w:val="2"/>
                      <w:sz w:val="21"/>
                      <w:szCs w:val="21"/>
                      <w:highlight w:val="none"/>
                    </w:rPr>
                  </w:pPr>
                </w:p>
              </w:tc>
              <w:tc>
                <w:tcPr>
                  <w:tcW w:w="2735" w:type="dxa"/>
                  <w:vMerge w:val="continue"/>
                  <w:vAlign w:val="center"/>
                </w:tcPr>
                <w:p w14:paraId="3EB40C5B">
                  <w:pPr>
                    <w:spacing w:after="0"/>
                    <w:jc w:val="center"/>
                    <w:rPr>
                      <w:rFonts w:hint="default" w:ascii="Times New Roman" w:hAnsi="Times New Roman" w:eastAsia="宋体" w:cs="Times New Roman"/>
                      <w:b w:val="0"/>
                      <w:bCs w:val="0"/>
                      <w:color w:val="auto"/>
                      <w:sz w:val="21"/>
                      <w:szCs w:val="21"/>
                      <w:highlight w:val="none"/>
                      <w:u w:val="none"/>
                      <w:lang w:val="en-US" w:eastAsia="zh-CN"/>
                    </w:rPr>
                  </w:pPr>
                </w:p>
              </w:tc>
              <w:tc>
                <w:tcPr>
                  <w:tcW w:w="675" w:type="dxa"/>
                  <w:vMerge w:val="continue"/>
                  <w:vAlign w:val="center"/>
                </w:tcPr>
                <w:p w14:paraId="06D0C741">
                  <w:pPr>
                    <w:spacing w:after="0"/>
                    <w:jc w:val="center"/>
                    <w:rPr>
                      <w:rFonts w:hint="default" w:ascii="Times New Roman" w:hAnsi="Times New Roman" w:eastAsia="宋体" w:cs="Times New Roman"/>
                      <w:color w:val="auto"/>
                      <w:sz w:val="21"/>
                      <w:szCs w:val="21"/>
                      <w:highlight w:val="none"/>
                    </w:rPr>
                  </w:pPr>
                </w:p>
              </w:tc>
              <w:tc>
                <w:tcPr>
                  <w:tcW w:w="2362" w:type="dxa"/>
                  <w:vAlign w:val="center"/>
                </w:tcPr>
                <w:p w14:paraId="6E6A717D">
                  <w:pPr>
                    <w:spacing w:after="0"/>
                    <w:jc w:val="center"/>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监控点处任意一次平均浓度值</w:t>
                  </w:r>
                </w:p>
              </w:tc>
              <w:tc>
                <w:tcPr>
                  <w:tcW w:w="1402" w:type="dxa"/>
                  <w:tcBorders>
                    <w:top w:val="single" w:color="auto" w:sz="4" w:space="0"/>
                    <w:bottom w:val="single" w:color="auto" w:sz="4" w:space="0"/>
                  </w:tcBorders>
                  <w:vAlign w:val="center"/>
                </w:tcPr>
                <w:p w14:paraId="3CD61007">
                  <w:pPr>
                    <w:spacing w:after="0"/>
                    <w:jc w:val="center"/>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20mg/m</w:t>
                  </w:r>
                  <w:r>
                    <w:rPr>
                      <w:rFonts w:hint="default" w:ascii="Times New Roman" w:hAnsi="Times New Roman" w:eastAsia="宋体" w:cs="Times New Roman"/>
                      <w:b w:val="0"/>
                      <w:bCs w:val="0"/>
                      <w:color w:val="auto"/>
                      <w:sz w:val="21"/>
                      <w:szCs w:val="21"/>
                      <w:highlight w:val="none"/>
                      <w:u w:val="none"/>
                      <w:vertAlign w:val="superscript"/>
                      <w:lang w:val="en-US" w:eastAsia="zh-CN"/>
                    </w:rPr>
                    <w:t>3</w:t>
                  </w:r>
                </w:p>
              </w:tc>
            </w:tr>
            <w:tr w14:paraId="7FCC0C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32" w:type="dxa"/>
                  <w:vMerge w:val="continue"/>
                  <w:vAlign w:val="center"/>
                </w:tcPr>
                <w:p w14:paraId="2A89FBC5">
                  <w:pPr>
                    <w:widowControl w:val="0"/>
                    <w:spacing w:after="0"/>
                    <w:jc w:val="center"/>
                    <w:rPr>
                      <w:rFonts w:hint="default" w:ascii="Times New Roman" w:hAnsi="Times New Roman" w:eastAsia="宋体" w:cs="Times New Roman"/>
                      <w:color w:val="auto"/>
                      <w:kern w:val="2"/>
                      <w:sz w:val="21"/>
                      <w:szCs w:val="21"/>
                      <w:highlight w:val="none"/>
                    </w:rPr>
                  </w:pPr>
                </w:p>
              </w:tc>
              <w:tc>
                <w:tcPr>
                  <w:tcW w:w="2735" w:type="dxa"/>
                  <w:vAlign w:val="center"/>
                </w:tcPr>
                <w:p w14:paraId="42704BE5">
                  <w:pPr>
                    <w:spacing w:after="0"/>
                    <w:jc w:val="center"/>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lang w:val="en-US"/>
                    </w:rPr>
                    <w:t>《河南省重污染天气重点行业应急减排措施制定技术指南（202</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rPr>
                    <w:t>年修订版）》</w:t>
                  </w:r>
                  <w:r>
                    <w:rPr>
                      <w:rFonts w:hint="default" w:ascii="Times New Roman" w:hAnsi="Times New Roman" w:eastAsia="宋体" w:cs="Times New Roman"/>
                      <w:color w:val="auto"/>
                      <w:sz w:val="21"/>
                      <w:szCs w:val="21"/>
                      <w:lang w:val="en-US" w:eastAsia="zh-CN"/>
                    </w:rPr>
                    <w:t>及其补充说明</w:t>
                  </w:r>
                  <w:r>
                    <w:rPr>
                      <w:rFonts w:hint="default" w:ascii="Times New Roman" w:hAnsi="Times New Roman" w:eastAsia="宋体" w:cs="Times New Roman"/>
                      <w:color w:val="auto"/>
                      <w:sz w:val="21"/>
                      <w:szCs w:val="21"/>
                      <w:highlight w:val="none"/>
                      <w:lang w:val="en-US"/>
                    </w:rPr>
                    <w:t>中“塑料制品”企业A级绩效指标</w:t>
                  </w:r>
                </w:p>
              </w:tc>
              <w:tc>
                <w:tcPr>
                  <w:tcW w:w="675" w:type="dxa"/>
                  <w:vAlign w:val="center"/>
                </w:tcPr>
                <w:p w14:paraId="71A52509">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2362" w:type="dxa"/>
                  <w:vAlign w:val="center"/>
                </w:tcPr>
                <w:p w14:paraId="038B7182">
                  <w:pPr>
                    <w:spacing w:after="0"/>
                    <w:jc w:val="center"/>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rPr>
                    <w:t>有组织</w:t>
                  </w:r>
                </w:p>
              </w:tc>
              <w:tc>
                <w:tcPr>
                  <w:tcW w:w="1402" w:type="dxa"/>
                  <w:tcBorders>
                    <w:top w:val="single" w:color="auto" w:sz="4" w:space="0"/>
                    <w:bottom w:val="single" w:color="auto" w:sz="4" w:space="0"/>
                  </w:tcBorders>
                  <w:vAlign w:val="center"/>
                </w:tcPr>
                <w:p w14:paraId="76AF81BC">
                  <w:pPr>
                    <w:spacing w:after="0"/>
                    <w:jc w:val="center"/>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20mg/m</w:t>
                  </w:r>
                  <w:r>
                    <w:rPr>
                      <w:rFonts w:hint="default" w:ascii="Times New Roman" w:hAnsi="Times New Roman" w:eastAsia="宋体" w:cs="Times New Roman"/>
                      <w:b w:val="0"/>
                      <w:bCs w:val="0"/>
                      <w:color w:val="auto"/>
                      <w:sz w:val="21"/>
                      <w:szCs w:val="21"/>
                      <w:highlight w:val="none"/>
                      <w:u w:val="none"/>
                      <w:vertAlign w:val="superscript"/>
                      <w:lang w:val="en-US" w:eastAsia="zh-CN"/>
                    </w:rPr>
                    <w:t>3</w:t>
                  </w:r>
                </w:p>
              </w:tc>
            </w:tr>
          </w:tbl>
          <w:p w14:paraId="1B9837F4">
            <w:pPr>
              <w:keepNext/>
              <w:widowControl w:val="0"/>
              <w:adjustRightInd/>
              <w:spacing w:after="0" w:line="440" w:lineRule="exact"/>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lang w:val="en-US" w:eastAsia="zh-CN"/>
              </w:rPr>
              <w:t>3）</w:t>
            </w:r>
            <w:r>
              <w:rPr>
                <w:rFonts w:hint="default" w:ascii="Times New Roman" w:hAnsi="Times New Roman" w:eastAsia="宋体" w:cs="Times New Roman"/>
                <w:color w:val="auto"/>
                <w:kern w:val="2"/>
                <w:sz w:val="24"/>
                <w:szCs w:val="24"/>
              </w:rPr>
              <w:t>噪声</w:t>
            </w:r>
          </w:p>
          <w:p w14:paraId="38527C6A">
            <w:pPr>
              <w:keepNext/>
              <w:widowControl w:val="0"/>
              <w:adjustRightInd/>
              <w:spacing w:after="0" w:line="440" w:lineRule="exact"/>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营运期厂界噪声执行《工业企业厂界环境噪声排放标准》（GB12348-2008）2类标准，具体标准值见下表。</w:t>
            </w:r>
          </w:p>
          <w:p w14:paraId="648B6143">
            <w:pPr>
              <w:spacing w:after="0" w:line="480" w:lineRule="exact"/>
              <w:ind w:firstLine="480" w:firstLineChars="200"/>
              <w:textAlignment w:val="baseline"/>
              <w:rPr>
                <w:rFonts w:hint="default" w:ascii="Times New Roman" w:hAnsi="Times New Roman" w:eastAsia="黑体" w:cs="Times New Roman"/>
                <w:color w:val="auto"/>
                <w:sz w:val="24"/>
                <w:szCs w:val="21"/>
              </w:rPr>
            </w:pPr>
            <w:r>
              <w:rPr>
                <w:rFonts w:hint="default" w:ascii="Times New Roman" w:hAnsi="Times New Roman" w:eastAsia="黑体" w:cs="Times New Roman"/>
                <w:color w:val="auto"/>
                <w:sz w:val="24"/>
                <w:szCs w:val="21"/>
              </w:rPr>
              <w:t>表12         厂界环境噪声排放标准        单位：dB(A)</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3928"/>
              <w:gridCol w:w="1620"/>
              <w:gridCol w:w="1621"/>
            </w:tblGrid>
            <w:tr w14:paraId="175316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Align w:val="center"/>
                </w:tcPr>
                <w:p w14:paraId="521F28E5">
                  <w:pPr>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污染因子</w:t>
                  </w:r>
                </w:p>
              </w:tc>
              <w:tc>
                <w:tcPr>
                  <w:tcW w:w="3821" w:type="dxa"/>
                  <w:vAlign w:val="center"/>
                </w:tcPr>
                <w:p w14:paraId="1070C611">
                  <w:pPr>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标准名称</w:t>
                  </w:r>
                </w:p>
              </w:tc>
              <w:tc>
                <w:tcPr>
                  <w:tcW w:w="3153" w:type="dxa"/>
                  <w:gridSpan w:val="2"/>
                  <w:vAlign w:val="center"/>
                </w:tcPr>
                <w:p w14:paraId="516B2ABB">
                  <w:pPr>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标准限制</w:t>
                  </w:r>
                </w:p>
              </w:tc>
            </w:tr>
            <w:tr w14:paraId="3FFBE7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restart"/>
                  <w:vAlign w:val="center"/>
                </w:tcPr>
                <w:p w14:paraId="698E8E42">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厂界噪声</w:t>
                  </w:r>
                </w:p>
              </w:tc>
              <w:tc>
                <w:tcPr>
                  <w:tcW w:w="3821" w:type="dxa"/>
                  <w:vMerge w:val="restart"/>
                  <w:vAlign w:val="center"/>
                </w:tcPr>
                <w:p w14:paraId="1CF45FF5">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《工业企业厂界环境噪声排放标准》（GB12348-2008）2类</w:t>
                  </w:r>
                </w:p>
              </w:tc>
              <w:tc>
                <w:tcPr>
                  <w:tcW w:w="1576" w:type="dxa"/>
                  <w:vAlign w:val="center"/>
                </w:tcPr>
                <w:p w14:paraId="6611F5A5">
                  <w:pPr>
                    <w:widowControl w:val="0"/>
                    <w:adjustRightIn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577" w:type="dxa"/>
                  <w:vAlign w:val="center"/>
                </w:tcPr>
                <w:p w14:paraId="5A09AB42">
                  <w:pPr>
                    <w:widowControl w:val="0"/>
                    <w:adjustRightIn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r w14:paraId="45F126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vAlign w:val="center"/>
                </w:tcPr>
                <w:p w14:paraId="1ED121E2">
                  <w:pPr>
                    <w:spacing w:after="0"/>
                    <w:jc w:val="center"/>
                    <w:rPr>
                      <w:rFonts w:eastAsia="宋体"/>
                      <w:color w:val="auto"/>
                      <w:sz w:val="21"/>
                      <w:szCs w:val="21"/>
                    </w:rPr>
                  </w:pPr>
                </w:p>
              </w:tc>
              <w:tc>
                <w:tcPr>
                  <w:tcW w:w="3821" w:type="dxa"/>
                  <w:vMerge w:val="continue"/>
                  <w:vAlign w:val="center"/>
                </w:tcPr>
                <w:p w14:paraId="580D9565">
                  <w:pPr>
                    <w:spacing w:after="0"/>
                    <w:jc w:val="center"/>
                    <w:rPr>
                      <w:rFonts w:eastAsia="宋体"/>
                      <w:color w:val="auto"/>
                      <w:sz w:val="21"/>
                      <w:szCs w:val="21"/>
                    </w:rPr>
                  </w:pPr>
                </w:p>
              </w:tc>
              <w:tc>
                <w:tcPr>
                  <w:tcW w:w="1576" w:type="dxa"/>
                  <w:vAlign w:val="center"/>
                </w:tcPr>
                <w:p w14:paraId="1C2929AC">
                  <w:pPr>
                    <w:widowControl w:val="0"/>
                    <w:adjustRightInd/>
                    <w:spacing w:after="0"/>
                    <w:jc w:val="center"/>
                    <w:rPr>
                      <w:rFonts w:eastAsia="宋体"/>
                      <w:color w:val="auto"/>
                      <w:sz w:val="21"/>
                      <w:szCs w:val="21"/>
                    </w:rPr>
                  </w:pPr>
                  <w:r>
                    <w:rPr>
                      <w:rFonts w:hint="eastAsia" w:eastAsia="宋体"/>
                      <w:color w:val="auto"/>
                      <w:sz w:val="21"/>
                      <w:szCs w:val="21"/>
                    </w:rPr>
                    <w:t>夜间</w:t>
                  </w:r>
                </w:p>
              </w:tc>
              <w:tc>
                <w:tcPr>
                  <w:tcW w:w="1577" w:type="dxa"/>
                  <w:vAlign w:val="center"/>
                </w:tcPr>
                <w:p w14:paraId="72306720">
                  <w:pPr>
                    <w:widowControl w:val="0"/>
                    <w:adjustRightInd/>
                    <w:spacing w:after="0"/>
                    <w:jc w:val="center"/>
                    <w:rPr>
                      <w:rFonts w:eastAsia="宋体"/>
                      <w:color w:val="auto"/>
                      <w:sz w:val="21"/>
                      <w:szCs w:val="21"/>
                    </w:rPr>
                  </w:pPr>
                  <w:r>
                    <w:rPr>
                      <w:rFonts w:hint="eastAsia" w:eastAsia="宋体"/>
                      <w:color w:val="auto"/>
                      <w:sz w:val="21"/>
                      <w:szCs w:val="21"/>
                    </w:rPr>
                    <w:t>50</w:t>
                  </w:r>
                </w:p>
              </w:tc>
            </w:tr>
          </w:tbl>
          <w:p w14:paraId="4CB33CAF">
            <w:pPr>
              <w:spacing w:after="0" w:line="460" w:lineRule="exact"/>
              <w:ind w:firstLine="480" w:firstLineChars="200"/>
              <w:textAlignment w:val="baseline"/>
              <w:rPr>
                <w:rFonts w:ascii="Times New Roman" w:hAnsi="Times New Roman" w:eastAsia="宋体"/>
                <w:bCs/>
                <w:color w:val="auto"/>
                <w:sz w:val="24"/>
                <w:szCs w:val="24"/>
              </w:rPr>
            </w:pPr>
            <w:r>
              <w:rPr>
                <w:rFonts w:hint="eastAsia" w:ascii="Times New Roman" w:hAnsi="Times New Roman" w:eastAsia="宋体"/>
                <w:bCs/>
                <w:color w:val="auto"/>
                <w:sz w:val="24"/>
                <w:szCs w:val="24"/>
              </w:rPr>
              <w:t>（4）固废</w:t>
            </w:r>
          </w:p>
          <w:p w14:paraId="72F064A8">
            <w:pPr>
              <w:widowControl w:val="0"/>
              <w:spacing w:after="0" w:line="460" w:lineRule="exact"/>
              <w:ind w:firstLine="480"/>
              <w:textAlignment w:val="baseline"/>
              <w:rPr>
                <w:rFonts w:eastAsia="宋体"/>
                <w:bCs/>
                <w:color w:val="auto"/>
                <w:sz w:val="24"/>
                <w:szCs w:val="24"/>
              </w:rPr>
            </w:pPr>
            <w:r>
              <w:rPr>
                <w:rFonts w:hint="eastAsia" w:ascii="Times New Roman" w:hAnsi="Times New Roman" w:eastAsia="宋体"/>
                <w:color w:val="auto"/>
                <w:sz w:val="24"/>
                <w:szCs w:val="24"/>
              </w:rPr>
              <w:t>生产过程产生的一般固废储存应满足《一般工业固体废物贮存和填埋污染控制标准》（GB18599-2020）中防渗漏、防雨淋、防扬尘等环境保护要求，危险废物储存应满足《危险废物贮存污染控制标准》（GB18597-2023）的要求。</w:t>
            </w:r>
          </w:p>
          <w:p w14:paraId="3DEE1D1B">
            <w:pPr>
              <w:spacing w:after="0" w:line="440" w:lineRule="exact"/>
              <w:ind w:firstLine="482" w:firstLineChars="200"/>
              <w:jc w:val="both"/>
              <w:textAlignment w:val="baseline"/>
              <w:rPr>
                <w:rFonts w:eastAsia="宋体"/>
                <w:b/>
                <w:bCs w:val="0"/>
                <w:color w:val="auto"/>
                <w:sz w:val="24"/>
                <w:szCs w:val="24"/>
              </w:rPr>
            </w:pPr>
            <w:r>
              <w:rPr>
                <w:rFonts w:eastAsia="宋体"/>
                <w:b/>
                <w:bCs w:val="0"/>
                <w:color w:val="auto"/>
                <w:sz w:val="24"/>
                <w:szCs w:val="24"/>
              </w:rPr>
              <w:t>2、总量控制指标</w:t>
            </w:r>
          </w:p>
          <w:p w14:paraId="22181F13">
            <w:pPr>
              <w:keepNext/>
              <w:widowControl w:val="0"/>
              <w:adjustRightInd/>
              <w:spacing w:after="0" w:line="440" w:lineRule="exact"/>
              <w:ind w:firstLine="480" w:firstLineChars="200"/>
              <w:jc w:val="both"/>
              <w:rPr>
                <w:rFonts w:eastAsia="宋体"/>
                <w:color w:val="auto"/>
                <w:kern w:val="2"/>
                <w:sz w:val="24"/>
                <w:szCs w:val="24"/>
                <w:highlight w:val="none"/>
              </w:rPr>
            </w:pPr>
            <w:r>
              <w:rPr>
                <w:rFonts w:eastAsia="宋体"/>
                <w:color w:val="auto"/>
                <w:kern w:val="2"/>
                <w:sz w:val="24"/>
                <w:szCs w:val="24"/>
                <w:highlight w:val="none"/>
              </w:rPr>
              <w:t>本项目属于</w:t>
            </w:r>
            <w:r>
              <w:rPr>
                <w:rFonts w:hint="eastAsia" w:eastAsia="宋体"/>
                <w:color w:val="auto"/>
                <w:kern w:val="2"/>
                <w:sz w:val="24"/>
                <w:szCs w:val="24"/>
                <w:highlight w:val="none"/>
                <w:lang w:val="en-US" w:eastAsia="zh-CN"/>
              </w:rPr>
              <w:t>新</w:t>
            </w:r>
            <w:r>
              <w:rPr>
                <w:rFonts w:hint="eastAsia" w:eastAsia="宋体"/>
                <w:color w:val="auto"/>
                <w:kern w:val="2"/>
                <w:sz w:val="24"/>
                <w:szCs w:val="24"/>
                <w:highlight w:val="none"/>
              </w:rPr>
              <w:t>建</w:t>
            </w:r>
            <w:r>
              <w:rPr>
                <w:rFonts w:eastAsia="宋体"/>
                <w:color w:val="auto"/>
                <w:kern w:val="2"/>
                <w:sz w:val="24"/>
                <w:szCs w:val="24"/>
                <w:highlight w:val="none"/>
              </w:rPr>
              <w:t>项目，本项目</w:t>
            </w:r>
            <w:r>
              <w:rPr>
                <w:rFonts w:hint="eastAsia" w:eastAsia="宋体"/>
                <w:color w:val="auto"/>
                <w:kern w:val="2"/>
                <w:sz w:val="24"/>
                <w:szCs w:val="24"/>
                <w:highlight w:val="none"/>
                <w:lang w:val="en-US" w:eastAsia="zh-CN"/>
              </w:rPr>
              <w:t>一期工程</w:t>
            </w:r>
            <w:r>
              <w:rPr>
                <w:rFonts w:hint="eastAsia" w:eastAsia="宋体"/>
                <w:color w:val="auto"/>
                <w:kern w:val="2"/>
                <w:sz w:val="24"/>
                <w:szCs w:val="24"/>
                <w:highlight w:val="none"/>
              </w:rPr>
              <w:t>污染物环评批复允许排放量为</w:t>
            </w:r>
            <w:r>
              <w:rPr>
                <w:rFonts w:hint="default" w:ascii="Times New Roman" w:hAnsi="Times New Roman" w:cs="Times New Roman"/>
                <w:color w:val="auto"/>
                <w:sz w:val="24"/>
                <w:szCs w:val="24"/>
                <w:highlight w:val="none"/>
              </w:rPr>
              <w:t>COD 0.005976t/a、</w:t>
            </w:r>
            <w:r>
              <w:rPr>
                <w:rFonts w:hint="eastAsia" w:ascii="Times New Roman" w:hAnsi="Times New Roman" w:cs="Times New Roman"/>
                <w:color w:val="auto"/>
                <w:sz w:val="24"/>
                <w:szCs w:val="24"/>
                <w:highlight w:val="none"/>
                <w:lang w:val="en-US" w:eastAsia="zh-CN"/>
              </w:rPr>
              <w:t>BOD</w:t>
            </w:r>
            <w:r>
              <w:rPr>
                <w:rFonts w:hint="eastAsia" w:ascii="Times New Roman" w:hAnsi="Times New Roman" w:cs="Times New Roman"/>
                <w:color w:val="auto"/>
                <w:sz w:val="24"/>
                <w:szCs w:val="24"/>
                <w:highlight w:val="none"/>
                <w:vertAlign w:val="subscript"/>
                <w:lang w:val="en-US" w:eastAsia="zh-CN"/>
              </w:rPr>
              <w:t>5</w:t>
            </w:r>
            <w:r>
              <w:rPr>
                <w:rFonts w:hint="eastAsia" w:ascii="Times New Roman" w:hAnsi="Times New Roman" w:cs="Times New Roman"/>
                <w:color w:val="auto"/>
                <w:sz w:val="24"/>
                <w:szCs w:val="24"/>
                <w:highlight w:val="none"/>
                <w:lang w:val="en-US" w:eastAsia="zh-CN"/>
              </w:rPr>
              <w:t>0.002988</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vertAlign w:val="baseline"/>
                <w:lang w:val="en-US" w:eastAsia="zh-CN"/>
              </w:rPr>
              <w:t>、</w:t>
            </w:r>
            <w:r>
              <w:rPr>
                <w:rFonts w:hint="eastAsia" w:cs="Times New Roman"/>
                <w:color w:val="auto"/>
                <w:sz w:val="24"/>
                <w:szCs w:val="24"/>
                <w:highlight w:val="none"/>
                <w:lang w:val="en-US" w:eastAsia="zh-CN"/>
              </w:rPr>
              <w:t>SS</w:t>
            </w:r>
            <w:r>
              <w:rPr>
                <w:rFonts w:hint="default" w:ascii="Times New Roman" w:hAnsi="Times New Roman" w:cs="Times New Roman"/>
                <w:color w:val="auto"/>
                <w:sz w:val="24"/>
                <w:szCs w:val="24"/>
                <w:highlight w:val="none"/>
                <w:vertAlign w:val="baseline"/>
                <w:lang w:val="en-US" w:eastAsia="zh-CN"/>
              </w:rPr>
              <w:t xml:space="preserve"> 0.002988</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rPr>
              <w:t>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 0.000299t/a、T</w:t>
            </w:r>
            <w:r>
              <w:rPr>
                <w:rFonts w:hint="default" w:ascii="Times New Roman" w:hAnsi="Times New Roman" w:cs="Times New Roman"/>
                <w:color w:val="auto"/>
                <w:sz w:val="24"/>
                <w:szCs w:val="24"/>
                <w:highlight w:val="none"/>
                <w:lang w:val="en-US" w:eastAsia="zh-CN"/>
              </w:rPr>
              <w:t>P</w:t>
            </w:r>
            <w:r>
              <w:rPr>
                <w:rFonts w:hint="default" w:ascii="Times New Roman" w:hAnsi="Times New Roman" w:cs="Times New Roman"/>
                <w:color w:val="auto"/>
                <w:sz w:val="24"/>
                <w:szCs w:val="24"/>
                <w:highlight w:val="none"/>
              </w:rPr>
              <w:t xml:space="preserve"> 0.00006t/a、T</w:t>
            </w:r>
            <w:r>
              <w:rPr>
                <w:rFonts w:hint="default" w:ascii="Times New Roman" w:hAnsi="Times New Roman" w:cs="Times New Roman"/>
                <w:color w:val="auto"/>
                <w:sz w:val="24"/>
                <w:szCs w:val="24"/>
                <w:highlight w:val="none"/>
                <w:lang w:val="en-US" w:eastAsia="zh-CN"/>
              </w:rPr>
              <w:t>N</w:t>
            </w:r>
            <w:r>
              <w:rPr>
                <w:rFonts w:hint="default" w:ascii="Times New Roman" w:hAnsi="Times New Roman" w:cs="Times New Roman"/>
                <w:color w:val="auto"/>
                <w:sz w:val="24"/>
                <w:szCs w:val="24"/>
                <w:highlight w:val="none"/>
              </w:rPr>
              <w:t xml:space="preserve"> 0.000299t/a</w:t>
            </w:r>
            <w:r>
              <w:rPr>
                <w:rFonts w:hint="eastAsia" w:ascii="Times New Roman" w:hAnsi="Times New Roman" w:cs="Times New Roman"/>
                <w:color w:val="auto"/>
                <w:sz w:val="24"/>
                <w:szCs w:val="24"/>
                <w:highlight w:val="none"/>
                <w:lang w:eastAsia="zh-CN"/>
              </w:rPr>
              <w:t>、</w:t>
            </w:r>
            <w:r>
              <w:rPr>
                <w:rFonts w:hint="eastAsia" w:eastAsia="宋体"/>
                <w:color w:val="auto"/>
                <w:kern w:val="2"/>
                <w:sz w:val="24"/>
                <w:szCs w:val="24"/>
                <w:highlight w:val="none"/>
              </w:rPr>
              <w:t>非甲烷总烃</w:t>
            </w:r>
            <w:r>
              <w:rPr>
                <w:rFonts w:hint="eastAsia" w:eastAsia="宋体"/>
                <w:color w:val="auto"/>
                <w:kern w:val="2"/>
                <w:sz w:val="24"/>
                <w:szCs w:val="24"/>
                <w:highlight w:val="none"/>
                <w:lang w:val="en-US" w:eastAsia="zh-CN"/>
              </w:rPr>
              <w:t>0.0434</w:t>
            </w:r>
            <w:r>
              <w:rPr>
                <w:rFonts w:hint="eastAsia" w:eastAsia="宋体"/>
                <w:color w:val="auto"/>
                <w:kern w:val="2"/>
                <w:sz w:val="24"/>
                <w:szCs w:val="24"/>
                <w:highlight w:val="none"/>
              </w:rPr>
              <w:t>t/a。</w:t>
            </w:r>
          </w:p>
          <w:p w14:paraId="7E7FA0AD">
            <w:pPr>
              <w:spacing w:after="0" w:line="440" w:lineRule="exact"/>
              <w:ind w:firstLine="482" w:firstLineChars="200"/>
              <w:jc w:val="both"/>
              <w:textAlignment w:val="baseline"/>
              <w:rPr>
                <w:rFonts w:eastAsia="宋体"/>
                <w:b/>
                <w:bCs w:val="0"/>
                <w:color w:val="auto"/>
                <w:sz w:val="24"/>
                <w:szCs w:val="24"/>
              </w:rPr>
            </w:pPr>
            <w:r>
              <w:rPr>
                <w:rFonts w:eastAsia="宋体"/>
                <w:b/>
                <w:bCs w:val="0"/>
                <w:color w:val="auto"/>
                <w:sz w:val="24"/>
                <w:szCs w:val="24"/>
              </w:rPr>
              <w:t>3、分析方法、方法来源和所用仪器设备</w:t>
            </w:r>
          </w:p>
          <w:p w14:paraId="0143FA2C">
            <w:pPr>
              <w:spacing w:after="0" w:line="440" w:lineRule="exact"/>
              <w:ind w:firstLine="480" w:firstLineChars="200"/>
              <w:jc w:val="both"/>
              <w:textAlignment w:val="baseline"/>
              <w:rPr>
                <w:rFonts w:eastAsia="黑体"/>
                <w:bCs/>
                <w:color w:val="auto"/>
                <w:sz w:val="24"/>
                <w:szCs w:val="24"/>
              </w:rPr>
            </w:pPr>
            <w:r>
              <w:rPr>
                <w:rFonts w:eastAsia="宋体"/>
                <w:bCs/>
                <w:color w:val="auto"/>
                <w:sz w:val="24"/>
                <w:szCs w:val="24"/>
              </w:rPr>
              <w:t>本次检测采样及分析均采用国家标准分析方法，方法来源和所用仪器设备见下表：</w:t>
            </w:r>
          </w:p>
          <w:p w14:paraId="33C61B14">
            <w:pPr>
              <w:spacing w:after="0" w:line="520" w:lineRule="exact"/>
              <w:ind w:firstLine="480" w:firstLineChars="200"/>
              <w:jc w:val="both"/>
              <w:textAlignment w:val="baseline"/>
              <w:rPr>
                <w:rFonts w:eastAsia="黑体"/>
                <w:color w:val="auto"/>
                <w:sz w:val="24"/>
                <w:szCs w:val="21"/>
              </w:rPr>
            </w:pPr>
            <w:r>
              <w:rPr>
                <w:rFonts w:eastAsia="黑体"/>
                <w:color w:val="auto"/>
                <w:sz w:val="24"/>
                <w:szCs w:val="21"/>
              </w:rPr>
              <w:t>表</w:t>
            </w:r>
            <w:r>
              <w:rPr>
                <w:rFonts w:hint="eastAsia" w:eastAsia="黑体"/>
                <w:color w:val="auto"/>
                <w:sz w:val="24"/>
                <w:szCs w:val="21"/>
              </w:rPr>
              <w:t xml:space="preserve">13   </w:t>
            </w:r>
            <w:r>
              <w:rPr>
                <w:rFonts w:eastAsia="黑体"/>
                <w:color w:val="auto"/>
                <w:sz w:val="24"/>
                <w:szCs w:val="21"/>
              </w:rPr>
              <w:t xml:space="preserve">          检测方法及检测仪器一览表</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6" w:type="dxa"/>
                <w:left w:w="28" w:type="dxa"/>
                <w:bottom w:w="6" w:type="dxa"/>
                <w:right w:w="28" w:type="dxa"/>
              </w:tblCellMar>
            </w:tblPr>
            <w:tblGrid>
              <w:gridCol w:w="650"/>
              <w:gridCol w:w="1286"/>
              <w:gridCol w:w="4412"/>
              <w:gridCol w:w="1955"/>
            </w:tblGrid>
            <w:tr w14:paraId="55FC132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1" w:type="pct"/>
                  <w:tcBorders>
                    <w:tl2br w:val="nil"/>
                    <w:tr2bl w:val="nil"/>
                  </w:tcBorders>
                  <w:noWrap w:val="0"/>
                  <w:vAlign w:val="center"/>
                </w:tcPr>
                <w:p w14:paraId="7B934F81">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774" w:type="pct"/>
                  <w:tcBorders>
                    <w:tl2br w:val="nil"/>
                    <w:tr2bl w:val="nil"/>
                  </w:tcBorders>
                  <w:noWrap w:val="0"/>
                  <w:vAlign w:val="center"/>
                </w:tcPr>
                <w:p w14:paraId="45FF823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检</w:t>
                  </w:r>
                  <w:r>
                    <w:rPr>
                      <w:rFonts w:hint="default" w:ascii="Times New Roman" w:hAnsi="Times New Roman" w:eastAsia="宋体" w:cs="Times New Roman"/>
                      <w:b/>
                      <w:bCs/>
                      <w:color w:val="auto"/>
                      <w:sz w:val="21"/>
                      <w:szCs w:val="21"/>
                    </w:rPr>
                    <w:t>测项目</w:t>
                  </w:r>
                </w:p>
              </w:tc>
              <w:tc>
                <w:tcPr>
                  <w:tcW w:w="2656" w:type="pct"/>
                  <w:tcBorders>
                    <w:tl2br w:val="nil"/>
                    <w:tr2bl w:val="nil"/>
                  </w:tcBorders>
                  <w:noWrap w:val="0"/>
                  <w:vAlign w:val="center"/>
                </w:tcPr>
                <w:p w14:paraId="0CD4740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依据标准</w:t>
                  </w:r>
                </w:p>
              </w:tc>
              <w:tc>
                <w:tcPr>
                  <w:tcW w:w="1177" w:type="pct"/>
                  <w:tcBorders>
                    <w:tl2br w:val="nil"/>
                    <w:tr2bl w:val="nil"/>
                  </w:tcBorders>
                  <w:noWrap w:val="0"/>
                  <w:vAlign w:val="center"/>
                </w:tcPr>
                <w:p w14:paraId="1C303E3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检出限</w:t>
                  </w:r>
                </w:p>
              </w:tc>
            </w:tr>
            <w:tr w14:paraId="692CD22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1" w:type="pct"/>
                  <w:vMerge w:val="restart"/>
                  <w:tcBorders>
                    <w:tl2br w:val="nil"/>
                    <w:tr2bl w:val="nil"/>
                  </w:tcBorders>
                  <w:noWrap w:val="0"/>
                  <w:vAlign w:val="center"/>
                </w:tcPr>
                <w:p w14:paraId="002D0AB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p>
              </w:tc>
              <w:tc>
                <w:tcPr>
                  <w:tcW w:w="774" w:type="pct"/>
                  <w:vMerge w:val="restart"/>
                  <w:tcBorders>
                    <w:tl2br w:val="nil"/>
                    <w:tr2bl w:val="nil"/>
                  </w:tcBorders>
                  <w:noWrap w:val="0"/>
                  <w:vAlign w:val="center"/>
                </w:tcPr>
                <w:p w14:paraId="1D8A9C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非甲烷总烃</w:t>
                  </w:r>
                </w:p>
              </w:tc>
              <w:tc>
                <w:tcPr>
                  <w:tcW w:w="2656" w:type="pct"/>
                  <w:tcBorders>
                    <w:tl2br w:val="nil"/>
                    <w:tr2bl w:val="nil"/>
                  </w:tcBorders>
                  <w:noWrap w:val="0"/>
                  <w:vAlign w:val="center"/>
                </w:tcPr>
                <w:p w14:paraId="607FF9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固定污染源排气中颗粒物测定与气态污染物采样方法GB/T 16157-1996及修改单</w:t>
                  </w:r>
                </w:p>
              </w:tc>
              <w:tc>
                <w:tcPr>
                  <w:tcW w:w="1177" w:type="pct"/>
                  <w:tcBorders>
                    <w:tl2br w:val="nil"/>
                    <w:tr2bl w:val="nil"/>
                  </w:tcBorders>
                  <w:noWrap w:val="0"/>
                  <w:vAlign w:val="center"/>
                </w:tcPr>
                <w:p w14:paraId="7774DE14">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r w14:paraId="10A58DF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1" w:type="pct"/>
                  <w:vMerge w:val="continue"/>
                  <w:tcBorders>
                    <w:tl2br w:val="nil"/>
                    <w:tr2bl w:val="nil"/>
                  </w:tcBorders>
                  <w:noWrap w:val="0"/>
                  <w:vAlign w:val="center"/>
                </w:tcPr>
                <w:p w14:paraId="599E957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lang w:val="en-US" w:eastAsia="zh-CN"/>
                    </w:rPr>
                  </w:pPr>
                </w:p>
              </w:tc>
              <w:tc>
                <w:tcPr>
                  <w:tcW w:w="774" w:type="pct"/>
                  <w:vMerge w:val="continue"/>
                  <w:tcBorders>
                    <w:tl2br w:val="nil"/>
                    <w:tr2bl w:val="nil"/>
                  </w:tcBorders>
                  <w:noWrap w:val="0"/>
                  <w:vAlign w:val="center"/>
                </w:tcPr>
                <w:p w14:paraId="15C43A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p>
              </w:tc>
              <w:tc>
                <w:tcPr>
                  <w:tcW w:w="2656" w:type="pct"/>
                  <w:tcBorders>
                    <w:tl2br w:val="nil"/>
                    <w:tr2bl w:val="nil"/>
                  </w:tcBorders>
                  <w:noWrap w:val="0"/>
                  <w:vAlign w:val="center"/>
                </w:tcPr>
                <w:p w14:paraId="631A18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lang w:val="en-US" w:eastAsia="zh-CN" w:bidi="ar"/>
                    </w:rPr>
                    <w:t>固定污染源废气 总烃、甲烷和非甲烷总烃的测定 气相色谱法HJ 38-2017</w:t>
                  </w:r>
                </w:p>
              </w:tc>
              <w:tc>
                <w:tcPr>
                  <w:tcW w:w="1177" w:type="pct"/>
                  <w:tcBorders>
                    <w:tl2br w:val="nil"/>
                    <w:tr2bl w:val="nil"/>
                  </w:tcBorders>
                  <w:noWrap w:val="0"/>
                  <w:vAlign w:val="center"/>
                </w:tcPr>
                <w:p w14:paraId="7ACED6F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0.07mg/m</w:t>
                  </w:r>
                  <w:r>
                    <w:rPr>
                      <w:rFonts w:hint="default" w:ascii="Times New Roman" w:hAnsi="Times New Roman" w:eastAsia="宋体" w:cs="Times New Roman"/>
                      <w:bCs/>
                      <w:color w:val="auto"/>
                      <w:sz w:val="21"/>
                      <w:szCs w:val="21"/>
                      <w:vertAlign w:val="superscript"/>
                      <w:lang w:val="en-US" w:eastAsia="zh-CN"/>
                    </w:rPr>
                    <w:t>3</w:t>
                  </w:r>
                  <w:r>
                    <w:rPr>
                      <w:rFonts w:hint="default" w:ascii="Times New Roman" w:hAnsi="Times New Roman" w:eastAsia="宋体" w:cs="Times New Roman"/>
                      <w:i w:val="0"/>
                      <w:iCs w:val="0"/>
                      <w:color w:val="auto"/>
                      <w:kern w:val="0"/>
                      <w:sz w:val="21"/>
                      <w:szCs w:val="21"/>
                      <w:highlight w:val="none"/>
                      <w:lang w:val="en-US" w:eastAsia="zh-CN" w:bidi="ar"/>
                    </w:rPr>
                    <w:t>（以碳计）</w:t>
                  </w:r>
                </w:p>
              </w:tc>
            </w:tr>
            <w:tr w14:paraId="7B199EE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1" w:type="pct"/>
                  <w:vMerge w:val="continue"/>
                  <w:tcBorders>
                    <w:tl2br w:val="nil"/>
                    <w:tr2bl w:val="nil"/>
                  </w:tcBorders>
                  <w:noWrap w:val="0"/>
                  <w:vAlign w:val="center"/>
                </w:tcPr>
                <w:p w14:paraId="1537037C">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lang w:val="en-US" w:eastAsia="zh-CN"/>
                    </w:rPr>
                  </w:pPr>
                </w:p>
              </w:tc>
              <w:tc>
                <w:tcPr>
                  <w:tcW w:w="774" w:type="pct"/>
                  <w:vMerge w:val="continue"/>
                  <w:tcBorders>
                    <w:tl2br w:val="nil"/>
                    <w:tr2bl w:val="nil"/>
                  </w:tcBorders>
                  <w:noWrap w:val="0"/>
                  <w:vAlign w:val="center"/>
                </w:tcPr>
                <w:p w14:paraId="5EC90C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p>
              </w:tc>
              <w:tc>
                <w:tcPr>
                  <w:tcW w:w="2656" w:type="pct"/>
                  <w:tcBorders>
                    <w:tl2br w:val="nil"/>
                    <w:tr2bl w:val="nil"/>
                  </w:tcBorders>
                  <w:noWrap w:val="0"/>
                  <w:vAlign w:val="center"/>
                </w:tcPr>
                <w:p w14:paraId="3E732E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lang w:val="en-US" w:eastAsia="zh-CN" w:bidi="ar"/>
                    </w:rPr>
                    <w:t>环境空气 总烃、甲烷和非甲烷总烃的测定 直接进样-气相色谱法HJ 604-2017</w:t>
                  </w:r>
                </w:p>
              </w:tc>
              <w:tc>
                <w:tcPr>
                  <w:tcW w:w="1177" w:type="pct"/>
                  <w:tcBorders>
                    <w:tl2br w:val="nil"/>
                    <w:tr2bl w:val="nil"/>
                  </w:tcBorders>
                  <w:noWrap w:val="0"/>
                  <w:vAlign w:val="center"/>
                </w:tcPr>
                <w:p w14:paraId="7862A1C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0.07mg/m</w:t>
                  </w:r>
                  <w:r>
                    <w:rPr>
                      <w:rFonts w:hint="default" w:ascii="Times New Roman" w:hAnsi="Times New Roman" w:eastAsia="宋体" w:cs="Times New Roman"/>
                      <w:bCs/>
                      <w:color w:val="auto"/>
                      <w:sz w:val="21"/>
                      <w:szCs w:val="21"/>
                      <w:vertAlign w:val="superscript"/>
                      <w:lang w:val="en-US" w:eastAsia="zh-CN"/>
                    </w:rPr>
                    <w:t>3</w:t>
                  </w:r>
                  <w:r>
                    <w:rPr>
                      <w:rFonts w:hint="default" w:ascii="Times New Roman" w:hAnsi="Times New Roman" w:eastAsia="宋体" w:cs="Times New Roman"/>
                      <w:i w:val="0"/>
                      <w:iCs w:val="0"/>
                      <w:color w:val="auto"/>
                      <w:kern w:val="0"/>
                      <w:sz w:val="21"/>
                      <w:szCs w:val="21"/>
                      <w:highlight w:val="none"/>
                      <w:lang w:val="en-US" w:eastAsia="zh-CN" w:bidi="ar"/>
                    </w:rPr>
                    <w:t>（以碳计）</w:t>
                  </w:r>
                </w:p>
              </w:tc>
            </w:tr>
            <w:tr w14:paraId="583600E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1" w:type="pct"/>
                  <w:tcBorders>
                    <w:tl2br w:val="nil"/>
                    <w:tr2bl w:val="nil"/>
                  </w:tcBorders>
                  <w:noWrap w:val="0"/>
                  <w:vAlign w:val="center"/>
                </w:tcPr>
                <w:p w14:paraId="081AE7F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w:t>
                  </w:r>
                </w:p>
              </w:tc>
              <w:tc>
                <w:tcPr>
                  <w:tcW w:w="774" w:type="pct"/>
                  <w:tcBorders>
                    <w:tl2br w:val="nil"/>
                    <w:tr2bl w:val="nil"/>
                  </w:tcBorders>
                  <w:noWrap w:val="0"/>
                  <w:vAlign w:val="center"/>
                </w:tcPr>
                <w:p w14:paraId="154FDC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color w:val="auto"/>
                      <w:highlight w:val="none"/>
                      <w:lang w:val="en-US" w:eastAsia="zh-CN"/>
                    </w:rPr>
                    <w:t>流量</w:t>
                  </w:r>
                </w:p>
              </w:tc>
              <w:tc>
                <w:tcPr>
                  <w:tcW w:w="2656" w:type="pct"/>
                  <w:tcBorders>
                    <w:tl2br w:val="nil"/>
                    <w:tr2bl w:val="nil"/>
                  </w:tcBorders>
                  <w:noWrap w:val="0"/>
                  <w:vAlign w:val="center"/>
                </w:tcPr>
                <w:p w14:paraId="7122DF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水污染物排放总量监测技术规范（流量 7.3.1  流速仪法） HJ/T 92-2002</w:t>
                  </w:r>
                </w:p>
              </w:tc>
              <w:tc>
                <w:tcPr>
                  <w:tcW w:w="1177" w:type="pct"/>
                  <w:tcBorders>
                    <w:tl2br w:val="nil"/>
                    <w:tr2bl w:val="nil"/>
                  </w:tcBorders>
                  <w:noWrap w:val="0"/>
                  <w:vAlign w:val="center"/>
                </w:tcPr>
                <w:p w14:paraId="3C7ED0F4">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w:t>
                  </w:r>
                </w:p>
              </w:tc>
            </w:tr>
            <w:tr w14:paraId="7CBD104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1" w:type="pct"/>
                  <w:tcBorders>
                    <w:tl2br w:val="nil"/>
                    <w:tr2bl w:val="nil"/>
                  </w:tcBorders>
                  <w:noWrap w:val="0"/>
                  <w:vAlign w:val="center"/>
                </w:tcPr>
                <w:p w14:paraId="1199F4B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w:t>
                  </w:r>
                </w:p>
              </w:tc>
              <w:tc>
                <w:tcPr>
                  <w:tcW w:w="774" w:type="pct"/>
                  <w:tcBorders>
                    <w:tl2br w:val="nil"/>
                    <w:tr2bl w:val="nil"/>
                  </w:tcBorders>
                  <w:noWrap w:val="0"/>
                  <w:vAlign w:val="center"/>
                </w:tcPr>
                <w:p w14:paraId="5158E3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color w:val="auto"/>
                      <w:highlight w:val="none"/>
                      <w:lang w:val="en-US" w:eastAsia="zh-CN"/>
                    </w:rPr>
                    <w:t>化学需氧量</w:t>
                  </w:r>
                </w:p>
              </w:tc>
              <w:tc>
                <w:tcPr>
                  <w:tcW w:w="2656" w:type="pct"/>
                  <w:tcBorders>
                    <w:tl2br w:val="nil"/>
                    <w:tr2bl w:val="nil"/>
                  </w:tcBorders>
                  <w:noWrap w:val="0"/>
                  <w:vAlign w:val="center"/>
                </w:tcPr>
                <w:p w14:paraId="034DEC6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水质 化学需氧量的测定 重铬酸盐法  </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HJ 828-2017</w:t>
                  </w:r>
                </w:p>
              </w:tc>
              <w:tc>
                <w:tcPr>
                  <w:tcW w:w="1177" w:type="pct"/>
                  <w:tcBorders>
                    <w:tl2br w:val="nil"/>
                    <w:tr2bl w:val="nil"/>
                  </w:tcBorders>
                  <w:noWrap w:val="0"/>
                  <w:vAlign w:val="center"/>
                </w:tcPr>
                <w:p w14:paraId="0CFE44A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4mg/L</w:t>
                  </w:r>
                </w:p>
              </w:tc>
            </w:tr>
            <w:tr w14:paraId="1C742CD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1" w:type="pct"/>
                  <w:tcBorders>
                    <w:tl2br w:val="nil"/>
                    <w:tr2bl w:val="nil"/>
                  </w:tcBorders>
                  <w:noWrap w:val="0"/>
                  <w:vAlign w:val="center"/>
                </w:tcPr>
                <w:p w14:paraId="68537EA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w:t>
                  </w:r>
                </w:p>
              </w:tc>
              <w:tc>
                <w:tcPr>
                  <w:tcW w:w="774" w:type="pct"/>
                  <w:tcBorders>
                    <w:tl2br w:val="nil"/>
                    <w:tr2bl w:val="nil"/>
                  </w:tcBorders>
                  <w:noWrap w:val="0"/>
                  <w:vAlign w:val="center"/>
                </w:tcPr>
                <w:p w14:paraId="3C3095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color w:val="auto"/>
                      <w:highlight w:val="none"/>
                      <w:lang w:val="en-US" w:eastAsia="zh-CN"/>
                    </w:rPr>
                    <w:t>五日生化需氧量（BOD</w:t>
                  </w:r>
                  <w:r>
                    <w:rPr>
                      <w:rFonts w:hint="default" w:ascii="Times New Roman" w:hAnsi="Times New Roman" w:eastAsia="宋体" w:cs="Times New Roman"/>
                      <w:color w:val="auto"/>
                      <w:highlight w:val="none"/>
                      <w:vertAlign w:val="subscript"/>
                      <w:lang w:val="en-US" w:eastAsia="zh-CN"/>
                    </w:rPr>
                    <w:t>5</w:t>
                  </w:r>
                  <w:r>
                    <w:rPr>
                      <w:rFonts w:hint="default" w:ascii="Times New Roman" w:hAnsi="Times New Roman" w:eastAsia="宋体" w:cs="Times New Roman"/>
                      <w:color w:val="auto"/>
                      <w:highlight w:val="none"/>
                      <w:lang w:val="en-US" w:eastAsia="zh-CN"/>
                    </w:rPr>
                    <w:t>）</w:t>
                  </w:r>
                </w:p>
              </w:tc>
              <w:tc>
                <w:tcPr>
                  <w:tcW w:w="2656" w:type="pct"/>
                  <w:tcBorders>
                    <w:tl2br w:val="nil"/>
                    <w:tr2bl w:val="nil"/>
                  </w:tcBorders>
                  <w:noWrap w:val="0"/>
                  <w:vAlign w:val="center"/>
                </w:tcPr>
                <w:p w14:paraId="6C31C41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水质 五日生化需氧量（BOD</w:t>
                  </w:r>
                  <w:r>
                    <w:rPr>
                      <w:rFonts w:hint="default" w:ascii="Times New Roman" w:hAnsi="Times New Roman" w:eastAsia="宋体" w:cs="Times New Roman"/>
                      <w:i w:val="0"/>
                      <w:iCs w:val="0"/>
                      <w:color w:val="auto"/>
                      <w:kern w:val="0"/>
                      <w:sz w:val="21"/>
                      <w:szCs w:val="21"/>
                      <w:u w:val="none"/>
                      <w:vertAlign w:val="subscript"/>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）的测定 稀释与接种法 HJ 505-2009</w:t>
                  </w:r>
                </w:p>
              </w:tc>
              <w:tc>
                <w:tcPr>
                  <w:tcW w:w="1177" w:type="pct"/>
                  <w:tcBorders>
                    <w:tl2br w:val="nil"/>
                    <w:tr2bl w:val="nil"/>
                  </w:tcBorders>
                  <w:noWrap w:val="0"/>
                  <w:vAlign w:val="center"/>
                </w:tcPr>
                <w:p w14:paraId="0830F0B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0.5mg/L</w:t>
                  </w:r>
                </w:p>
              </w:tc>
            </w:tr>
            <w:tr w14:paraId="391594D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1" w:type="pct"/>
                  <w:tcBorders>
                    <w:tl2br w:val="nil"/>
                    <w:tr2bl w:val="nil"/>
                  </w:tcBorders>
                  <w:noWrap w:val="0"/>
                  <w:vAlign w:val="center"/>
                </w:tcPr>
                <w:p w14:paraId="4A53DF44">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w:t>
                  </w:r>
                </w:p>
              </w:tc>
              <w:tc>
                <w:tcPr>
                  <w:tcW w:w="774" w:type="pct"/>
                  <w:tcBorders>
                    <w:tl2br w:val="nil"/>
                    <w:tr2bl w:val="nil"/>
                  </w:tcBorders>
                  <w:noWrap w:val="0"/>
                  <w:vAlign w:val="center"/>
                </w:tcPr>
                <w:p w14:paraId="0BD3B8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color w:val="auto"/>
                      <w:highlight w:val="none"/>
                      <w:lang w:val="en-US" w:eastAsia="zh-CN"/>
                    </w:rPr>
                    <w:t>悬浮物</w:t>
                  </w:r>
                </w:p>
              </w:tc>
              <w:tc>
                <w:tcPr>
                  <w:tcW w:w="2656" w:type="pct"/>
                  <w:tcBorders>
                    <w:tl2br w:val="nil"/>
                    <w:tr2bl w:val="nil"/>
                  </w:tcBorders>
                  <w:noWrap w:val="0"/>
                  <w:vAlign w:val="center"/>
                </w:tcPr>
                <w:p w14:paraId="5C052DC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Cs/>
                      <w:color w:val="auto"/>
                      <w:kern w:val="2"/>
                      <w:sz w:val="21"/>
                      <w:szCs w:val="21"/>
                      <w:lang w:val="en-US" w:eastAsia="zh-CN" w:bidi="ar-SA"/>
                    </w:rPr>
                  </w:pPr>
                  <w:r>
                    <w:rPr>
                      <w:rStyle w:val="69"/>
                      <w:rFonts w:hint="default" w:ascii="Times New Roman" w:hAnsi="Times New Roman" w:eastAsia="宋体" w:cs="Times New Roman"/>
                      <w:color w:val="auto"/>
                      <w:sz w:val="21"/>
                      <w:szCs w:val="21"/>
                      <w:lang w:val="en-US" w:eastAsia="zh-CN" w:bidi="ar"/>
                    </w:rPr>
                    <w:t>水质</w:t>
                  </w:r>
                  <w:r>
                    <w:rPr>
                      <w:rStyle w:val="70"/>
                      <w:rFonts w:hint="default" w:ascii="Times New Roman" w:hAnsi="Times New Roman" w:eastAsia="宋体" w:cs="Times New Roman"/>
                      <w:color w:val="auto"/>
                      <w:sz w:val="21"/>
                      <w:szCs w:val="21"/>
                      <w:lang w:val="en-US" w:eastAsia="zh-CN" w:bidi="ar"/>
                    </w:rPr>
                    <w:t xml:space="preserve"> </w:t>
                  </w:r>
                  <w:r>
                    <w:rPr>
                      <w:rStyle w:val="69"/>
                      <w:rFonts w:hint="default" w:ascii="Times New Roman" w:hAnsi="Times New Roman" w:eastAsia="宋体" w:cs="Times New Roman"/>
                      <w:color w:val="auto"/>
                      <w:sz w:val="21"/>
                      <w:szCs w:val="21"/>
                      <w:lang w:val="en-US" w:eastAsia="zh-CN" w:bidi="ar"/>
                    </w:rPr>
                    <w:t>悬浮物的测定</w:t>
                  </w:r>
                  <w:r>
                    <w:rPr>
                      <w:rStyle w:val="70"/>
                      <w:rFonts w:hint="default" w:ascii="Times New Roman" w:hAnsi="Times New Roman" w:eastAsia="宋体" w:cs="Times New Roman"/>
                      <w:color w:val="auto"/>
                      <w:sz w:val="21"/>
                      <w:szCs w:val="21"/>
                      <w:lang w:val="en-US" w:eastAsia="zh-CN" w:bidi="ar"/>
                    </w:rPr>
                    <w:t xml:space="preserve"> </w:t>
                  </w:r>
                  <w:r>
                    <w:rPr>
                      <w:rStyle w:val="69"/>
                      <w:rFonts w:hint="default" w:ascii="Times New Roman" w:hAnsi="Times New Roman" w:eastAsia="宋体" w:cs="Times New Roman"/>
                      <w:color w:val="auto"/>
                      <w:sz w:val="21"/>
                      <w:szCs w:val="21"/>
                      <w:lang w:val="en-US" w:eastAsia="zh-CN" w:bidi="ar"/>
                    </w:rPr>
                    <w:t>重量法</w:t>
                  </w:r>
                  <w:r>
                    <w:rPr>
                      <w:rStyle w:val="70"/>
                      <w:rFonts w:hint="default" w:ascii="Times New Roman" w:hAnsi="Times New Roman" w:eastAsia="宋体" w:cs="Times New Roman"/>
                      <w:color w:val="auto"/>
                      <w:sz w:val="21"/>
                      <w:szCs w:val="21"/>
                      <w:lang w:val="en-US" w:eastAsia="zh-CN" w:bidi="ar"/>
                    </w:rPr>
                    <w:t xml:space="preserve"> GB 11901-89</w:t>
                  </w:r>
                </w:p>
              </w:tc>
              <w:tc>
                <w:tcPr>
                  <w:tcW w:w="1177" w:type="pct"/>
                  <w:tcBorders>
                    <w:tl2br w:val="nil"/>
                    <w:tr2bl w:val="nil"/>
                  </w:tcBorders>
                  <w:noWrap w:val="0"/>
                  <w:vAlign w:val="center"/>
                </w:tcPr>
                <w:p w14:paraId="2323C8B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r>
            <w:tr w14:paraId="659B1B7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1" w:type="pct"/>
                  <w:tcBorders>
                    <w:tl2br w:val="nil"/>
                    <w:tr2bl w:val="nil"/>
                  </w:tcBorders>
                  <w:noWrap w:val="0"/>
                  <w:vAlign w:val="center"/>
                </w:tcPr>
                <w:p w14:paraId="658EE18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6</w:t>
                  </w:r>
                </w:p>
              </w:tc>
              <w:tc>
                <w:tcPr>
                  <w:tcW w:w="774" w:type="pct"/>
                  <w:tcBorders>
                    <w:tl2br w:val="nil"/>
                    <w:tr2bl w:val="nil"/>
                  </w:tcBorders>
                  <w:noWrap w:val="0"/>
                  <w:vAlign w:val="center"/>
                </w:tcPr>
                <w:p w14:paraId="1E5F65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color w:val="auto"/>
                      <w:highlight w:val="none"/>
                      <w:lang w:val="en-US" w:eastAsia="zh-CN"/>
                    </w:rPr>
                    <w:t>氨氮</w:t>
                  </w:r>
                </w:p>
              </w:tc>
              <w:tc>
                <w:tcPr>
                  <w:tcW w:w="2656" w:type="pct"/>
                  <w:tcBorders>
                    <w:tl2br w:val="nil"/>
                    <w:tr2bl w:val="nil"/>
                  </w:tcBorders>
                  <w:noWrap w:val="0"/>
                  <w:vAlign w:val="center"/>
                </w:tcPr>
                <w:p w14:paraId="4153155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水质 氨氮的测定 纳氏试剂分光光度法  </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HJ 535-2009</w:t>
                  </w:r>
                </w:p>
              </w:tc>
              <w:tc>
                <w:tcPr>
                  <w:tcW w:w="1177" w:type="pct"/>
                  <w:tcBorders>
                    <w:tl2br w:val="nil"/>
                    <w:tr2bl w:val="nil"/>
                  </w:tcBorders>
                  <w:noWrap w:val="0"/>
                  <w:vAlign w:val="center"/>
                </w:tcPr>
                <w:p w14:paraId="18CA888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0.025mg/L</w:t>
                  </w:r>
                </w:p>
              </w:tc>
            </w:tr>
            <w:tr w14:paraId="0DE9291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1" w:type="pct"/>
                  <w:tcBorders>
                    <w:tl2br w:val="nil"/>
                    <w:tr2bl w:val="nil"/>
                  </w:tcBorders>
                  <w:noWrap w:val="0"/>
                  <w:vAlign w:val="center"/>
                </w:tcPr>
                <w:p w14:paraId="22703051">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w:t>
                  </w:r>
                </w:p>
              </w:tc>
              <w:tc>
                <w:tcPr>
                  <w:tcW w:w="774" w:type="pct"/>
                  <w:tcBorders>
                    <w:tl2br w:val="nil"/>
                    <w:tr2bl w:val="nil"/>
                  </w:tcBorders>
                  <w:noWrap w:val="0"/>
                  <w:vAlign w:val="center"/>
                </w:tcPr>
                <w:p w14:paraId="542B21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color w:val="auto"/>
                      <w:highlight w:val="none"/>
                      <w:lang w:val="en-US" w:eastAsia="zh-CN"/>
                    </w:rPr>
                    <w:t>总磷</w:t>
                  </w:r>
                </w:p>
              </w:tc>
              <w:tc>
                <w:tcPr>
                  <w:tcW w:w="2656" w:type="pct"/>
                  <w:tcBorders>
                    <w:tl2br w:val="nil"/>
                    <w:tr2bl w:val="nil"/>
                  </w:tcBorders>
                  <w:noWrap w:val="0"/>
                  <w:vAlign w:val="center"/>
                </w:tcPr>
                <w:p w14:paraId="5CC36EB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水质 总磷的测定 钼酸铵分光光度法 </w:t>
                  </w:r>
                  <w:r>
                    <w:rPr>
                      <w:rFonts w:hint="default" w:ascii="Times New Roman" w:hAnsi="Times New Roman" w:eastAsia="宋体" w:cs="Times New Roman"/>
                      <w:i w:val="0"/>
                      <w:iCs w:val="0"/>
                      <w:color w:val="auto"/>
                      <w:kern w:val="0"/>
                      <w:sz w:val="21"/>
                      <w:szCs w:val="21"/>
                      <w:u w:val="none"/>
                      <w:lang w:val="en-US" w:eastAsia="zh-CN" w:bidi="ar"/>
                    </w:rPr>
                    <w:br w:type="textWrapping"/>
                  </w:r>
                  <w:r>
                    <w:rPr>
                      <w:rFonts w:hint="default" w:ascii="Times New Roman" w:hAnsi="Times New Roman" w:eastAsia="宋体" w:cs="Times New Roman"/>
                      <w:i w:val="0"/>
                      <w:iCs w:val="0"/>
                      <w:color w:val="auto"/>
                      <w:kern w:val="0"/>
                      <w:sz w:val="21"/>
                      <w:szCs w:val="21"/>
                      <w:u w:val="none"/>
                      <w:lang w:val="en-US" w:eastAsia="zh-CN" w:bidi="ar"/>
                    </w:rPr>
                    <w:t>GB 11893-89</w:t>
                  </w:r>
                </w:p>
              </w:tc>
              <w:tc>
                <w:tcPr>
                  <w:tcW w:w="1177" w:type="pct"/>
                  <w:tcBorders>
                    <w:tl2br w:val="nil"/>
                    <w:tr2bl w:val="nil"/>
                  </w:tcBorders>
                  <w:noWrap w:val="0"/>
                  <w:vAlign w:val="center"/>
                </w:tcPr>
                <w:p w14:paraId="4F7240F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0.01mg/L</w:t>
                  </w:r>
                </w:p>
              </w:tc>
            </w:tr>
            <w:tr w14:paraId="36A6D54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1" w:type="pct"/>
                  <w:tcBorders>
                    <w:tl2br w:val="nil"/>
                    <w:tr2bl w:val="nil"/>
                  </w:tcBorders>
                  <w:noWrap w:val="0"/>
                  <w:vAlign w:val="center"/>
                </w:tcPr>
                <w:p w14:paraId="37FB2B0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8</w:t>
                  </w:r>
                </w:p>
              </w:tc>
              <w:tc>
                <w:tcPr>
                  <w:tcW w:w="774" w:type="pct"/>
                  <w:tcBorders>
                    <w:tl2br w:val="nil"/>
                    <w:tr2bl w:val="nil"/>
                  </w:tcBorders>
                  <w:noWrap w:val="0"/>
                  <w:vAlign w:val="center"/>
                </w:tcPr>
                <w:p w14:paraId="1E8ACF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color w:val="auto"/>
                      <w:highlight w:val="none"/>
                      <w:lang w:val="en-US" w:eastAsia="zh-CN"/>
                    </w:rPr>
                    <w:t>总氮</w:t>
                  </w:r>
                </w:p>
              </w:tc>
              <w:tc>
                <w:tcPr>
                  <w:tcW w:w="2656" w:type="pct"/>
                  <w:tcBorders>
                    <w:tl2br w:val="nil"/>
                    <w:tr2bl w:val="nil"/>
                  </w:tcBorders>
                  <w:noWrap w:val="0"/>
                  <w:vAlign w:val="center"/>
                </w:tcPr>
                <w:p w14:paraId="410FAFC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水质 总氮的测定 碱性过硫酸钾消解紫外分光光度法 HJ 636-2012</w:t>
                  </w:r>
                </w:p>
              </w:tc>
              <w:tc>
                <w:tcPr>
                  <w:tcW w:w="1177" w:type="pct"/>
                  <w:tcBorders>
                    <w:tl2br w:val="nil"/>
                    <w:tr2bl w:val="nil"/>
                  </w:tcBorders>
                  <w:noWrap w:val="0"/>
                  <w:vAlign w:val="center"/>
                </w:tcPr>
                <w:p w14:paraId="5DAD707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0.05mg/L</w:t>
                  </w:r>
                </w:p>
              </w:tc>
            </w:tr>
            <w:tr w14:paraId="0C2EDAA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397" w:hRule="atLeast"/>
                <w:jc w:val="center"/>
              </w:trPr>
              <w:tc>
                <w:tcPr>
                  <w:tcW w:w="391" w:type="pct"/>
                  <w:tcBorders>
                    <w:tl2br w:val="nil"/>
                    <w:tr2bl w:val="nil"/>
                  </w:tcBorders>
                  <w:noWrap w:val="0"/>
                  <w:vAlign w:val="center"/>
                </w:tcPr>
                <w:p w14:paraId="5792EE4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9</w:t>
                  </w:r>
                </w:p>
              </w:tc>
              <w:tc>
                <w:tcPr>
                  <w:tcW w:w="774" w:type="pct"/>
                  <w:tcBorders>
                    <w:tl2br w:val="nil"/>
                    <w:tr2bl w:val="nil"/>
                  </w:tcBorders>
                  <w:noWrap w:val="0"/>
                  <w:vAlign w:val="center"/>
                </w:tcPr>
                <w:p w14:paraId="29B05AA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厂界环境噪声</w:t>
                  </w:r>
                </w:p>
              </w:tc>
              <w:tc>
                <w:tcPr>
                  <w:tcW w:w="2656" w:type="pct"/>
                  <w:tcBorders>
                    <w:tl2br w:val="nil"/>
                    <w:tr2bl w:val="nil"/>
                  </w:tcBorders>
                  <w:noWrap w:val="0"/>
                  <w:vAlign w:val="center"/>
                </w:tcPr>
                <w:p w14:paraId="42BFD00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工业企业厂界环境噪声排放标准 GB 12348-2008</w:t>
                  </w:r>
                </w:p>
              </w:tc>
              <w:tc>
                <w:tcPr>
                  <w:tcW w:w="1177" w:type="pct"/>
                  <w:tcBorders>
                    <w:tl2br w:val="nil"/>
                    <w:tr2bl w:val="nil"/>
                  </w:tcBorders>
                  <w:noWrap w:val="0"/>
                  <w:vAlign w:val="center"/>
                </w:tcPr>
                <w:p w14:paraId="1280AE4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r>
          </w:tbl>
          <w:p w14:paraId="60613D6B">
            <w:pPr>
              <w:spacing w:after="0" w:line="440" w:lineRule="exact"/>
              <w:ind w:firstLine="482" w:firstLineChars="200"/>
              <w:textAlignment w:val="baseline"/>
              <w:rPr>
                <w:rFonts w:eastAsia="宋体"/>
                <w:b/>
                <w:bCs/>
                <w:color w:val="auto"/>
                <w:sz w:val="24"/>
                <w:szCs w:val="24"/>
              </w:rPr>
            </w:pPr>
            <w:r>
              <w:rPr>
                <w:rFonts w:hint="eastAsia" w:eastAsia="宋体"/>
                <w:b/>
                <w:bCs/>
                <w:color w:val="auto"/>
                <w:sz w:val="24"/>
                <w:szCs w:val="24"/>
                <w:lang w:val="en-US" w:eastAsia="zh-CN"/>
              </w:rPr>
              <w:t>4</w:t>
            </w:r>
            <w:r>
              <w:rPr>
                <w:rFonts w:eastAsia="宋体"/>
                <w:b/>
                <w:bCs/>
                <w:color w:val="auto"/>
                <w:sz w:val="24"/>
                <w:szCs w:val="24"/>
              </w:rPr>
              <w:t>、检测质量保证</w:t>
            </w:r>
          </w:p>
          <w:p w14:paraId="583C4EF7">
            <w:pPr>
              <w:spacing w:after="0" w:line="440" w:lineRule="exact"/>
              <w:ind w:firstLine="480" w:firstLineChars="200"/>
              <w:textAlignment w:val="baseline"/>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本次</w:t>
            </w:r>
            <w:r>
              <w:rPr>
                <w:rFonts w:hint="eastAsia" w:ascii="Times New Roman" w:hAnsi="Times New Roman" w:eastAsia="宋体" w:cs="Times New Roman"/>
                <w:color w:val="auto"/>
                <w:sz w:val="24"/>
                <w:szCs w:val="24"/>
                <w:lang w:val="en-US" w:eastAsia="zh-CN"/>
              </w:rPr>
              <w:t>检</w:t>
            </w:r>
            <w:r>
              <w:rPr>
                <w:rFonts w:hint="eastAsia" w:ascii="Times New Roman" w:hAnsi="Times New Roman" w:eastAsia="宋体" w:cs="Times New Roman"/>
                <w:color w:val="auto"/>
                <w:sz w:val="24"/>
                <w:szCs w:val="24"/>
                <w:lang w:eastAsia="zh-CN"/>
              </w:rPr>
              <w:t>测</w:t>
            </w:r>
            <w:r>
              <w:rPr>
                <w:rFonts w:hint="eastAsia" w:ascii="Times New Roman" w:hAnsi="Times New Roman" w:eastAsia="宋体" w:cs="Times New Roman"/>
                <w:color w:val="auto"/>
                <w:sz w:val="24"/>
                <w:szCs w:val="24"/>
              </w:rPr>
              <w:t>分析严格按照国家相</w:t>
            </w:r>
            <w:r>
              <w:rPr>
                <w:rFonts w:hint="eastAsia" w:ascii="Times New Roman" w:hAnsi="Times New Roman" w:eastAsia="宋体" w:cs="Times New Roman"/>
                <w:color w:val="auto"/>
                <w:sz w:val="24"/>
                <w:szCs w:val="24"/>
                <w:lang w:eastAsia="zh-CN"/>
              </w:rPr>
              <w:t>关环境</w:t>
            </w:r>
            <w:r>
              <w:rPr>
                <w:rFonts w:hint="eastAsia" w:ascii="Times New Roman" w:hAnsi="Times New Roman" w:eastAsia="宋体" w:cs="Times New Roman"/>
                <w:color w:val="auto"/>
                <w:sz w:val="24"/>
                <w:szCs w:val="24"/>
                <w:lang w:val="en-US" w:eastAsia="zh-CN"/>
              </w:rPr>
              <w:t>检</w:t>
            </w:r>
            <w:r>
              <w:rPr>
                <w:rFonts w:hint="eastAsia" w:ascii="Times New Roman" w:hAnsi="Times New Roman" w:eastAsia="宋体" w:cs="Times New Roman"/>
                <w:color w:val="auto"/>
                <w:sz w:val="24"/>
                <w:szCs w:val="24"/>
                <w:lang w:eastAsia="zh-CN"/>
              </w:rPr>
              <w:t>测技术规范和标准分析方法</w:t>
            </w:r>
            <w:r>
              <w:rPr>
                <w:rFonts w:hint="eastAsia" w:ascii="Times New Roman" w:hAnsi="Times New Roman" w:eastAsia="宋体" w:cs="Times New Roman"/>
                <w:color w:val="auto"/>
                <w:sz w:val="24"/>
                <w:szCs w:val="24"/>
              </w:rPr>
              <w:t>要求实施全程序质量控制。具体质控要求如下：</w:t>
            </w:r>
          </w:p>
          <w:p w14:paraId="4D623C06">
            <w:pPr>
              <w:spacing w:after="0" w:line="440" w:lineRule="exact"/>
              <w:ind w:firstLine="480" w:firstLineChars="200"/>
              <w:textAlignment w:val="baseline"/>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rPr>
              <w:t>检测期间，企业生产正常，环保设施运行</w:t>
            </w:r>
            <w:r>
              <w:rPr>
                <w:rFonts w:hint="eastAsia" w:ascii="Times New Roman" w:hAnsi="Times New Roman" w:eastAsia="宋体" w:cs="Times New Roman"/>
                <w:color w:val="auto"/>
                <w:sz w:val="24"/>
                <w:szCs w:val="24"/>
                <w:lang w:val="en-US" w:eastAsia="zh-CN"/>
              </w:rPr>
              <w:t>稳定</w:t>
            </w:r>
            <w:r>
              <w:rPr>
                <w:rFonts w:hint="eastAsia" w:ascii="Times New Roman" w:hAnsi="Times New Roman" w:eastAsia="宋体" w:cs="Times New Roman"/>
                <w:color w:val="auto"/>
                <w:sz w:val="24"/>
                <w:szCs w:val="24"/>
                <w:lang w:eastAsia="zh-CN"/>
              </w:rPr>
              <w:t>。</w:t>
            </w:r>
          </w:p>
          <w:p w14:paraId="698BB5A9">
            <w:pPr>
              <w:spacing w:after="0" w:line="440" w:lineRule="exact"/>
              <w:ind w:firstLine="480" w:firstLineChars="200"/>
              <w:textAlignment w:val="baseline"/>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严格按照国家相关</w:t>
            </w:r>
            <w:r>
              <w:rPr>
                <w:rFonts w:hint="default" w:ascii="Times New Roman" w:hAnsi="Times New Roman" w:eastAsia="宋体" w:cs="Times New Roman"/>
                <w:color w:val="auto"/>
                <w:sz w:val="24"/>
                <w:szCs w:val="24"/>
              </w:rPr>
              <w:t>环境</w:t>
            </w:r>
            <w:r>
              <w:rPr>
                <w:rFonts w:hint="eastAsia" w:ascii="Times New Roman" w:hAnsi="Times New Roman" w:eastAsia="宋体" w:cs="Times New Roman"/>
                <w:color w:val="auto"/>
                <w:sz w:val="24"/>
                <w:szCs w:val="24"/>
                <w:lang w:val="en-US" w:eastAsia="zh-CN"/>
              </w:rPr>
              <w:t>检</w:t>
            </w:r>
            <w:r>
              <w:rPr>
                <w:rFonts w:hint="default" w:ascii="Times New Roman" w:hAnsi="Times New Roman" w:eastAsia="宋体" w:cs="Times New Roman"/>
                <w:color w:val="auto"/>
                <w:sz w:val="24"/>
                <w:szCs w:val="24"/>
              </w:rPr>
              <w:t>测技术规范和标准方法要求进行现场采样、</w:t>
            </w:r>
            <w:r>
              <w:rPr>
                <w:rFonts w:hint="eastAsia" w:ascii="Times New Roman" w:hAnsi="Times New Roman" w:eastAsia="宋体" w:cs="Times New Roman"/>
                <w:color w:val="auto"/>
                <w:sz w:val="24"/>
                <w:szCs w:val="24"/>
                <w:lang w:val="en-US" w:eastAsia="zh-CN"/>
              </w:rPr>
              <w:t>检</w:t>
            </w:r>
            <w:r>
              <w:rPr>
                <w:rFonts w:hint="default" w:ascii="Times New Roman" w:hAnsi="Times New Roman" w:eastAsia="宋体" w:cs="Times New Roman"/>
                <w:color w:val="auto"/>
                <w:sz w:val="24"/>
                <w:szCs w:val="24"/>
              </w:rPr>
              <w:t>测</w:t>
            </w:r>
            <w:r>
              <w:rPr>
                <w:rFonts w:hint="eastAsia" w:ascii="Times New Roman" w:hAnsi="Times New Roman" w:eastAsia="宋体" w:cs="Times New Roman"/>
                <w:color w:val="auto"/>
                <w:sz w:val="24"/>
                <w:szCs w:val="24"/>
              </w:rPr>
              <w:t>。</w:t>
            </w:r>
          </w:p>
          <w:p w14:paraId="7210669B">
            <w:pPr>
              <w:spacing w:after="0" w:line="440" w:lineRule="exact"/>
              <w:ind w:firstLine="480" w:firstLineChars="200"/>
              <w:textAlignment w:val="baseline"/>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（3）检</w:t>
            </w:r>
            <w:r>
              <w:rPr>
                <w:rFonts w:hint="eastAsia" w:ascii="Times New Roman" w:hAnsi="Times New Roman" w:eastAsia="宋体" w:cs="Times New Roman"/>
                <w:color w:val="auto"/>
                <w:sz w:val="24"/>
                <w:szCs w:val="24"/>
                <w:lang w:eastAsia="zh-CN"/>
              </w:rPr>
              <w:t>测人员经过培训和能力确认并符合相关技术能力规范。</w:t>
            </w:r>
            <w:r>
              <w:rPr>
                <w:rFonts w:hint="eastAsia" w:ascii="Times New Roman" w:hAnsi="Times New Roman" w:eastAsia="宋体" w:cs="Times New Roman"/>
                <w:color w:val="auto"/>
                <w:sz w:val="24"/>
                <w:szCs w:val="24"/>
                <w:lang w:val="en-US" w:eastAsia="zh-CN"/>
              </w:rPr>
              <w:t>检</w:t>
            </w:r>
            <w:r>
              <w:rPr>
                <w:rFonts w:hint="eastAsia" w:ascii="Times New Roman" w:hAnsi="Times New Roman" w:eastAsia="宋体" w:cs="Times New Roman"/>
                <w:color w:val="auto"/>
                <w:sz w:val="24"/>
                <w:szCs w:val="24"/>
                <w:lang w:eastAsia="zh-CN"/>
              </w:rPr>
              <w:t>测仪器经计量检定/校准合格并在有效期内</w:t>
            </w:r>
            <w:r>
              <w:rPr>
                <w:rFonts w:hint="eastAsia" w:ascii="Times New Roman" w:hAnsi="Times New Roman" w:eastAsia="宋体" w:cs="Times New Roman"/>
                <w:color w:val="auto"/>
                <w:sz w:val="24"/>
                <w:szCs w:val="24"/>
              </w:rPr>
              <w:t>。</w:t>
            </w:r>
          </w:p>
          <w:p w14:paraId="7E487DAF">
            <w:pPr>
              <w:spacing w:after="0" w:line="440" w:lineRule="exact"/>
              <w:ind w:firstLine="480" w:firstLineChars="200"/>
              <w:textAlignment w:val="baseline"/>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（4）检测</w:t>
            </w:r>
            <w:r>
              <w:rPr>
                <w:rFonts w:hint="eastAsia" w:ascii="Times New Roman" w:hAnsi="Times New Roman" w:eastAsia="宋体" w:cs="Times New Roman"/>
                <w:color w:val="auto"/>
                <w:sz w:val="24"/>
                <w:szCs w:val="24"/>
              </w:rPr>
              <w:t>分析方法采用国家颁布的标准</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或推荐</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分析方法</w:t>
            </w:r>
            <w:r>
              <w:rPr>
                <w:rFonts w:hint="eastAsia" w:ascii="Times New Roman" w:hAnsi="Times New Roman" w:eastAsia="宋体" w:cs="Times New Roman"/>
                <w:color w:val="auto"/>
                <w:sz w:val="24"/>
                <w:szCs w:val="24"/>
                <w:lang w:eastAsia="zh-CN"/>
              </w:rPr>
              <w:t>。</w:t>
            </w:r>
          </w:p>
          <w:p w14:paraId="1AD46958">
            <w:pPr>
              <w:spacing w:after="0" w:line="440" w:lineRule="exact"/>
              <w:ind w:firstLine="480" w:firstLineChars="200"/>
              <w:textAlignment w:val="baseline"/>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（5）现场检测仪器设备校验/校准结果、实验室检测质控样品分析结果符合方法要求，检测结果合格有效</w:t>
            </w:r>
            <w:r>
              <w:rPr>
                <w:rFonts w:hint="eastAsia" w:ascii="Times New Roman" w:hAnsi="Times New Roman" w:eastAsia="宋体" w:cs="Times New Roman"/>
                <w:color w:val="auto"/>
                <w:sz w:val="24"/>
                <w:szCs w:val="24"/>
                <w:lang w:eastAsia="zh-CN"/>
              </w:rPr>
              <w:t>。</w:t>
            </w:r>
          </w:p>
          <w:p w14:paraId="1D61BD73">
            <w:pPr>
              <w:spacing w:after="0" w:line="440" w:lineRule="exact"/>
              <w:ind w:firstLine="480" w:firstLineChars="200"/>
              <w:textAlignment w:val="baseline"/>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（6）检</w:t>
            </w:r>
            <w:r>
              <w:rPr>
                <w:rFonts w:hint="eastAsia" w:ascii="Times New Roman" w:hAnsi="Times New Roman" w:eastAsia="宋体" w:cs="Times New Roman"/>
                <w:color w:val="auto"/>
                <w:sz w:val="24"/>
                <w:szCs w:val="24"/>
                <w:lang w:eastAsia="zh-CN"/>
              </w:rPr>
              <w:t>测</w:t>
            </w:r>
            <w:r>
              <w:rPr>
                <w:rFonts w:hint="eastAsia" w:ascii="Times New Roman" w:hAnsi="Times New Roman" w:eastAsia="宋体" w:cs="Times New Roman"/>
                <w:color w:val="auto"/>
                <w:sz w:val="24"/>
                <w:szCs w:val="24"/>
              </w:rPr>
              <w:t>数据严格实行三级审核。</w:t>
            </w:r>
          </w:p>
          <w:p w14:paraId="12FCA4FA">
            <w:pPr>
              <w:spacing w:after="0" w:line="460" w:lineRule="exact"/>
              <w:ind w:firstLine="480" w:firstLineChars="200"/>
              <w:jc w:val="both"/>
              <w:rPr>
                <w:rFonts w:eastAsia="宋体"/>
                <w:color w:val="auto"/>
                <w:kern w:val="2"/>
                <w:sz w:val="24"/>
                <w:szCs w:val="24"/>
                <w:highlight w:val="yellow"/>
              </w:rPr>
            </w:pPr>
          </w:p>
          <w:p w14:paraId="3EF933C1">
            <w:pPr>
              <w:spacing w:after="0" w:line="460" w:lineRule="exact"/>
              <w:ind w:firstLine="480" w:firstLineChars="200"/>
              <w:jc w:val="both"/>
              <w:rPr>
                <w:rFonts w:eastAsia="宋体"/>
                <w:color w:val="auto"/>
                <w:kern w:val="2"/>
                <w:sz w:val="24"/>
                <w:szCs w:val="24"/>
                <w:highlight w:val="yellow"/>
              </w:rPr>
            </w:pPr>
          </w:p>
          <w:p w14:paraId="274AAE89">
            <w:pPr>
              <w:spacing w:after="0" w:line="460" w:lineRule="exact"/>
              <w:ind w:firstLine="480" w:firstLineChars="200"/>
              <w:jc w:val="both"/>
              <w:rPr>
                <w:rFonts w:eastAsia="宋体"/>
                <w:color w:val="auto"/>
                <w:kern w:val="2"/>
                <w:sz w:val="24"/>
                <w:szCs w:val="24"/>
                <w:highlight w:val="yellow"/>
              </w:rPr>
            </w:pPr>
          </w:p>
          <w:p w14:paraId="3816951B">
            <w:pPr>
              <w:spacing w:after="0" w:line="460" w:lineRule="exact"/>
              <w:ind w:firstLine="480" w:firstLineChars="200"/>
              <w:jc w:val="both"/>
              <w:rPr>
                <w:rFonts w:eastAsia="宋体"/>
                <w:color w:val="auto"/>
                <w:kern w:val="2"/>
                <w:sz w:val="24"/>
                <w:szCs w:val="24"/>
                <w:highlight w:val="yellow"/>
              </w:rPr>
            </w:pPr>
          </w:p>
          <w:p w14:paraId="4FC70539">
            <w:pPr>
              <w:spacing w:after="0" w:line="460" w:lineRule="exact"/>
              <w:ind w:firstLine="480" w:firstLineChars="200"/>
              <w:jc w:val="both"/>
              <w:rPr>
                <w:rFonts w:eastAsia="宋体"/>
                <w:color w:val="auto"/>
                <w:kern w:val="2"/>
                <w:sz w:val="24"/>
                <w:szCs w:val="24"/>
                <w:highlight w:val="yellow"/>
              </w:rPr>
            </w:pPr>
          </w:p>
          <w:p w14:paraId="596E3E22">
            <w:pPr>
              <w:spacing w:after="0" w:line="420" w:lineRule="exact"/>
              <w:ind w:firstLine="480" w:firstLineChars="200"/>
              <w:textAlignment w:val="baseline"/>
              <w:rPr>
                <w:rFonts w:eastAsia="宋体"/>
                <w:color w:val="auto"/>
                <w:sz w:val="24"/>
                <w:szCs w:val="24"/>
                <w:highlight w:val="yellow"/>
              </w:rPr>
            </w:pPr>
          </w:p>
          <w:p w14:paraId="75528F0A">
            <w:pPr>
              <w:spacing w:after="0" w:line="420" w:lineRule="exact"/>
              <w:ind w:firstLine="480" w:firstLineChars="200"/>
              <w:textAlignment w:val="baseline"/>
              <w:rPr>
                <w:rFonts w:eastAsia="宋体"/>
                <w:color w:val="auto"/>
                <w:sz w:val="24"/>
                <w:szCs w:val="24"/>
                <w:highlight w:val="yellow"/>
              </w:rPr>
            </w:pPr>
          </w:p>
          <w:p w14:paraId="7B467A06">
            <w:pPr>
              <w:spacing w:after="0" w:line="420" w:lineRule="exact"/>
              <w:ind w:firstLine="480" w:firstLineChars="200"/>
              <w:textAlignment w:val="baseline"/>
              <w:rPr>
                <w:rFonts w:eastAsia="宋体"/>
                <w:color w:val="auto"/>
                <w:sz w:val="24"/>
                <w:szCs w:val="24"/>
                <w:highlight w:val="yellow"/>
              </w:rPr>
            </w:pPr>
          </w:p>
          <w:p w14:paraId="59C44113">
            <w:pPr>
              <w:spacing w:after="0" w:line="420" w:lineRule="exact"/>
              <w:ind w:firstLine="480" w:firstLineChars="200"/>
              <w:textAlignment w:val="baseline"/>
              <w:rPr>
                <w:rFonts w:eastAsia="宋体"/>
                <w:color w:val="auto"/>
                <w:sz w:val="24"/>
                <w:szCs w:val="24"/>
                <w:highlight w:val="yellow"/>
              </w:rPr>
            </w:pPr>
          </w:p>
          <w:p w14:paraId="59014A58">
            <w:pPr>
              <w:spacing w:after="0" w:line="420" w:lineRule="exact"/>
              <w:ind w:firstLine="480" w:firstLineChars="200"/>
              <w:textAlignment w:val="baseline"/>
              <w:rPr>
                <w:rFonts w:eastAsia="宋体"/>
                <w:color w:val="auto"/>
                <w:sz w:val="24"/>
                <w:szCs w:val="24"/>
                <w:highlight w:val="yellow"/>
              </w:rPr>
            </w:pPr>
          </w:p>
          <w:p w14:paraId="60AFA6ED">
            <w:pPr>
              <w:spacing w:after="0" w:line="420" w:lineRule="exact"/>
              <w:ind w:firstLine="480" w:firstLineChars="200"/>
              <w:textAlignment w:val="baseline"/>
              <w:rPr>
                <w:rFonts w:eastAsia="宋体"/>
                <w:color w:val="auto"/>
                <w:sz w:val="24"/>
                <w:szCs w:val="24"/>
                <w:highlight w:val="yellow"/>
              </w:rPr>
            </w:pPr>
          </w:p>
          <w:p w14:paraId="4DA3ABB6">
            <w:pPr>
              <w:spacing w:after="0" w:line="420" w:lineRule="exact"/>
              <w:ind w:firstLine="480" w:firstLineChars="200"/>
              <w:textAlignment w:val="baseline"/>
              <w:rPr>
                <w:rFonts w:eastAsia="宋体"/>
                <w:color w:val="auto"/>
                <w:sz w:val="24"/>
                <w:szCs w:val="24"/>
                <w:highlight w:val="yellow"/>
              </w:rPr>
            </w:pPr>
          </w:p>
          <w:p w14:paraId="1AFF4840">
            <w:pPr>
              <w:spacing w:after="0" w:line="420" w:lineRule="exact"/>
              <w:ind w:firstLine="480" w:firstLineChars="200"/>
              <w:textAlignment w:val="baseline"/>
              <w:rPr>
                <w:rFonts w:eastAsia="宋体"/>
                <w:color w:val="auto"/>
                <w:sz w:val="24"/>
                <w:szCs w:val="24"/>
                <w:highlight w:val="yellow"/>
              </w:rPr>
            </w:pPr>
          </w:p>
          <w:p w14:paraId="4E837EA4">
            <w:pPr>
              <w:spacing w:after="0" w:line="420" w:lineRule="exact"/>
              <w:ind w:firstLine="480" w:firstLineChars="200"/>
              <w:textAlignment w:val="baseline"/>
              <w:rPr>
                <w:rFonts w:eastAsia="宋体"/>
                <w:color w:val="auto"/>
                <w:sz w:val="24"/>
                <w:szCs w:val="24"/>
                <w:highlight w:val="yellow"/>
              </w:rPr>
            </w:pPr>
          </w:p>
          <w:p w14:paraId="4FA5EDE0">
            <w:pPr>
              <w:spacing w:after="0" w:line="420" w:lineRule="exact"/>
              <w:ind w:firstLine="480" w:firstLineChars="200"/>
              <w:textAlignment w:val="baseline"/>
              <w:rPr>
                <w:rFonts w:eastAsia="宋体"/>
                <w:color w:val="auto"/>
                <w:sz w:val="24"/>
                <w:szCs w:val="24"/>
                <w:highlight w:val="yellow"/>
              </w:rPr>
            </w:pPr>
          </w:p>
          <w:p w14:paraId="3E753CBA">
            <w:pPr>
              <w:spacing w:after="0" w:line="420" w:lineRule="exact"/>
              <w:ind w:firstLine="480" w:firstLineChars="200"/>
              <w:textAlignment w:val="baseline"/>
              <w:rPr>
                <w:rFonts w:eastAsia="宋体"/>
                <w:color w:val="auto"/>
                <w:sz w:val="24"/>
                <w:szCs w:val="24"/>
                <w:highlight w:val="yellow"/>
              </w:rPr>
            </w:pPr>
          </w:p>
          <w:p w14:paraId="51CBB7FA">
            <w:pPr>
              <w:spacing w:after="0" w:line="420" w:lineRule="exact"/>
              <w:textAlignment w:val="baseline"/>
              <w:rPr>
                <w:rFonts w:eastAsia="宋体"/>
                <w:color w:val="auto"/>
                <w:sz w:val="24"/>
                <w:szCs w:val="24"/>
                <w:highlight w:val="yellow"/>
              </w:rPr>
            </w:pPr>
          </w:p>
          <w:p w14:paraId="3192E43D">
            <w:pPr>
              <w:spacing w:after="0" w:line="420" w:lineRule="exact"/>
              <w:textAlignment w:val="baseline"/>
              <w:rPr>
                <w:rFonts w:eastAsia="宋体"/>
                <w:color w:val="auto"/>
                <w:sz w:val="24"/>
                <w:szCs w:val="24"/>
                <w:highlight w:val="yellow"/>
              </w:rPr>
            </w:pPr>
          </w:p>
        </w:tc>
      </w:tr>
    </w:tbl>
    <w:p w14:paraId="01CCC0A9">
      <w:pPr>
        <w:spacing w:line="360" w:lineRule="auto"/>
        <w:rPr>
          <w:rFonts w:eastAsia="仿宋_GB2312"/>
          <w:color w:val="auto"/>
          <w:sz w:val="21"/>
          <w:szCs w:val="21"/>
          <w:highlight w:val="yellow"/>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2707B68A">
      <w:pPr>
        <w:spacing w:after="0" w:line="440" w:lineRule="exact"/>
        <w:rPr>
          <w:rFonts w:eastAsia="仿宋_GB2312"/>
          <w:b/>
          <w:color w:val="auto"/>
          <w:sz w:val="21"/>
          <w:szCs w:val="21"/>
        </w:rPr>
      </w:pPr>
      <w:r>
        <w:rPr>
          <w:rFonts w:eastAsia="仿宋_GB2312"/>
          <w:b/>
          <w:color w:val="auto"/>
          <w:sz w:val="21"/>
          <w:szCs w:val="21"/>
        </w:rPr>
        <w:t>表六</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3BA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66" w:hRule="atLeast"/>
          <w:jc w:val="center"/>
        </w:trPr>
        <w:tc>
          <w:tcPr>
            <w:tcW w:w="8924" w:type="dxa"/>
          </w:tcPr>
          <w:p w14:paraId="6DF286E0">
            <w:pPr>
              <w:spacing w:after="0" w:line="520" w:lineRule="exact"/>
              <w:textAlignment w:val="baseline"/>
              <w:rPr>
                <w:rFonts w:eastAsia="宋体"/>
                <w:b/>
                <w:bCs/>
                <w:color w:val="auto"/>
                <w:kern w:val="2"/>
                <w:sz w:val="24"/>
                <w:szCs w:val="24"/>
              </w:rPr>
            </w:pPr>
            <w:r>
              <w:rPr>
                <w:rFonts w:eastAsia="宋体"/>
                <w:b/>
                <w:bCs/>
                <w:color w:val="auto"/>
                <w:kern w:val="2"/>
                <w:sz w:val="24"/>
                <w:szCs w:val="24"/>
              </w:rPr>
              <w:t>验收监测内容：</w:t>
            </w:r>
          </w:p>
          <w:p w14:paraId="0C2D3FCE">
            <w:pPr>
              <w:spacing w:after="0" w:line="460" w:lineRule="exact"/>
              <w:ind w:firstLine="480" w:firstLineChars="200"/>
              <w:jc w:val="both"/>
              <w:rPr>
                <w:rFonts w:eastAsia="宋体"/>
                <w:color w:val="auto"/>
                <w:kern w:val="2"/>
                <w:sz w:val="24"/>
                <w:szCs w:val="24"/>
              </w:rPr>
            </w:pPr>
            <w:r>
              <w:rPr>
                <w:rFonts w:eastAsia="宋体"/>
                <w:color w:val="auto"/>
                <w:kern w:val="2"/>
                <w:sz w:val="24"/>
                <w:szCs w:val="24"/>
              </w:rPr>
              <w:t>检测内容通过对现场的调查与核实，确定验收期间监测因子、监测点位、监测频次见下表。</w:t>
            </w:r>
          </w:p>
          <w:p w14:paraId="3EF58233">
            <w:pPr>
              <w:spacing w:after="0" w:line="520" w:lineRule="exact"/>
              <w:ind w:firstLine="480" w:firstLineChars="200"/>
              <w:jc w:val="both"/>
              <w:textAlignment w:val="baseline"/>
              <w:rPr>
                <w:rFonts w:hint="eastAsia" w:eastAsia="黑体"/>
                <w:color w:val="auto"/>
                <w:sz w:val="24"/>
                <w:szCs w:val="21"/>
                <w:lang w:val="en-US" w:eastAsia="zh-CN"/>
              </w:rPr>
            </w:pPr>
            <w:r>
              <w:rPr>
                <w:rFonts w:eastAsia="黑体"/>
                <w:color w:val="auto"/>
                <w:sz w:val="24"/>
                <w:szCs w:val="21"/>
              </w:rPr>
              <w:t>表</w:t>
            </w:r>
            <w:r>
              <w:rPr>
                <w:rFonts w:hint="eastAsia" w:eastAsia="黑体"/>
                <w:color w:val="auto"/>
                <w:sz w:val="24"/>
                <w:szCs w:val="21"/>
              </w:rPr>
              <w:t xml:space="preserve">14 </w:t>
            </w:r>
            <w:r>
              <w:rPr>
                <w:rFonts w:eastAsia="黑体"/>
                <w:color w:val="auto"/>
                <w:sz w:val="24"/>
                <w:szCs w:val="21"/>
              </w:rPr>
              <w:t xml:space="preserve">            </w:t>
            </w:r>
            <w:r>
              <w:rPr>
                <w:rFonts w:hint="eastAsia" w:eastAsia="黑体"/>
                <w:color w:val="auto"/>
                <w:sz w:val="24"/>
                <w:szCs w:val="21"/>
              </w:rPr>
              <w:t xml:space="preserve">      </w:t>
            </w:r>
            <w:r>
              <w:rPr>
                <w:rFonts w:eastAsia="黑体"/>
                <w:color w:val="auto"/>
                <w:sz w:val="24"/>
                <w:szCs w:val="21"/>
              </w:rPr>
              <w:t xml:space="preserve"> 验收监测内容</w:t>
            </w:r>
            <w:r>
              <w:rPr>
                <w:rFonts w:hint="eastAsia" w:eastAsia="黑体"/>
                <w:color w:val="auto"/>
                <w:sz w:val="24"/>
                <w:szCs w:val="21"/>
                <w:lang w:val="en-US" w:eastAsia="zh-CN"/>
              </w:rPr>
              <w:t>一览表</w:t>
            </w:r>
          </w:p>
          <w:tbl>
            <w:tblPr>
              <w:tblStyle w:val="18"/>
              <w:tblW w:w="499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75"/>
              <w:gridCol w:w="917"/>
              <w:gridCol w:w="2580"/>
              <w:gridCol w:w="2430"/>
              <w:gridCol w:w="1901"/>
            </w:tblGrid>
            <w:tr w14:paraId="3070B9B6">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38" w:type="pct"/>
                  <w:gridSpan w:val="2"/>
                  <w:tcBorders>
                    <w:top w:val="double" w:color="auto" w:sz="4" w:space="0"/>
                  </w:tcBorders>
                  <w:noWrap w:val="0"/>
                  <w:vAlign w:val="center"/>
                </w:tcPr>
                <w:p w14:paraId="0595DE8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检测</w:t>
                  </w:r>
                  <w:r>
                    <w:rPr>
                      <w:rFonts w:hint="default" w:ascii="Times New Roman" w:hAnsi="Times New Roman" w:eastAsia="宋体" w:cs="Times New Roman"/>
                      <w:b/>
                      <w:color w:val="auto"/>
                      <w:sz w:val="21"/>
                      <w:szCs w:val="21"/>
                    </w:rPr>
                    <w:t>类</w:t>
                  </w:r>
                  <w:r>
                    <w:rPr>
                      <w:rFonts w:hint="default" w:ascii="Times New Roman" w:hAnsi="Times New Roman" w:eastAsia="宋体" w:cs="Times New Roman"/>
                      <w:b/>
                      <w:color w:val="auto"/>
                      <w:sz w:val="21"/>
                      <w:szCs w:val="21"/>
                      <w:lang w:eastAsia="zh-CN"/>
                    </w:rPr>
                    <w:t>别</w:t>
                  </w:r>
                </w:p>
              </w:tc>
              <w:tc>
                <w:tcPr>
                  <w:tcW w:w="1553" w:type="pct"/>
                  <w:tcBorders>
                    <w:top w:val="double" w:color="auto" w:sz="4" w:space="0"/>
                  </w:tcBorders>
                  <w:noWrap w:val="0"/>
                  <w:vAlign w:val="center"/>
                </w:tcPr>
                <w:p w14:paraId="22F57B6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val="en-US" w:eastAsia="zh-CN"/>
                    </w:rPr>
                    <w:t>检测点位</w:t>
                  </w:r>
                </w:p>
              </w:tc>
              <w:tc>
                <w:tcPr>
                  <w:tcW w:w="1463" w:type="pct"/>
                  <w:tcBorders>
                    <w:top w:val="double" w:color="auto" w:sz="4" w:space="0"/>
                  </w:tcBorders>
                  <w:noWrap w:val="0"/>
                  <w:vAlign w:val="center"/>
                </w:tcPr>
                <w:p w14:paraId="06D995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检</w:t>
                  </w:r>
                  <w:r>
                    <w:rPr>
                      <w:rFonts w:hint="default" w:ascii="Times New Roman" w:hAnsi="Times New Roman" w:eastAsia="宋体" w:cs="Times New Roman"/>
                      <w:b/>
                      <w:color w:val="auto"/>
                      <w:sz w:val="21"/>
                      <w:szCs w:val="21"/>
                    </w:rPr>
                    <w:t>测项目</w:t>
                  </w:r>
                </w:p>
              </w:tc>
              <w:tc>
                <w:tcPr>
                  <w:tcW w:w="1144" w:type="pct"/>
                  <w:tcBorders>
                    <w:top w:val="double" w:color="auto" w:sz="4" w:space="0"/>
                  </w:tcBorders>
                  <w:noWrap w:val="0"/>
                  <w:vAlign w:val="center"/>
                </w:tcPr>
                <w:p w14:paraId="56115DF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检</w:t>
                  </w:r>
                  <w:r>
                    <w:rPr>
                      <w:rFonts w:hint="default" w:ascii="Times New Roman" w:hAnsi="Times New Roman" w:eastAsia="宋体" w:cs="Times New Roman"/>
                      <w:b/>
                      <w:color w:val="auto"/>
                      <w:sz w:val="21"/>
                      <w:szCs w:val="21"/>
                    </w:rPr>
                    <w:t>测频次</w:t>
                  </w:r>
                </w:p>
              </w:tc>
            </w:tr>
            <w:tr w14:paraId="4237922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6" w:type="pct"/>
                  <w:vMerge w:val="restart"/>
                  <w:noWrap w:val="0"/>
                  <w:vAlign w:val="center"/>
                </w:tcPr>
                <w:p w14:paraId="0EB87EA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552" w:type="pct"/>
                  <w:noWrap w:val="0"/>
                  <w:vAlign w:val="center"/>
                </w:tcPr>
                <w:p w14:paraId="36FB661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有组织废气</w:t>
                  </w:r>
                </w:p>
              </w:tc>
              <w:tc>
                <w:tcPr>
                  <w:tcW w:w="1553" w:type="pct"/>
                  <w:noWrap w:val="0"/>
                  <w:vAlign w:val="center"/>
                </w:tcPr>
                <w:p w14:paraId="15007B7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吹瓶废气排气（DA001）进、出</w:t>
                  </w:r>
                  <w:r>
                    <w:rPr>
                      <w:rFonts w:hint="default" w:ascii="Times New Roman" w:hAnsi="Times New Roman" w:eastAsia="宋体" w:cs="Times New Roman"/>
                      <w:color w:val="auto"/>
                      <w:sz w:val="21"/>
                      <w:szCs w:val="21"/>
                      <w:highlight w:val="none"/>
                    </w:rPr>
                    <w:t>口</w:t>
                  </w:r>
                </w:p>
              </w:tc>
              <w:tc>
                <w:tcPr>
                  <w:tcW w:w="1463" w:type="pct"/>
                  <w:noWrap w:val="0"/>
                  <w:vAlign w:val="center"/>
                </w:tcPr>
                <w:p w14:paraId="5E3F37D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非甲烷总烃</w:t>
                  </w:r>
                </w:p>
              </w:tc>
              <w:tc>
                <w:tcPr>
                  <w:tcW w:w="1144" w:type="pct"/>
                  <w:noWrap w:val="0"/>
                  <w:vAlign w:val="center"/>
                </w:tcPr>
                <w:p w14:paraId="7219354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检测2天，3</w:t>
                  </w:r>
                  <w:r>
                    <w:rPr>
                      <w:rFonts w:hint="default" w:ascii="Times New Roman" w:hAnsi="Times New Roman" w:eastAsia="宋体" w:cs="Times New Roman"/>
                      <w:color w:val="auto"/>
                      <w:sz w:val="21"/>
                      <w:szCs w:val="21"/>
                    </w:rPr>
                    <w:t>次/</w:t>
                  </w:r>
                  <w:r>
                    <w:rPr>
                      <w:rFonts w:hint="default" w:ascii="Times New Roman" w:hAnsi="Times New Roman" w:eastAsia="宋体" w:cs="Times New Roman"/>
                      <w:color w:val="auto"/>
                      <w:sz w:val="21"/>
                      <w:szCs w:val="21"/>
                      <w:lang w:eastAsia="zh-CN"/>
                    </w:rPr>
                    <w:t>天</w:t>
                  </w:r>
                </w:p>
              </w:tc>
            </w:tr>
            <w:tr w14:paraId="2B610389">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6" w:type="pct"/>
                  <w:vMerge w:val="continue"/>
                  <w:noWrap w:val="0"/>
                  <w:vAlign w:val="center"/>
                </w:tcPr>
                <w:p w14:paraId="2CDC4F5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p>
              </w:tc>
              <w:tc>
                <w:tcPr>
                  <w:tcW w:w="552" w:type="pct"/>
                  <w:vMerge w:val="restart"/>
                  <w:noWrap w:val="0"/>
                  <w:vAlign w:val="center"/>
                </w:tcPr>
                <w:p w14:paraId="720F5D2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无组织废气</w:t>
                  </w:r>
                </w:p>
              </w:tc>
              <w:tc>
                <w:tcPr>
                  <w:tcW w:w="1553" w:type="pct"/>
                  <w:noWrap w:val="0"/>
                  <w:vAlign w:val="center"/>
                </w:tcPr>
                <w:p w14:paraId="1E9A5CD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上风向1#、下风向2#、</w:t>
                  </w:r>
                </w:p>
                <w:p w14:paraId="70BBE5A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w:t>
                  </w:r>
                </w:p>
              </w:tc>
              <w:tc>
                <w:tcPr>
                  <w:tcW w:w="1463" w:type="pct"/>
                  <w:noWrap w:val="0"/>
                  <w:vAlign w:val="center"/>
                </w:tcPr>
                <w:p w14:paraId="4DA2B0A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非甲烷总烃</w:t>
                  </w:r>
                </w:p>
              </w:tc>
              <w:tc>
                <w:tcPr>
                  <w:tcW w:w="1144" w:type="pct"/>
                  <w:vMerge w:val="restart"/>
                  <w:noWrap w:val="0"/>
                  <w:vAlign w:val="center"/>
                </w:tcPr>
                <w:p w14:paraId="4E72385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检测2天，3</w:t>
                  </w:r>
                  <w:r>
                    <w:rPr>
                      <w:rFonts w:hint="default" w:ascii="Times New Roman" w:hAnsi="Times New Roman" w:eastAsia="宋体" w:cs="Times New Roman"/>
                      <w:color w:val="auto"/>
                      <w:sz w:val="21"/>
                      <w:szCs w:val="21"/>
                    </w:rPr>
                    <w:t>次/</w:t>
                  </w:r>
                  <w:r>
                    <w:rPr>
                      <w:rFonts w:hint="default" w:ascii="Times New Roman" w:hAnsi="Times New Roman" w:eastAsia="宋体" w:cs="Times New Roman"/>
                      <w:color w:val="auto"/>
                      <w:sz w:val="21"/>
                      <w:szCs w:val="21"/>
                      <w:lang w:eastAsia="zh-CN"/>
                    </w:rPr>
                    <w:t>天</w:t>
                  </w:r>
                </w:p>
              </w:tc>
            </w:tr>
            <w:tr w14:paraId="60B49F1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6" w:type="pct"/>
                  <w:vMerge w:val="continue"/>
                  <w:noWrap w:val="0"/>
                  <w:vAlign w:val="center"/>
                </w:tcPr>
                <w:p w14:paraId="488987B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p>
              </w:tc>
              <w:tc>
                <w:tcPr>
                  <w:tcW w:w="552" w:type="pct"/>
                  <w:vMerge w:val="continue"/>
                  <w:noWrap w:val="0"/>
                  <w:vAlign w:val="center"/>
                </w:tcPr>
                <w:p w14:paraId="40F6A0C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p>
              </w:tc>
              <w:tc>
                <w:tcPr>
                  <w:tcW w:w="1553" w:type="pct"/>
                  <w:noWrap w:val="0"/>
                  <w:vAlign w:val="center"/>
                </w:tcPr>
                <w:p w14:paraId="3377C0B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厂区内监控点处1h平均浓度</w:t>
                  </w:r>
                </w:p>
              </w:tc>
              <w:tc>
                <w:tcPr>
                  <w:tcW w:w="1463" w:type="pct"/>
                  <w:noWrap w:val="0"/>
                  <w:vAlign w:val="center"/>
                </w:tcPr>
                <w:p w14:paraId="6C7749A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非甲烷总烃</w:t>
                  </w:r>
                </w:p>
              </w:tc>
              <w:tc>
                <w:tcPr>
                  <w:tcW w:w="1144" w:type="pct"/>
                  <w:vMerge w:val="continue"/>
                  <w:noWrap w:val="0"/>
                  <w:vAlign w:val="center"/>
                </w:tcPr>
                <w:p w14:paraId="750C625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p>
              </w:tc>
            </w:tr>
            <w:tr w14:paraId="03780B5E">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6" w:type="pct"/>
                  <w:vMerge w:val="continue"/>
                  <w:noWrap w:val="0"/>
                  <w:vAlign w:val="center"/>
                </w:tcPr>
                <w:p w14:paraId="5A02B17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p>
              </w:tc>
              <w:tc>
                <w:tcPr>
                  <w:tcW w:w="552" w:type="pct"/>
                  <w:vMerge w:val="continue"/>
                  <w:noWrap w:val="0"/>
                  <w:vAlign w:val="center"/>
                </w:tcPr>
                <w:p w14:paraId="0612E72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p>
              </w:tc>
              <w:tc>
                <w:tcPr>
                  <w:tcW w:w="1553" w:type="pct"/>
                  <w:noWrap w:val="0"/>
                  <w:vAlign w:val="center"/>
                </w:tcPr>
                <w:p w14:paraId="2423A7E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监控点处任意一次平均浓度</w:t>
                  </w:r>
                </w:p>
              </w:tc>
              <w:tc>
                <w:tcPr>
                  <w:tcW w:w="1463" w:type="pct"/>
                  <w:noWrap w:val="0"/>
                  <w:vAlign w:val="center"/>
                </w:tcPr>
                <w:p w14:paraId="48FB89C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非甲烷总烃</w:t>
                  </w:r>
                </w:p>
              </w:tc>
              <w:tc>
                <w:tcPr>
                  <w:tcW w:w="1144" w:type="pct"/>
                  <w:vMerge w:val="continue"/>
                  <w:noWrap w:val="0"/>
                  <w:vAlign w:val="center"/>
                </w:tcPr>
                <w:p w14:paraId="5E4714A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p>
              </w:tc>
            </w:tr>
            <w:tr w14:paraId="5A56BE1C">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38" w:type="pct"/>
                  <w:gridSpan w:val="2"/>
                  <w:noWrap w:val="0"/>
                  <w:vAlign w:val="center"/>
                </w:tcPr>
                <w:p w14:paraId="3AA0D54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1553" w:type="pct"/>
                  <w:noWrap w:val="0"/>
                  <w:vAlign w:val="center"/>
                </w:tcPr>
                <w:p w14:paraId="59FB4A4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厂区总排口</w:t>
                  </w:r>
                </w:p>
              </w:tc>
              <w:tc>
                <w:tcPr>
                  <w:tcW w:w="1463" w:type="pct"/>
                  <w:noWrap w:val="0"/>
                  <w:vAlign w:val="center"/>
                </w:tcPr>
                <w:p w14:paraId="5D03154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流量、化学需氧量、五日生化需氧量（BOD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）、悬浮物、氨氮、总磷、总氮</w:t>
                  </w:r>
                </w:p>
              </w:tc>
              <w:tc>
                <w:tcPr>
                  <w:tcW w:w="1144" w:type="pct"/>
                  <w:noWrap w:val="0"/>
                  <w:vAlign w:val="center"/>
                </w:tcPr>
                <w:p w14:paraId="5FA03EE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检测2天，4</w:t>
                  </w:r>
                  <w:r>
                    <w:rPr>
                      <w:rFonts w:hint="default" w:ascii="Times New Roman" w:hAnsi="Times New Roman" w:eastAsia="宋体" w:cs="Times New Roman"/>
                      <w:color w:val="auto"/>
                      <w:sz w:val="21"/>
                      <w:szCs w:val="21"/>
                    </w:rPr>
                    <w:t>次/</w:t>
                  </w:r>
                  <w:r>
                    <w:rPr>
                      <w:rFonts w:hint="default" w:ascii="Times New Roman" w:hAnsi="Times New Roman" w:eastAsia="宋体" w:cs="Times New Roman"/>
                      <w:color w:val="auto"/>
                      <w:sz w:val="21"/>
                      <w:szCs w:val="21"/>
                      <w:lang w:eastAsia="zh-CN"/>
                    </w:rPr>
                    <w:t>天</w:t>
                  </w:r>
                </w:p>
              </w:tc>
            </w:tr>
            <w:tr w14:paraId="41A34191">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38" w:type="pct"/>
                  <w:gridSpan w:val="2"/>
                  <w:noWrap w:val="0"/>
                  <w:vAlign w:val="center"/>
                </w:tcPr>
                <w:p w14:paraId="08D01E0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1553" w:type="pct"/>
                  <w:noWrap w:val="0"/>
                  <w:vAlign w:val="center"/>
                </w:tcPr>
                <w:p w14:paraId="266116E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四厂界外1m</w:t>
                  </w:r>
                </w:p>
              </w:tc>
              <w:tc>
                <w:tcPr>
                  <w:tcW w:w="1463" w:type="pct"/>
                  <w:noWrap w:val="0"/>
                  <w:vAlign w:val="center"/>
                </w:tcPr>
                <w:p w14:paraId="4CD0AB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i w:val="0"/>
                      <w:iCs w:val="0"/>
                      <w:color w:val="auto"/>
                      <w:sz w:val="21"/>
                      <w:szCs w:val="21"/>
                      <w:lang w:val="en-US" w:eastAsia="zh-CN"/>
                    </w:rPr>
                    <w:t>等效连续A声级</w:t>
                  </w:r>
                </w:p>
              </w:tc>
              <w:tc>
                <w:tcPr>
                  <w:tcW w:w="1144" w:type="pct"/>
                  <w:noWrap w:val="0"/>
                  <w:vAlign w:val="center"/>
                </w:tcPr>
                <w:p w14:paraId="27202BD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检测2天，昼、夜各1次</w:t>
                  </w:r>
                </w:p>
              </w:tc>
            </w:tr>
          </w:tbl>
          <w:p w14:paraId="72EC6AE6">
            <w:pPr>
              <w:spacing w:after="0" w:line="480" w:lineRule="exact"/>
              <w:ind w:firstLine="480" w:firstLineChars="200"/>
              <w:textAlignment w:val="baseline"/>
              <w:rPr>
                <w:rFonts w:eastAsia="黑体"/>
                <w:bCs/>
                <w:color w:val="auto"/>
                <w:sz w:val="24"/>
                <w:szCs w:val="24"/>
                <w:highlight w:val="yellow"/>
              </w:rPr>
            </w:pPr>
          </w:p>
          <w:p w14:paraId="236E2768">
            <w:pPr>
              <w:spacing w:after="0" w:line="480" w:lineRule="exact"/>
              <w:ind w:firstLine="480" w:firstLineChars="200"/>
              <w:textAlignment w:val="baseline"/>
              <w:rPr>
                <w:rFonts w:eastAsia="黑体"/>
                <w:bCs/>
                <w:color w:val="auto"/>
                <w:sz w:val="24"/>
                <w:szCs w:val="24"/>
                <w:highlight w:val="yellow"/>
              </w:rPr>
            </w:pPr>
          </w:p>
          <w:p w14:paraId="53EA7647">
            <w:pPr>
              <w:spacing w:after="0" w:line="480" w:lineRule="exact"/>
              <w:ind w:firstLine="480" w:firstLineChars="200"/>
              <w:textAlignment w:val="baseline"/>
              <w:rPr>
                <w:rFonts w:eastAsia="黑体"/>
                <w:bCs/>
                <w:color w:val="auto"/>
                <w:sz w:val="24"/>
                <w:szCs w:val="24"/>
                <w:highlight w:val="yellow"/>
              </w:rPr>
            </w:pPr>
          </w:p>
          <w:p w14:paraId="64C87628">
            <w:pPr>
              <w:spacing w:after="0" w:line="480" w:lineRule="exact"/>
              <w:ind w:firstLine="480" w:firstLineChars="200"/>
              <w:textAlignment w:val="baseline"/>
              <w:rPr>
                <w:rFonts w:eastAsia="黑体"/>
                <w:bCs/>
                <w:color w:val="auto"/>
                <w:sz w:val="24"/>
                <w:szCs w:val="24"/>
                <w:highlight w:val="yellow"/>
              </w:rPr>
            </w:pPr>
          </w:p>
          <w:p w14:paraId="7969B9BD">
            <w:pPr>
              <w:spacing w:after="0" w:line="480" w:lineRule="exact"/>
              <w:ind w:firstLine="480" w:firstLineChars="200"/>
              <w:textAlignment w:val="baseline"/>
              <w:rPr>
                <w:rFonts w:eastAsia="黑体"/>
                <w:bCs/>
                <w:color w:val="auto"/>
                <w:sz w:val="24"/>
                <w:szCs w:val="24"/>
                <w:highlight w:val="yellow"/>
              </w:rPr>
            </w:pPr>
          </w:p>
          <w:p w14:paraId="6807865D">
            <w:pPr>
              <w:spacing w:after="0" w:line="480" w:lineRule="exact"/>
              <w:ind w:firstLine="420" w:firstLineChars="200"/>
              <w:textAlignment w:val="baseline"/>
              <w:rPr>
                <w:rFonts w:eastAsia="仿宋_GB2312"/>
                <w:color w:val="auto"/>
                <w:sz w:val="21"/>
                <w:szCs w:val="21"/>
                <w:highlight w:val="yellow"/>
              </w:rPr>
            </w:pPr>
          </w:p>
        </w:tc>
      </w:tr>
    </w:tbl>
    <w:p w14:paraId="2471FC74">
      <w:pPr>
        <w:spacing w:after="0" w:line="360" w:lineRule="auto"/>
        <w:rPr>
          <w:rFonts w:eastAsia="仿宋_GB2312"/>
          <w:b/>
          <w:color w:val="auto"/>
          <w:sz w:val="21"/>
          <w:szCs w:val="21"/>
          <w:highlight w:val="yellow"/>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43EEB0C1">
      <w:pPr>
        <w:spacing w:after="0" w:line="440" w:lineRule="exact"/>
        <w:rPr>
          <w:rFonts w:eastAsia="仿宋_GB2312"/>
          <w:b/>
          <w:color w:val="auto"/>
          <w:sz w:val="21"/>
          <w:szCs w:val="21"/>
        </w:rPr>
      </w:pPr>
      <w:r>
        <w:rPr>
          <w:rFonts w:eastAsia="仿宋_GB2312"/>
          <w:b/>
          <w:color w:val="auto"/>
          <w:sz w:val="21"/>
          <w:szCs w:val="21"/>
        </w:rPr>
        <w:t>表七</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39B2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9" w:hRule="atLeast"/>
          <w:jc w:val="center"/>
        </w:trPr>
        <w:tc>
          <w:tcPr>
            <w:tcW w:w="8924" w:type="dxa"/>
          </w:tcPr>
          <w:p w14:paraId="36FFA1F3">
            <w:pPr>
              <w:spacing w:after="0" w:line="520" w:lineRule="exact"/>
              <w:textAlignment w:val="baseline"/>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验收监测期间生产工况记录：</w:t>
            </w:r>
          </w:p>
          <w:p w14:paraId="5789BB11">
            <w:pPr>
              <w:spacing w:after="0" w:line="460" w:lineRule="exact"/>
              <w:ind w:firstLine="480" w:firstLineChars="200"/>
              <w:textAlignment w:val="baseline"/>
              <w:rPr>
                <w:rFonts w:ascii="Times New Roman" w:hAnsi="Times New Roman" w:eastAsia="宋体"/>
                <w:bCs/>
                <w:color w:val="auto"/>
                <w:sz w:val="24"/>
                <w:szCs w:val="24"/>
              </w:rPr>
            </w:pPr>
            <w:r>
              <w:rPr>
                <w:rFonts w:hint="default" w:ascii="Times New Roman" w:hAnsi="Times New Roman" w:eastAsia="宋体" w:cs="Times New Roman"/>
                <w:color w:val="auto"/>
                <w:sz w:val="24"/>
                <w:szCs w:val="24"/>
                <w:lang w:eastAsia="zh-CN"/>
              </w:rPr>
              <w:t>河南</w:t>
            </w:r>
            <w:r>
              <w:rPr>
                <w:rFonts w:hint="default" w:ascii="Times New Roman" w:hAnsi="Times New Roman" w:eastAsia="宋体" w:cs="Times New Roman"/>
                <w:color w:val="auto"/>
                <w:sz w:val="24"/>
                <w:szCs w:val="24"/>
                <w:lang w:val="en-US" w:eastAsia="zh-CN"/>
              </w:rPr>
              <w:t>省养乐奇生物科技有限责任公司</w:t>
            </w:r>
            <w:r>
              <w:rPr>
                <w:rFonts w:hint="default" w:ascii="Times New Roman" w:hAnsi="Times New Roman" w:eastAsia="宋体" w:cs="Times New Roman"/>
                <w:color w:val="auto"/>
                <w:sz w:val="24"/>
                <w:szCs w:val="24"/>
              </w:rPr>
              <w:t>年产</w:t>
            </w:r>
            <w:r>
              <w:rPr>
                <w:rFonts w:hint="default" w:ascii="Times New Roman" w:hAnsi="Times New Roman" w:eastAsia="宋体" w:cs="Times New Roman"/>
                <w:color w:val="auto"/>
                <w:sz w:val="24"/>
                <w:szCs w:val="24"/>
                <w:lang w:val="en-US" w:eastAsia="zh-CN"/>
              </w:rPr>
              <w:t>6000</w:t>
            </w:r>
            <w:r>
              <w:rPr>
                <w:rFonts w:hint="default" w:ascii="Times New Roman" w:hAnsi="Times New Roman" w:eastAsia="宋体" w:cs="Times New Roman"/>
                <w:color w:val="auto"/>
                <w:sz w:val="24"/>
                <w:szCs w:val="24"/>
              </w:rPr>
              <w:t>万只塑料</w:t>
            </w:r>
            <w:r>
              <w:rPr>
                <w:rFonts w:hint="default" w:ascii="Times New Roman" w:hAnsi="Times New Roman" w:eastAsia="宋体" w:cs="Times New Roman"/>
                <w:color w:val="auto"/>
                <w:sz w:val="24"/>
                <w:szCs w:val="24"/>
                <w:lang w:val="en-US" w:eastAsia="zh-CN"/>
              </w:rPr>
              <w:t>瓶</w:t>
            </w:r>
            <w:r>
              <w:rPr>
                <w:rFonts w:hint="default" w:ascii="Times New Roman" w:hAnsi="Times New Roman" w:eastAsia="宋体" w:cs="Times New Roman"/>
                <w:color w:val="auto"/>
                <w:sz w:val="24"/>
                <w:szCs w:val="24"/>
                <w:lang w:eastAsia="zh-CN"/>
              </w:rPr>
              <w:t>项目</w:t>
            </w:r>
            <w:r>
              <w:rPr>
                <w:rFonts w:hint="eastAsia" w:eastAsia="宋体" w:cs="Times New Roman"/>
                <w:color w:val="auto"/>
                <w:sz w:val="24"/>
                <w:szCs w:val="24"/>
                <w:lang w:val="en-US" w:eastAsia="zh-CN"/>
              </w:rPr>
              <w:t>一期</w:t>
            </w:r>
            <w:r>
              <w:rPr>
                <w:rFonts w:hint="eastAsia" w:ascii="Times New Roman" w:hAnsi="Times New Roman" w:eastAsia="宋体" w:cs="宋体"/>
                <w:bCs/>
                <w:color w:val="auto"/>
                <w:sz w:val="24"/>
                <w:szCs w:val="24"/>
              </w:rPr>
              <w:t>产能为</w:t>
            </w:r>
            <w:r>
              <w:rPr>
                <w:rFonts w:hint="eastAsia" w:ascii="Times New Roman" w:hAnsi="Times New Roman" w:eastAsia="宋体" w:cs="宋体"/>
                <w:bCs/>
                <w:color w:val="auto"/>
                <w:sz w:val="24"/>
                <w:szCs w:val="24"/>
                <w:lang w:val="en-US" w:eastAsia="zh-CN"/>
              </w:rPr>
              <w:t>塑料瓶</w:t>
            </w:r>
            <w:r>
              <w:rPr>
                <w:rFonts w:hint="default" w:ascii="Times New Roman" w:hAnsi="Times New Roman" w:eastAsia="宋体" w:cs="Times New Roman"/>
                <w:color w:val="auto"/>
                <w:sz w:val="24"/>
                <w:szCs w:val="24"/>
                <w:lang w:val="en-US" w:eastAsia="zh-CN"/>
              </w:rPr>
              <w:t>6000</w:t>
            </w:r>
            <w:r>
              <w:rPr>
                <w:rFonts w:hint="default" w:ascii="Times New Roman" w:hAnsi="Times New Roman" w:eastAsia="宋体" w:cs="Times New Roman"/>
                <w:color w:val="auto"/>
                <w:sz w:val="24"/>
                <w:szCs w:val="24"/>
              </w:rPr>
              <w:t>万只</w:t>
            </w:r>
            <w:r>
              <w:rPr>
                <w:rFonts w:ascii="Times New Roman" w:hAnsi="Times New Roman" w:eastAsia="宋体" w:cs="宋体"/>
                <w:bCs/>
                <w:color w:val="auto"/>
                <w:sz w:val="24"/>
                <w:szCs w:val="24"/>
              </w:rPr>
              <w:t>/a</w:t>
            </w:r>
            <w:r>
              <w:rPr>
                <w:rFonts w:hint="eastAsia" w:ascii="Times New Roman" w:hAnsi="Times New Roman" w:eastAsia="宋体"/>
                <w:bCs/>
                <w:color w:val="auto"/>
                <w:sz w:val="24"/>
                <w:szCs w:val="24"/>
              </w:rPr>
              <w:t>，年工作天数为</w:t>
            </w:r>
            <w:r>
              <w:rPr>
                <w:rFonts w:hint="eastAsia" w:ascii="Times New Roman" w:hAnsi="Times New Roman" w:eastAsia="宋体"/>
                <w:bCs/>
                <w:color w:val="auto"/>
                <w:sz w:val="24"/>
                <w:szCs w:val="24"/>
                <w:lang w:val="en-US" w:eastAsia="zh-CN"/>
              </w:rPr>
              <w:t>300</w:t>
            </w:r>
            <w:r>
              <w:rPr>
                <w:rFonts w:hint="eastAsia" w:ascii="Times New Roman" w:hAnsi="Times New Roman" w:eastAsia="宋体"/>
                <w:bCs/>
                <w:color w:val="auto"/>
                <w:sz w:val="24"/>
                <w:szCs w:val="24"/>
              </w:rPr>
              <w:t>天</w:t>
            </w:r>
            <w:r>
              <w:rPr>
                <w:rFonts w:hint="eastAsia" w:ascii="Times New Roman" w:hAnsi="Times New Roman" w:eastAsia="宋体" w:cs="宋体"/>
                <w:color w:val="auto"/>
                <w:sz w:val="24"/>
                <w:szCs w:val="24"/>
              </w:rPr>
              <w:t>。</w:t>
            </w:r>
            <w:r>
              <w:rPr>
                <w:rFonts w:hint="eastAsia" w:ascii="Times New Roman" w:hAnsi="Times New Roman" w:eastAsia="宋体" w:cs="宋体"/>
                <w:bCs/>
                <w:color w:val="auto"/>
                <w:sz w:val="24"/>
                <w:szCs w:val="24"/>
              </w:rPr>
              <w:t>验收监测期间，主体工程调试工况稳定，各项环境保护设施运行正常，符合验收监测期间对生产工况的要求</w:t>
            </w:r>
            <w:r>
              <w:rPr>
                <w:rFonts w:ascii="Times New Roman" w:hAnsi="Times New Roman" w:eastAsia="宋体" w:cs="宋体"/>
                <w:bCs/>
                <w:color w:val="auto"/>
                <w:sz w:val="24"/>
                <w:szCs w:val="24"/>
              </w:rPr>
              <w:t>。</w:t>
            </w:r>
            <w:r>
              <w:rPr>
                <w:rFonts w:hint="eastAsia" w:ascii="Times New Roman" w:hAnsi="Times New Roman" w:eastAsia="宋体"/>
                <w:bCs/>
                <w:color w:val="auto"/>
                <w:sz w:val="24"/>
                <w:szCs w:val="24"/>
              </w:rPr>
              <w:t>生产运行工况见</w:t>
            </w:r>
            <w:r>
              <w:rPr>
                <w:rFonts w:ascii="Times New Roman" w:hAnsi="Times New Roman" w:eastAsia="宋体"/>
                <w:bCs/>
                <w:color w:val="auto"/>
                <w:sz w:val="24"/>
                <w:szCs w:val="24"/>
              </w:rPr>
              <w:t>下表。</w:t>
            </w:r>
          </w:p>
          <w:p w14:paraId="4F8B1CA5">
            <w:pPr>
              <w:spacing w:after="0" w:line="520" w:lineRule="exact"/>
              <w:ind w:firstLine="480" w:firstLineChars="200"/>
              <w:jc w:val="both"/>
              <w:textAlignment w:val="baseline"/>
              <w:rPr>
                <w:rFonts w:eastAsia="黑体"/>
                <w:color w:val="auto"/>
                <w:sz w:val="24"/>
                <w:szCs w:val="21"/>
              </w:rPr>
            </w:pPr>
            <w:r>
              <w:rPr>
                <w:rFonts w:eastAsia="黑体"/>
                <w:color w:val="auto"/>
                <w:sz w:val="24"/>
                <w:szCs w:val="21"/>
              </w:rPr>
              <w:t>表</w:t>
            </w:r>
            <w:r>
              <w:rPr>
                <w:rFonts w:hint="eastAsia" w:eastAsia="黑体"/>
                <w:color w:val="auto"/>
                <w:sz w:val="24"/>
                <w:szCs w:val="21"/>
              </w:rPr>
              <w:t>15</w:t>
            </w:r>
            <w:r>
              <w:rPr>
                <w:rFonts w:eastAsia="黑体"/>
                <w:color w:val="auto"/>
                <w:sz w:val="24"/>
                <w:szCs w:val="21"/>
              </w:rPr>
              <w:t xml:space="preserve">                检测期间生产运行工况表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24"/>
              <w:gridCol w:w="1482"/>
              <w:gridCol w:w="1850"/>
              <w:gridCol w:w="1638"/>
              <w:gridCol w:w="1112"/>
            </w:tblGrid>
            <w:tr w14:paraId="548F13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4" w:type="dxa"/>
                  <w:shd w:val="clear" w:color="auto" w:fill="auto"/>
                  <w:vAlign w:val="center"/>
                </w:tcPr>
                <w:p w14:paraId="1002C6D0">
                  <w:pPr>
                    <w:widowControl w:val="0"/>
                    <w:adjustRightInd/>
                    <w:snapToGrid/>
                    <w:spacing w:after="0"/>
                    <w:jc w:val="center"/>
                    <w:rPr>
                      <w:rFonts w:eastAsia="宋体"/>
                      <w:b/>
                      <w:color w:val="auto"/>
                      <w:spacing w:val="4"/>
                      <w:kern w:val="2"/>
                      <w:sz w:val="21"/>
                      <w:szCs w:val="21"/>
                    </w:rPr>
                  </w:pPr>
                  <w:r>
                    <w:rPr>
                      <w:rFonts w:eastAsia="宋体"/>
                      <w:b/>
                      <w:color w:val="auto"/>
                      <w:spacing w:val="4"/>
                      <w:kern w:val="2"/>
                      <w:sz w:val="21"/>
                      <w:szCs w:val="21"/>
                    </w:rPr>
                    <w:t>检测时间</w:t>
                  </w:r>
                </w:p>
              </w:tc>
              <w:tc>
                <w:tcPr>
                  <w:tcW w:w="1482" w:type="dxa"/>
                  <w:shd w:val="clear" w:color="auto" w:fill="auto"/>
                  <w:vAlign w:val="center"/>
                </w:tcPr>
                <w:p w14:paraId="5591CEC3">
                  <w:pPr>
                    <w:widowControl w:val="0"/>
                    <w:adjustRightInd/>
                    <w:snapToGrid/>
                    <w:spacing w:after="0"/>
                    <w:jc w:val="center"/>
                    <w:rPr>
                      <w:rFonts w:eastAsia="宋体"/>
                      <w:b/>
                      <w:color w:val="auto"/>
                      <w:spacing w:val="4"/>
                      <w:kern w:val="2"/>
                      <w:sz w:val="21"/>
                      <w:szCs w:val="21"/>
                    </w:rPr>
                  </w:pPr>
                  <w:r>
                    <w:rPr>
                      <w:rFonts w:eastAsia="宋体"/>
                      <w:b/>
                      <w:color w:val="auto"/>
                      <w:spacing w:val="4"/>
                      <w:kern w:val="2"/>
                      <w:sz w:val="21"/>
                      <w:szCs w:val="21"/>
                    </w:rPr>
                    <w:t>产品名称</w:t>
                  </w:r>
                </w:p>
              </w:tc>
              <w:tc>
                <w:tcPr>
                  <w:tcW w:w="1850" w:type="dxa"/>
                  <w:shd w:val="clear" w:color="auto" w:fill="auto"/>
                  <w:vAlign w:val="center"/>
                </w:tcPr>
                <w:p w14:paraId="55B5E754">
                  <w:pPr>
                    <w:pStyle w:val="71"/>
                    <w:spacing w:after="0"/>
                    <w:ind w:left="0" w:leftChars="0" w:firstLine="0" w:firstLineChars="0"/>
                    <w:jc w:val="center"/>
                    <w:rPr>
                      <w:rFonts w:eastAsia="宋体"/>
                      <w:b/>
                      <w:color w:val="auto"/>
                      <w:spacing w:val="4"/>
                      <w:kern w:val="2"/>
                      <w:sz w:val="21"/>
                      <w:szCs w:val="21"/>
                    </w:rPr>
                  </w:pPr>
                  <w:r>
                    <w:rPr>
                      <w:rFonts w:ascii="Times New Roman" w:hAnsi="Times New Roman" w:eastAsia="宋体"/>
                      <w:b/>
                      <w:color w:val="auto"/>
                      <w:sz w:val="21"/>
                      <w:szCs w:val="21"/>
                    </w:rPr>
                    <w:t>设计</w:t>
                  </w:r>
                  <w:r>
                    <w:rPr>
                      <w:rFonts w:hint="eastAsia" w:ascii="Times New Roman" w:hAnsi="Times New Roman" w:eastAsia="宋体"/>
                      <w:b/>
                      <w:color w:val="auto"/>
                      <w:sz w:val="21"/>
                      <w:szCs w:val="21"/>
                    </w:rPr>
                    <w:t>产量</w:t>
                  </w:r>
                </w:p>
              </w:tc>
              <w:tc>
                <w:tcPr>
                  <w:tcW w:w="1638" w:type="dxa"/>
                  <w:shd w:val="clear" w:color="auto" w:fill="auto"/>
                  <w:vAlign w:val="center"/>
                </w:tcPr>
                <w:p w14:paraId="3E786F36">
                  <w:pPr>
                    <w:pStyle w:val="71"/>
                    <w:spacing w:after="0"/>
                    <w:ind w:left="0" w:leftChars="0" w:firstLine="0" w:firstLineChars="0"/>
                    <w:jc w:val="center"/>
                    <w:rPr>
                      <w:rFonts w:eastAsia="宋体"/>
                      <w:b/>
                      <w:color w:val="auto"/>
                      <w:spacing w:val="4"/>
                      <w:kern w:val="2"/>
                      <w:sz w:val="21"/>
                      <w:szCs w:val="21"/>
                    </w:rPr>
                  </w:pPr>
                  <w:r>
                    <w:rPr>
                      <w:rFonts w:ascii="Times New Roman" w:hAnsi="Times New Roman" w:eastAsia="宋体"/>
                      <w:b/>
                      <w:color w:val="auto"/>
                      <w:sz w:val="21"/>
                      <w:szCs w:val="21"/>
                    </w:rPr>
                    <w:t>实际</w:t>
                  </w:r>
                  <w:r>
                    <w:rPr>
                      <w:rFonts w:hint="eastAsia" w:ascii="Times New Roman" w:hAnsi="Times New Roman" w:eastAsia="宋体"/>
                      <w:b/>
                      <w:color w:val="auto"/>
                      <w:sz w:val="21"/>
                      <w:szCs w:val="21"/>
                    </w:rPr>
                    <w:t>产量</w:t>
                  </w:r>
                </w:p>
              </w:tc>
              <w:tc>
                <w:tcPr>
                  <w:tcW w:w="1112" w:type="dxa"/>
                  <w:shd w:val="clear" w:color="auto" w:fill="auto"/>
                  <w:vAlign w:val="center"/>
                </w:tcPr>
                <w:p w14:paraId="2D4F4176">
                  <w:pPr>
                    <w:widowControl w:val="0"/>
                    <w:adjustRightInd/>
                    <w:snapToGrid/>
                    <w:spacing w:after="0"/>
                    <w:jc w:val="center"/>
                    <w:rPr>
                      <w:rFonts w:eastAsia="宋体"/>
                      <w:b/>
                      <w:color w:val="auto"/>
                      <w:spacing w:val="4"/>
                      <w:kern w:val="2"/>
                      <w:sz w:val="21"/>
                      <w:szCs w:val="21"/>
                      <w:highlight w:val="none"/>
                    </w:rPr>
                  </w:pPr>
                  <w:r>
                    <w:rPr>
                      <w:rFonts w:eastAsia="宋体"/>
                      <w:b/>
                      <w:color w:val="auto"/>
                      <w:spacing w:val="4"/>
                      <w:kern w:val="2"/>
                      <w:sz w:val="21"/>
                      <w:szCs w:val="21"/>
                      <w:highlight w:val="none"/>
                    </w:rPr>
                    <w:t>运行负荷</w:t>
                  </w:r>
                </w:p>
              </w:tc>
            </w:tr>
            <w:tr w14:paraId="449DE1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4" w:type="dxa"/>
                  <w:shd w:val="clear" w:color="auto" w:fill="auto"/>
                  <w:vAlign w:val="center"/>
                </w:tcPr>
                <w:p w14:paraId="0FE6221D">
                  <w:pPr>
                    <w:widowControl w:val="0"/>
                    <w:adjustRightInd/>
                    <w:snapToGrid/>
                    <w:spacing w:after="0"/>
                    <w:jc w:val="center"/>
                    <w:rPr>
                      <w:rFonts w:hint="default" w:eastAsia="宋体"/>
                      <w:bCs/>
                      <w:color w:val="auto"/>
                      <w:spacing w:val="4"/>
                      <w:kern w:val="2"/>
                      <w:sz w:val="21"/>
                      <w:szCs w:val="21"/>
                      <w:lang w:val="en-US"/>
                    </w:rPr>
                  </w:pPr>
                  <w:r>
                    <w:rPr>
                      <w:rFonts w:hint="eastAsia" w:ascii="Times New Roman" w:hAnsi="Times New Roman" w:cs="Times New Roman"/>
                      <w:color w:val="auto"/>
                      <w:sz w:val="21"/>
                      <w:szCs w:val="21"/>
                      <w:lang w:val="en-US" w:eastAsia="zh-CN"/>
                    </w:rPr>
                    <w:t>2026.0</w:t>
                  </w:r>
                  <w:r>
                    <w:rPr>
                      <w:rFonts w:hint="eastAsia" w:cs="Times New Roman"/>
                      <w:color w:val="auto"/>
                      <w:sz w:val="21"/>
                      <w:szCs w:val="21"/>
                      <w:lang w:val="en-US" w:eastAsia="zh-CN"/>
                    </w:rPr>
                    <w:t>5</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22</w:t>
                  </w:r>
                </w:p>
              </w:tc>
              <w:tc>
                <w:tcPr>
                  <w:tcW w:w="1482" w:type="dxa"/>
                  <w:shd w:val="clear" w:color="auto" w:fill="auto"/>
                  <w:vAlign w:val="center"/>
                </w:tcPr>
                <w:p w14:paraId="0AB771C7">
                  <w:pPr>
                    <w:widowControl w:val="0"/>
                    <w:adjustRightInd/>
                    <w:snapToGrid/>
                    <w:spacing w:after="0"/>
                    <w:jc w:val="center"/>
                    <w:rPr>
                      <w:rFonts w:hint="eastAsia" w:eastAsia="宋体"/>
                      <w:bCs/>
                      <w:color w:val="auto"/>
                      <w:spacing w:val="4"/>
                      <w:kern w:val="2"/>
                      <w:sz w:val="21"/>
                      <w:szCs w:val="21"/>
                      <w:lang w:val="en-US" w:eastAsia="zh-CN"/>
                    </w:rPr>
                  </w:pPr>
                  <w:r>
                    <w:rPr>
                      <w:rFonts w:hint="eastAsia" w:eastAsia="宋体"/>
                      <w:bCs/>
                      <w:color w:val="auto"/>
                      <w:spacing w:val="4"/>
                      <w:kern w:val="2"/>
                      <w:sz w:val="21"/>
                      <w:szCs w:val="21"/>
                    </w:rPr>
                    <w:t>塑料</w:t>
                  </w:r>
                  <w:r>
                    <w:rPr>
                      <w:rFonts w:hint="eastAsia" w:eastAsia="宋体"/>
                      <w:bCs/>
                      <w:color w:val="auto"/>
                      <w:spacing w:val="4"/>
                      <w:kern w:val="2"/>
                      <w:sz w:val="21"/>
                      <w:szCs w:val="21"/>
                      <w:lang w:val="en-US" w:eastAsia="zh-CN"/>
                    </w:rPr>
                    <w:t>瓶</w:t>
                  </w:r>
                </w:p>
              </w:tc>
              <w:tc>
                <w:tcPr>
                  <w:tcW w:w="1850" w:type="dxa"/>
                  <w:shd w:val="clear" w:color="auto" w:fill="auto"/>
                  <w:vAlign w:val="center"/>
                </w:tcPr>
                <w:p w14:paraId="3A949E75">
                  <w:pPr>
                    <w:widowControl w:val="0"/>
                    <w:adjustRightInd/>
                    <w:snapToGrid/>
                    <w:spacing w:after="0"/>
                    <w:jc w:val="center"/>
                    <w:rPr>
                      <w:rFonts w:eastAsia="宋体"/>
                      <w:bCs/>
                      <w:color w:val="auto"/>
                      <w:spacing w:val="4"/>
                      <w:kern w:val="2"/>
                      <w:sz w:val="21"/>
                      <w:szCs w:val="21"/>
                    </w:rPr>
                  </w:pPr>
                  <w:r>
                    <w:rPr>
                      <w:rFonts w:hint="eastAsia" w:eastAsia="宋体"/>
                      <w:bCs/>
                      <w:color w:val="auto"/>
                      <w:spacing w:val="4"/>
                      <w:kern w:val="2"/>
                      <w:sz w:val="21"/>
                      <w:szCs w:val="21"/>
                      <w:lang w:val="en-US" w:eastAsia="zh-CN"/>
                    </w:rPr>
                    <w:t>20万</w:t>
                  </w:r>
                  <w:r>
                    <w:rPr>
                      <w:rFonts w:hint="eastAsia" w:eastAsia="宋体"/>
                      <w:bCs/>
                      <w:color w:val="auto"/>
                      <w:spacing w:val="4"/>
                      <w:kern w:val="2"/>
                      <w:sz w:val="21"/>
                      <w:szCs w:val="21"/>
                    </w:rPr>
                    <w:t>只</w:t>
                  </w:r>
                  <w:r>
                    <w:rPr>
                      <w:rFonts w:eastAsia="宋体"/>
                      <w:bCs/>
                      <w:color w:val="auto"/>
                      <w:spacing w:val="4"/>
                      <w:kern w:val="2"/>
                      <w:sz w:val="21"/>
                      <w:szCs w:val="21"/>
                    </w:rPr>
                    <w:t>/天</w:t>
                  </w:r>
                </w:p>
              </w:tc>
              <w:tc>
                <w:tcPr>
                  <w:tcW w:w="1638" w:type="dxa"/>
                  <w:shd w:val="clear" w:color="auto" w:fill="auto"/>
                  <w:vAlign w:val="center"/>
                </w:tcPr>
                <w:p w14:paraId="728FCD10">
                  <w:pPr>
                    <w:widowControl w:val="0"/>
                    <w:adjustRightInd/>
                    <w:snapToGrid/>
                    <w:spacing w:after="0"/>
                    <w:jc w:val="center"/>
                    <w:rPr>
                      <w:rFonts w:eastAsia="宋体"/>
                      <w:bCs/>
                      <w:color w:val="auto"/>
                      <w:spacing w:val="4"/>
                      <w:kern w:val="2"/>
                      <w:sz w:val="21"/>
                      <w:szCs w:val="21"/>
                      <w:highlight w:val="none"/>
                    </w:rPr>
                  </w:pPr>
                  <w:r>
                    <w:rPr>
                      <w:rFonts w:hint="eastAsia" w:eastAsia="宋体"/>
                      <w:bCs/>
                      <w:color w:val="auto"/>
                      <w:spacing w:val="4"/>
                      <w:kern w:val="2"/>
                      <w:sz w:val="21"/>
                      <w:szCs w:val="21"/>
                      <w:highlight w:val="none"/>
                      <w:lang w:val="en-US" w:eastAsia="zh-CN"/>
                    </w:rPr>
                    <w:t>18.4万</w:t>
                  </w:r>
                  <w:r>
                    <w:rPr>
                      <w:rFonts w:hint="eastAsia" w:eastAsia="宋体"/>
                      <w:bCs/>
                      <w:color w:val="auto"/>
                      <w:spacing w:val="4"/>
                      <w:kern w:val="2"/>
                      <w:sz w:val="21"/>
                      <w:szCs w:val="21"/>
                      <w:highlight w:val="none"/>
                    </w:rPr>
                    <w:t>只</w:t>
                  </w:r>
                  <w:r>
                    <w:rPr>
                      <w:rFonts w:eastAsia="宋体"/>
                      <w:bCs/>
                      <w:color w:val="auto"/>
                      <w:spacing w:val="4"/>
                      <w:kern w:val="2"/>
                      <w:sz w:val="21"/>
                      <w:szCs w:val="21"/>
                      <w:highlight w:val="none"/>
                    </w:rPr>
                    <w:t>/天</w:t>
                  </w:r>
                </w:p>
              </w:tc>
              <w:tc>
                <w:tcPr>
                  <w:tcW w:w="1112" w:type="dxa"/>
                  <w:shd w:val="clear" w:color="auto" w:fill="auto"/>
                  <w:vAlign w:val="center"/>
                </w:tcPr>
                <w:p w14:paraId="11BAC17F">
                  <w:pPr>
                    <w:widowControl w:val="0"/>
                    <w:adjustRightInd/>
                    <w:snapToGrid/>
                    <w:spacing w:after="0"/>
                    <w:jc w:val="center"/>
                    <w:rPr>
                      <w:rFonts w:eastAsia="宋体"/>
                      <w:bCs/>
                      <w:color w:val="auto"/>
                      <w:spacing w:val="4"/>
                      <w:kern w:val="2"/>
                      <w:sz w:val="21"/>
                      <w:szCs w:val="21"/>
                      <w:highlight w:val="none"/>
                    </w:rPr>
                  </w:pPr>
                  <w:r>
                    <w:rPr>
                      <w:rFonts w:hint="eastAsia" w:eastAsia="宋体"/>
                      <w:bCs/>
                      <w:color w:val="auto"/>
                      <w:spacing w:val="4"/>
                      <w:kern w:val="2"/>
                      <w:sz w:val="21"/>
                      <w:szCs w:val="21"/>
                      <w:highlight w:val="none"/>
                      <w:lang w:val="en-US" w:eastAsia="zh-CN"/>
                    </w:rPr>
                    <w:t>92</w:t>
                  </w:r>
                  <w:r>
                    <w:rPr>
                      <w:rFonts w:eastAsia="宋体"/>
                      <w:bCs/>
                      <w:color w:val="auto"/>
                      <w:spacing w:val="4"/>
                      <w:kern w:val="2"/>
                      <w:sz w:val="21"/>
                      <w:szCs w:val="21"/>
                      <w:highlight w:val="none"/>
                    </w:rPr>
                    <w:t>%</w:t>
                  </w:r>
                </w:p>
              </w:tc>
            </w:tr>
            <w:tr w14:paraId="1757A1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4" w:type="dxa"/>
                  <w:shd w:val="clear" w:color="auto" w:fill="auto"/>
                  <w:vAlign w:val="center"/>
                </w:tcPr>
                <w:p w14:paraId="77D381F6">
                  <w:pPr>
                    <w:widowControl w:val="0"/>
                    <w:adjustRightInd/>
                    <w:snapToGrid/>
                    <w:spacing w:after="0"/>
                    <w:jc w:val="center"/>
                    <w:rPr>
                      <w:rFonts w:hint="default" w:eastAsia="宋体"/>
                      <w:bCs/>
                      <w:color w:val="auto"/>
                      <w:spacing w:val="4"/>
                      <w:kern w:val="2"/>
                      <w:sz w:val="21"/>
                      <w:szCs w:val="21"/>
                      <w:lang w:val="en-US"/>
                    </w:rPr>
                  </w:pPr>
                  <w:r>
                    <w:rPr>
                      <w:rFonts w:hint="eastAsia" w:ascii="Times New Roman" w:hAnsi="Times New Roman" w:cs="Times New Roman"/>
                      <w:color w:val="auto"/>
                      <w:sz w:val="21"/>
                      <w:szCs w:val="21"/>
                      <w:lang w:val="en-US" w:eastAsia="zh-CN"/>
                    </w:rPr>
                    <w:t>2026.0</w:t>
                  </w:r>
                  <w:r>
                    <w:rPr>
                      <w:rFonts w:hint="eastAsia" w:cs="Times New Roman"/>
                      <w:color w:val="auto"/>
                      <w:sz w:val="21"/>
                      <w:szCs w:val="21"/>
                      <w:lang w:val="en-US" w:eastAsia="zh-CN"/>
                    </w:rPr>
                    <w:t>5</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23</w:t>
                  </w:r>
                </w:p>
              </w:tc>
              <w:tc>
                <w:tcPr>
                  <w:tcW w:w="1482" w:type="dxa"/>
                  <w:shd w:val="clear" w:color="auto" w:fill="auto"/>
                  <w:vAlign w:val="center"/>
                </w:tcPr>
                <w:p w14:paraId="082DB0AF">
                  <w:pPr>
                    <w:widowControl w:val="0"/>
                    <w:adjustRightInd/>
                    <w:snapToGrid/>
                    <w:spacing w:after="0"/>
                    <w:jc w:val="center"/>
                    <w:rPr>
                      <w:rFonts w:eastAsia="宋体"/>
                      <w:bCs/>
                      <w:color w:val="auto"/>
                      <w:spacing w:val="4"/>
                      <w:kern w:val="2"/>
                      <w:sz w:val="21"/>
                      <w:szCs w:val="21"/>
                    </w:rPr>
                  </w:pPr>
                  <w:r>
                    <w:rPr>
                      <w:rFonts w:hint="eastAsia" w:eastAsia="宋体"/>
                      <w:bCs/>
                      <w:color w:val="auto"/>
                      <w:spacing w:val="4"/>
                      <w:kern w:val="2"/>
                      <w:sz w:val="21"/>
                      <w:szCs w:val="21"/>
                    </w:rPr>
                    <w:t>塑料</w:t>
                  </w:r>
                  <w:r>
                    <w:rPr>
                      <w:rFonts w:hint="eastAsia" w:eastAsia="宋体"/>
                      <w:bCs/>
                      <w:color w:val="auto"/>
                      <w:spacing w:val="4"/>
                      <w:kern w:val="2"/>
                      <w:sz w:val="21"/>
                      <w:szCs w:val="21"/>
                      <w:lang w:val="en-US" w:eastAsia="zh-CN"/>
                    </w:rPr>
                    <w:t>瓶</w:t>
                  </w:r>
                </w:p>
              </w:tc>
              <w:tc>
                <w:tcPr>
                  <w:tcW w:w="1850" w:type="dxa"/>
                  <w:shd w:val="clear" w:color="auto" w:fill="auto"/>
                  <w:vAlign w:val="center"/>
                </w:tcPr>
                <w:p w14:paraId="5BDFD5DB">
                  <w:pPr>
                    <w:widowControl w:val="0"/>
                    <w:adjustRightInd/>
                    <w:snapToGrid/>
                    <w:spacing w:after="0"/>
                    <w:jc w:val="center"/>
                    <w:rPr>
                      <w:rFonts w:eastAsia="宋体"/>
                      <w:bCs/>
                      <w:color w:val="auto"/>
                      <w:spacing w:val="4"/>
                      <w:kern w:val="2"/>
                      <w:sz w:val="21"/>
                      <w:szCs w:val="21"/>
                    </w:rPr>
                  </w:pPr>
                  <w:r>
                    <w:rPr>
                      <w:rFonts w:hint="eastAsia" w:eastAsia="宋体"/>
                      <w:bCs/>
                      <w:color w:val="auto"/>
                      <w:spacing w:val="4"/>
                      <w:kern w:val="2"/>
                      <w:sz w:val="21"/>
                      <w:szCs w:val="21"/>
                      <w:lang w:val="en-US" w:eastAsia="zh-CN"/>
                    </w:rPr>
                    <w:t>20万</w:t>
                  </w:r>
                  <w:r>
                    <w:rPr>
                      <w:rFonts w:hint="eastAsia" w:eastAsia="宋体"/>
                      <w:bCs/>
                      <w:color w:val="auto"/>
                      <w:spacing w:val="4"/>
                      <w:kern w:val="2"/>
                      <w:sz w:val="21"/>
                      <w:szCs w:val="21"/>
                    </w:rPr>
                    <w:t>只</w:t>
                  </w:r>
                  <w:r>
                    <w:rPr>
                      <w:rFonts w:eastAsia="宋体"/>
                      <w:bCs/>
                      <w:color w:val="auto"/>
                      <w:spacing w:val="4"/>
                      <w:kern w:val="2"/>
                      <w:sz w:val="21"/>
                      <w:szCs w:val="21"/>
                    </w:rPr>
                    <w:t>/天</w:t>
                  </w:r>
                </w:p>
              </w:tc>
              <w:tc>
                <w:tcPr>
                  <w:tcW w:w="1638" w:type="dxa"/>
                  <w:shd w:val="clear" w:color="auto" w:fill="auto"/>
                  <w:vAlign w:val="center"/>
                </w:tcPr>
                <w:p w14:paraId="351C19D0">
                  <w:pPr>
                    <w:widowControl w:val="0"/>
                    <w:adjustRightInd/>
                    <w:snapToGrid/>
                    <w:spacing w:after="0"/>
                    <w:jc w:val="center"/>
                    <w:rPr>
                      <w:rFonts w:eastAsia="宋体"/>
                      <w:bCs/>
                      <w:color w:val="auto"/>
                      <w:spacing w:val="4"/>
                      <w:kern w:val="2"/>
                      <w:sz w:val="21"/>
                      <w:szCs w:val="21"/>
                      <w:highlight w:val="none"/>
                    </w:rPr>
                  </w:pPr>
                  <w:r>
                    <w:rPr>
                      <w:rFonts w:hint="eastAsia" w:eastAsia="宋体"/>
                      <w:bCs/>
                      <w:color w:val="auto"/>
                      <w:spacing w:val="4"/>
                      <w:kern w:val="2"/>
                      <w:sz w:val="21"/>
                      <w:szCs w:val="21"/>
                      <w:highlight w:val="none"/>
                      <w:lang w:val="en-US" w:eastAsia="zh-CN"/>
                    </w:rPr>
                    <w:t>18万</w:t>
                  </w:r>
                  <w:r>
                    <w:rPr>
                      <w:rFonts w:hint="eastAsia" w:eastAsia="宋体"/>
                      <w:bCs/>
                      <w:color w:val="auto"/>
                      <w:spacing w:val="4"/>
                      <w:kern w:val="2"/>
                      <w:sz w:val="21"/>
                      <w:szCs w:val="21"/>
                      <w:highlight w:val="none"/>
                    </w:rPr>
                    <w:t>只</w:t>
                  </w:r>
                  <w:r>
                    <w:rPr>
                      <w:rFonts w:eastAsia="宋体"/>
                      <w:bCs/>
                      <w:color w:val="auto"/>
                      <w:spacing w:val="4"/>
                      <w:kern w:val="2"/>
                      <w:sz w:val="21"/>
                      <w:szCs w:val="21"/>
                      <w:highlight w:val="none"/>
                    </w:rPr>
                    <w:t>/天</w:t>
                  </w:r>
                </w:p>
              </w:tc>
              <w:tc>
                <w:tcPr>
                  <w:tcW w:w="1112" w:type="dxa"/>
                  <w:shd w:val="clear" w:color="auto" w:fill="auto"/>
                  <w:vAlign w:val="center"/>
                </w:tcPr>
                <w:p w14:paraId="1216FF95">
                  <w:pPr>
                    <w:widowControl w:val="0"/>
                    <w:adjustRightInd/>
                    <w:snapToGrid/>
                    <w:spacing w:after="0"/>
                    <w:jc w:val="center"/>
                    <w:rPr>
                      <w:rFonts w:eastAsia="宋体"/>
                      <w:bCs/>
                      <w:color w:val="auto"/>
                      <w:spacing w:val="4"/>
                      <w:kern w:val="2"/>
                      <w:sz w:val="21"/>
                      <w:szCs w:val="21"/>
                      <w:highlight w:val="none"/>
                    </w:rPr>
                  </w:pPr>
                  <w:r>
                    <w:rPr>
                      <w:rFonts w:hint="eastAsia" w:eastAsia="宋体"/>
                      <w:bCs/>
                      <w:color w:val="auto"/>
                      <w:spacing w:val="4"/>
                      <w:kern w:val="2"/>
                      <w:sz w:val="21"/>
                      <w:szCs w:val="21"/>
                      <w:highlight w:val="none"/>
                      <w:lang w:val="en-US" w:eastAsia="zh-CN"/>
                    </w:rPr>
                    <w:t>90</w:t>
                  </w:r>
                  <w:r>
                    <w:rPr>
                      <w:rFonts w:eastAsia="宋体"/>
                      <w:bCs/>
                      <w:color w:val="auto"/>
                      <w:spacing w:val="4"/>
                      <w:kern w:val="2"/>
                      <w:sz w:val="21"/>
                      <w:szCs w:val="21"/>
                      <w:highlight w:val="none"/>
                    </w:rPr>
                    <w:t>%</w:t>
                  </w:r>
                </w:p>
              </w:tc>
            </w:tr>
            <w:tr w14:paraId="376E0F0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06" w:type="dxa"/>
                  <w:gridSpan w:val="5"/>
                  <w:vAlign w:val="center"/>
                </w:tcPr>
                <w:p w14:paraId="17D73DE4">
                  <w:pPr>
                    <w:widowControl w:val="0"/>
                    <w:adjustRightInd/>
                    <w:snapToGrid/>
                    <w:spacing w:after="0"/>
                    <w:jc w:val="center"/>
                    <w:rPr>
                      <w:rFonts w:eastAsia="宋体"/>
                      <w:bCs/>
                      <w:color w:val="auto"/>
                      <w:spacing w:val="4"/>
                      <w:kern w:val="2"/>
                      <w:sz w:val="21"/>
                      <w:szCs w:val="21"/>
                      <w:highlight w:val="yellow"/>
                    </w:rPr>
                  </w:pPr>
                  <w:r>
                    <w:rPr>
                      <w:rFonts w:eastAsia="宋体"/>
                      <w:bCs/>
                      <w:color w:val="auto"/>
                      <w:spacing w:val="4"/>
                      <w:kern w:val="2"/>
                      <w:sz w:val="21"/>
                      <w:szCs w:val="21"/>
                    </w:rPr>
                    <w:t>备注：生产负荷由</w:t>
                  </w:r>
                  <w:r>
                    <w:rPr>
                      <w:rFonts w:hint="default" w:ascii="Times New Roman" w:hAnsi="Times New Roman" w:eastAsia="宋体" w:cs="Times New Roman"/>
                      <w:color w:val="auto"/>
                      <w:sz w:val="21"/>
                      <w:szCs w:val="21"/>
                      <w:lang w:eastAsia="zh-CN"/>
                    </w:rPr>
                    <w:t>河南</w:t>
                  </w:r>
                  <w:r>
                    <w:rPr>
                      <w:rFonts w:hint="default" w:ascii="Times New Roman" w:hAnsi="Times New Roman" w:eastAsia="宋体" w:cs="Times New Roman"/>
                      <w:color w:val="auto"/>
                      <w:sz w:val="21"/>
                      <w:szCs w:val="21"/>
                      <w:lang w:val="en-US" w:eastAsia="zh-CN"/>
                    </w:rPr>
                    <w:t>省养乐奇生物科技有限责任公司</w:t>
                  </w:r>
                  <w:r>
                    <w:rPr>
                      <w:rFonts w:eastAsia="宋体"/>
                      <w:bCs/>
                      <w:color w:val="auto"/>
                      <w:spacing w:val="4"/>
                      <w:kern w:val="2"/>
                      <w:sz w:val="21"/>
                      <w:szCs w:val="21"/>
                    </w:rPr>
                    <w:t>提供。</w:t>
                  </w:r>
                </w:p>
              </w:tc>
            </w:tr>
          </w:tbl>
          <w:p w14:paraId="5C0A478F">
            <w:pPr>
              <w:spacing w:after="0" w:line="460" w:lineRule="exact"/>
              <w:ind w:firstLine="480" w:firstLineChars="200"/>
              <w:jc w:val="both"/>
              <w:textAlignment w:val="baseline"/>
              <w:rPr>
                <w:rFonts w:eastAsia="宋体"/>
                <w:bCs/>
                <w:color w:val="auto"/>
                <w:sz w:val="24"/>
                <w:szCs w:val="24"/>
                <w:highlight w:val="yellow"/>
              </w:rPr>
            </w:pPr>
          </w:p>
        </w:tc>
      </w:tr>
      <w:tr w14:paraId="19BA4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4" w:type="dxa"/>
            <w:vAlign w:val="center"/>
          </w:tcPr>
          <w:p w14:paraId="71EE77DA">
            <w:pPr>
              <w:spacing w:after="0" w:line="520" w:lineRule="exact"/>
              <w:textAlignment w:val="baseline"/>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验收监测结果：</w:t>
            </w:r>
          </w:p>
          <w:p w14:paraId="6478E918">
            <w:pPr>
              <w:spacing w:after="0" w:line="440" w:lineRule="exact"/>
              <w:jc w:val="both"/>
              <w:textAlignment w:val="baseline"/>
              <w:rPr>
                <w:rFonts w:eastAsia="宋体"/>
                <w:b/>
                <w:bCs/>
                <w:color w:val="auto"/>
                <w:sz w:val="24"/>
                <w:szCs w:val="24"/>
              </w:rPr>
            </w:pPr>
            <w:bookmarkStart w:id="13" w:name="_Toc504492853"/>
            <w:bookmarkStart w:id="14" w:name="_Toc501703555"/>
            <w:r>
              <w:rPr>
                <w:rFonts w:eastAsia="宋体"/>
                <w:b/>
                <w:bCs/>
                <w:color w:val="auto"/>
                <w:sz w:val="24"/>
                <w:szCs w:val="24"/>
              </w:rPr>
              <w:t>一、</w:t>
            </w:r>
            <w:bookmarkEnd w:id="13"/>
            <w:bookmarkEnd w:id="14"/>
            <w:r>
              <w:rPr>
                <w:rFonts w:eastAsia="宋体"/>
                <w:b/>
                <w:bCs/>
                <w:color w:val="auto"/>
                <w:sz w:val="24"/>
                <w:szCs w:val="24"/>
              </w:rPr>
              <w:t>环境保护设施调试效果</w:t>
            </w:r>
          </w:p>
          <w:p w14:paraId="0D932426">
            <w:pPr>
              <w:spacing w:after="0" w:line="460" w:lineRule="exact"/>
              <w:ind w:firstLine="482" w:firstLineChars="200"/>
              <w:jc w:val="both"/>
              <w:textAlignment w:val="baseline"/>
              <w:rPr>
                <w:rFonts w:eastAsia="宋体"/>
                <w:b/>
                <w:bCs/>
                <w:color w:val="auto"/>
                <w:sz w:val="24"/>
                <w:szCs w:val="24"/>
              </w:rPr>
            </w:pPr>
            <w:bookmarkStart w:id="15" w:name="_Toc502673723"/>
            <w:bookmarkStart w:id="16" w:name="_Toc515972416"/>
            <w:bookmarkStart w:id="17" w:name="_Toc504492856"/>
            <w:r>
              <w:rPr>
                <w:rFonts w:eastAsia="宋体"/>
                <w:b/>
                <w:bCs/>
                <w:color w:val="auto"/>
                <w:sz w:val="24"/>
                <w:szCs w:val="24"/>
              </w:rPr>
              <w:t>1、污染物达标排放监测结果</w:t>
            </w:r>
          </w:p>
          <w:p w14:paraId="036CAC4F">
            <w:pPr>
              <w:spacing w:after="0" w:line="460" w:lineRule="exact"/>
              <w:ind w:firstLine="482" w:firstLineChars="200"/>
              <w:jc w:val="both"/>
              <w:rPr>
                <w:rFonts w:hint="eastAsia" w:eastAsia="宋体"/>
                <w:b/>
                <w:bCs/>
                <w:color w:val="auto"/>
                <w:sz w:val="24"/>
                <w:szCs w:val="24"/>
                <w:lang w:eastAsia="zh-CN"/>
              </w:rPr>
            </w:pPr>
            <w:r>
              <w:rPr>
                <w:rFonts w:eastAsia="宋体"/>
                <w:b/>
                <w:bCs/>
                <w:color w:val="auto"/>
                <w:sz w:val="24"/>
                <w:szCs w:val="24"/>
              </w:rPr>
              <w:t>（</w:t>
            </w:r>
            <w:r>
              <w:rPr>
                <w:rFonts w:hint="eastAsia" w:eastAsia="宋体"/>
                <w:b/>
                <w:bCs/>
                <w:color w:val="auto"/>
                <w:sz w:val="24"/>
                <w:szCs w:val="24"/>
                <w:lang w:val="en-US" w:eastAsia="zh-CN"/>
              </w:rPr>
              <w:t>1</w:t>
            </w:r>
            <w:r>
              <w:rPr>
                <w:rFonts w:eastAsia="宋体"/>
                <w:b/>
                <w:bCs/>
                <w:color w:val="auto"/>
                <w:sz w:val="24"/>
                <w:szCs w:val="24"/>
              </w:rPr>
              <w:t>）废</w:t>
            </w:r>
            <w:r>
              <w:rPr>
                <w:rFonts w:hint="eastAsia" w:eastAsia="宋体"/>
                <w:b/>
                <w:bCs/>
                <w:color w:val="auto"/>
                <w:sz w:val="24"/>
                <w:szCs w:val="24"/>
                <w:lang w:val="en-US" w:eastAsia="zh-CN"/>
              </w:rPr>
              <w:t>水</w:t>
            </w:r>
          </w:p>
          <w:p w14:paraId="6E8FB404">
            <w:pPr>
              <w:spacing w:after="0" w:line="460" w:lineRule="exact"/>
              <w:ind w:firstLine="480" w:firstLineChars="200"/>
              <w:jc w:val="both"/>
              <w:rPr>
                <w:rFonts w:hint="eastAsia" w:ascii="Times New Roman" w:hAnsi="Times New Roman" w:eastAsia="宋体" w:cs="Times New Roman"/>
                <w:color w:val="auto"/>
                <w:kern w:val="2"/>
                <w:sz w:val="24"/>
                <w:szCs w:val="20"/>
                <w:lang w:val="en-US" w:eastAsia="zh-CN"/>
              </w:rPr>
            </w:pPr>
            <w:r>
              <w:rPr>
                <w:rFonts w:hint="eastAsia" w:ascii="Times New Roman" w:hAnsi="Times New Roman" w:eastAsia="宋体" w:cs="Times New Roman"/>
                <w:color w:val="auto"/>
                <w:kern w:val="2"/>
                <w:sz w:val="24"/>
                <w:szCs w:val="20"/>
                <w:lang w:val="en-US" w:eastAsia="zh-CN"/>
              </w:rPr>
              <w:t>本项目废水主要为生活污水和循环冷却水，生活污水经化粪池处理后与循环冷却水排水一同通过厂区总排口排入延津县第一污水处理厂进一步处理。</w:t>
            </w:r>
          </w:p>
          <w:p w14:paraId="2E8A9B38">
            <w:pPr>
              <w:spacing w:after="0" w:line="460" w:lineRule="exact"/>
              <w:ind w:firstLine="480" w:firstLineChars="200"/>
              <w:jc w:val="both"/>
              <w:rPr>
                <w:rFonts w:eastAsia="宋体"/>
                <w:b/>
                <w:bCs/>
                <w:color w:val="auto"/>
                <w:sz w:val="24"/>
                <w:szCs w:val="24"/>
              </w:rPr>
            </w:pPr>
            <w:r>
              <w:rPr>
                <w:rFonts w:eastAsia="黑体"/>
                <w:color w:val="auto"/>
                <w:sz w:val="24"/>
                <w:szCs w:val="21"/>
              </w:rPr>
              <w:t xml:space="preserve">表16        </w:t>
            </w:r>
            <w:r>
              <w:rPr>
                <w:rFonts w:hint="eastAsia" w:eastAsia="黑体"/>
                <w:color w:val="auto"/>
                <w:sz w:val="24"/>
                <w:szCs w:val="21"/>
                <w:lang w:val="en-US" w:eastAsia="zh-CN"/>
              </w:rPr>
              <w:t xml:space="preserve">   </w:t>
            </w:r>
            <w:r>
              <w:rPr>
                <w:rFonts w:eastAsia="黑体"/>
                <w:color w:val="auto"/>
                <w:sz w:val="24"/>
                <w:szCs w:val="21"/>
              </w:rPr>
              <w:t xml:space="preserve">     </w:t>
            </w:r>
            <w:r>
              <w:rPr>
                <w:rFonts w:hint="eastAsia" w:eastAsia="黑体"/>
                <w:color w:val="auto"/>
                <w:sz w:val="24"/>
                <w:szCs w:val="21"/>
                <w:lang w:val="en-US" w:eastAsia="zh-CN"/>
              </w:rPr>
              <w:t>废水</w:t>
            </w:r>
            <w:r>
              <w:rPr>
                <w:rFonts w:eastAsia="黑体"/>
                <w:color w:val="auto"/>
                <w:sz w:val="24"/>
                <w:szCs w:val="21"/>
              </w:rPr>
              <w:t>检测结果</w:t>
            </w:r>
            <w:r>
              <w:rPr>
                <w:rFonts w:hint="eastAsia" w:eastAsia="黑体"/>
                <w:color w:val="auto"/>
                <w:sz w:val="24"/>
                <w:szCs w:val="21"/>
              </w:rPr>
              <w:t>表</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1361"/>
              <w:gridCol w:w="829"/>
              <w:gridCol w:w="980"/>
              <w:gridCol w:w="980"/>
              <w:gridCol w:w="980"/>
              <w:gridCol w:w="981"/>
              <w:gridCol w:w="996"/>
            </w:tblGrid>
            <w:tr w14:paraId="5E7C7C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0" w:type="pct"/>
                  <w:vMerge w:val="restart"/>
                  <w:tcBorders>
                    <w:tl2br w:val="nil"/>
                    <w:tr2bl w:val="nil"/>
                  </w:tcBorders>
                  <w:noWrap w:val="0"/>
                  <w:vAlign w:val="center"/>
                </w:tcPr>
                <w:p w14:paraId="4B8A3FC0">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vertAlign w:val="baseline"/>
                      <w:lang w:val="en-US" w:eastAsia="zh-CN"/>
                    </w:rPr>
                    <w:t>采样</w:t>
                  </w:r>
                  <w:r>
                    <w:rPr>
                      <w:rFonts w:hint="default" w:ascii="Times New Roman" w:hAnsi="Times New Roman" w:eastAsia="宋体" w:cs="Times New Roman"/>
                      <w:b/>
                      <w:bCs w:val="0"/>
                      <w:color w:val="auto"/>
                      <w:sz w:val="21"/>
                      <w:szCs w:val="21"/>
                      <w:highlight w:val="none"/>
                      <w:lang w:val="en-US" w:eastAsia="zh-CN"/>
                    </w:rPr>
                    <w:t>日期</w:t>
                  </w:r>
                </w:p>
              </w:tc>
              <w:tc>
                <w:tcPr>
                  <w:tcW w:w="4279" w:type="pct"/>
                  <w:gridSpan w:val="7"/>
                  <w:tcBorders>
                    <w:tl2br w:val="nil"/>
                    <w:tr2bl w:val="nil"/>
                  </w:tcBorders>
                  <w:noWrap w:val="0"/>
                  <w:vAlign w:val="center"/>
                </w:tcPr>
                <w:p w14:paraId="16A43B1D">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厂区总排口</w:t>
                  </w:r>
                </w:p>
              </w:tc>
            </w:tr>
            <w:tr w14:paraId="2B4C49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0" w:type="pct"/>
                  <w:vMerge w:val="continue"/>
                  <w:tcBorders>
                    <w:tl2br w:val="nil"/>
                    <w:tr2bl w:val="nil"/>
                  </w:tcBorders>
                  <w:noWrap w:val="0"/>
                  <w:vAlign w:val="center"/>
                </w:tcPr>
                <w:p w14:paraId="5D810262">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bCs w:val="0"/>
                      <w:color w:val="auto"/>
                      <w:sz w:val="21"/>
                      <w:szCs w:val="21"/>
                      <w:highlight w:val="yellow"/>
                    </w:rPr>
                  </w:pPr>
                </w:p>
              </w:tc>
              <w:tc>
                <w:tcPr>
                  <w:tcW w:w="820" w:type="pct"/>
                  <w:vMerge w:val="restart"/>
                  <w:tcBorders>
                    <w:tl2br w:val="nil"/>
                    <w:tr2bl w:val="nil"/>
                  </w:tcBorders>
                  <w:noWrap w:val="0"/>
                  <w:vAlign w:val="center"/>
                </w:tcPr>
                <w:p w14:paraId="093719C6">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检测项目</w:t>
                  </w:r>
                </w:p>
              </w:tc>
              <w:tc>
                <w:tcPr>
                  <w:tcW w:w="499" w:type="pct"/>
                  <w:vMerge w:val="restart"/>
                  <w:tcBorders>
                    <w:tl2br w:val="nil"/>
                    <w:tr2bl w:val="nil"/>
                  </w:tcBorders>
                  <w:noWrap w:val="0"/>
                  <w:vAlign w:val="center"/>
                </w:tcPr>
                <w:p w14:paraId="33244AAF">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单位</w:t>
                  </w:r>
                </w:p>
              </w:tc>
              <w:tc>
                <w:tcPr>
                  <w:tcW w:w="2959" w:type="pct"/>
                  <w:gridSpan w:val="5"/>
                  <w:tcBorders>
                    <w:tl2br w:val="nil"/>
                    <w:tr2bl w:val="nil"/>
                  </w:tcBorders>
                  <w:noWrap w:val="0"/>
                  <w:vAlign w:val="center"/>
                </w:tcPr>
                <w:p w14:paraId="6BC9EE07">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检测结果</w:t>
                  </w:r>
                </w:p>
              </w:tc>
            </w:tr>
            <w:tr w14:paraId="0BE8EC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20" w:type="pct"/>
                  <w:vMerge w:val="continue"/>
                  <w:tcBorders>
                    <w:tl2br w:val="nil"/>
                    <w:tr2bl w:val="nil"/>
                  </w:tcBorders>
                  <w:noWrap w:val="0"/>
                  <w:vAlign w:val="center"/>
                </w:tcPr>
                <w:p w14:paraId="5E6CD517">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bCs w:val="0"/>
                      <w:color w:val="auto"/>
                      <w:sz w:val="21"/>
                      <w:szCs w:val="21"/>
                      <w:highlight w:val="yellow"/>
                    </w:rPr>
                  </w:pPr>
                </w:p>
              </w:tc>
              <w:tc>
                <w:tcPr>
                  <w:tcW w:w="820" w:type="pct"/>
                  <w:vMerge w:val="continue"/>
                  <w:tcBorders>
                    <w:tl2br w:val="nil"/>
                    <w:tr2bl w:val="nil"/>
                  </w:tcBorders>
                  <w:noWrap w:val="0"/>
                  <w:vAlign w:val="center"/>
                </w:tcPr>
                <w:p w14:paraId="51D638FD">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bCs w:val="0"/>
                      <w:color w:val="auto"/>
                      <w:sz w:val="21"/>
                      <w:szCs w:val="21"/>
                      <w:highlight w:val="none"/>
                    </w:rPr>
                  </w:pPr>
                </w:p>
              </w:tc>
              <w:tc>
                <w:tcPr>
                  <w:tcW w:w="499" w:type="pct"/>
                  <w:vMerge w:val="continue"/>
                  <w:tcBorders>
                    <w:tl2br w:val="nil"/>
                    <w:tr2bl w:val="nil"/>
                  </w:tcBorders>
                  <w:noWrap w:val="0"/>
                  <w:vAlign w:val="center"/>
                </w:tcPr>
                <w:p w14:paraId="7075A81D">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bCs w:val="0"/>
                      <w:color w:val="auto"/>
                      <w:sz w:val="21"/>
                      <w:szCs w:val="21"/>
                      <w:highlight w:val="none"/>
                      <w:lang w:eastAsia="zh-CN"/>
                    </w:rPr>
                  </w:pPr>
                </w:p>
              </w:tc>
              <w:tc>
                <w:tcPr>
                  <w:tcW w:w="590" w:type="pct"/>
                  <w:tcBorders>
                    <w:tl2br w:val="nil"/>
                    <w:tr2bl w:val="nil"/>
                  </w:tcBorders>
                  <w:noWrap w:val="0"/>
                  <w:vAlign w:val="center"/>
                </w:tcPr>
                <w:p w14:paraId="67193045">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第一次</w:t>
                  </w:r>
                </w:p>
              </w:tc>
              <w:tc>
                <w:tcPr>
                  <w:tcW w:w="590" w:type="pct"/>
                  <w:tcBorders>
                    <w:tl2br w:val="nil"/>
                    <w:tr2bl w:val="nil"/>
                  </w:tcBorders>
                  <w:noWrap w:val="0"/>
                  <w:vAlign w:val="center"/>
                </w:tcPr>
                <w:p w14:paraId="2724790D">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第二次</w:t>
                  </w:r>
                </w:p>
              </w:tc>
              <w:tc>
                <w:tcPr>
                  <w:tcW w:w="590" w:type="pct"/>
                  <w:tcBorders>
                    <w:tl2br w:val="nil"/>
                    <w:tr2bl w:val="nil"/>
                  </w:tcBorders>
                  <w:noWrap w:val="0"/>
                  <w:vAlign w:val="center"/>
                </w:tcPr>
                <w:p w14:paraId="279D51EB">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第三次</w:t>
                  </w:r>
                </w:p>
              </w:tc>
              <w:tc>
                <w:tcPr>
                  <w:tcW w:w="591" w:type="pct"/>
                  <w:tcBorders>
                    <w:tl2br w:val="nil"/>
                    <w:tr2bl w:val="nil"/>
                  </w:tcBorders>
                  <w:noWrap w:val="0"/>
                  <w:vAlign w:val="center"/>
                </w:tcPr>
                <w:p w14:paraId="32DE9530">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sz w:val="21"/>
                      <w:szCs w:val="21"/>
                      <w:highlight w:val="none"/>
                      <w:vertAlign w:val="baseline"/>
                      <w:lang w:val="en-US" w:eastAsia="zh-CN"/>
                    </w:rPr>
                    <w:t>第四次</w:t>
                  </w:r>
                </w:p>
              </w:tc>
              <w:tc>
                <w:tcPr>
                  <w:tcW w:w="596" w:type="pct"/>
                  <w:tcBorders>
                    <w:tl2br w:val="nil"/>
                    <w:tr2bl w:val="nil"/>
                  </w:tcBorders>
                  <w:noWrap w:val="0"/>
                  <w:vAlign w:val="center"/>
                </w:tcPr>
                <w:p w14:paraId="3D5841C0">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均值</w:t>
                  </w:r>
                </w:p>
              </w:tc>
            </w:tr>
            <w:tr w14:paraId="69E63F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vMerge w:val="restart"/>
                  <w:tcBorders>
                    <w:tl2br w:val="nil"/>
                    <w:tr2bl w:val="nil"/>
                  </w:tcBorders>
                  <w:noWrap w:val="0"/>
                  <w:vAlign w:val="center"/>
                </w:tcPr>
                <w:p w14:paraId="2870D437">
                  <w:pPr>
                    <w:pStyle w:val="49"/>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cs="Times New Roman"/>
                      <w:color w:val="auto"/>
                      <w:spacing w:val="0"/>
                      <w:sz w:val="21"/>
                      <w:szCs w:val="21"/>
                      <w:lang w:val="en-US" w:eastAsia="zh-CN"/>
                    </w:rPr>
                    <w:t>2026-05-22</w:t>
                  </w:r>
                </w:p>
              </w:tc>
              <w:tc>
                <w:tcPr>
                  <w:tcW w:w="820" w:type="pct"/>
                  <w:tcBorders>
                    <w:tl2br w:val="nil"/>
                    <w:tr2bl w:val="nil"/>
                  </w:tcBorders>
                  <w:noWrap w:val="0"/>
                  <w:vAlign w:val="center"/>
                </w:tcPr>
                <w:p w14:paraId="0A11D5F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流量</w:t>
                  </w:r>
                </w:p>
              </w:tc>
              <w:tc>
                <w:tcPr>
                  <w:tcW w:w="499" w:type="pct"/>
                  <w:tcBorders>
                    <w:tl2br w:val="nil"/>
                    <w:tr2bl w:val="nil"/>
                  </w:tcBorders>
                  <w:noWrap w:val="0"/>
                  <w:vAlign w:val="center"/>
                </w:tcPr>
                <w:p w14:paraId="1DC4540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tc>
              <w:tc>
                <w:tcPr>
                  <w:tcW w:w="590" w:type="pct"/>
                  <w:tcBorders>
                    <w:tl2br w:val="nil"/>
                    <w:tr2bl w:val="nil"/>
                  </w:tcBorders>
                  <w:noWrap w:val="0"/>
                  <w:vAlign w:val="center"/>
                </w:tcPr>
                <w:p w14:paraId="3ACC18B5">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w:t>
                  </w:r>
                </w:p>
              </w:tc>
              <w:tc>
                <w:tcPr>
                  <w:tcW w:w="590" w:type="pct"/>
                  <w:tcBorders>
                    <w:tl2br w:val="nil"/>
                    <w:tr2bl w:val="nil"/>
                  </w:tcBorders>
                  <w:noWrap w:val="0"/>
                  <w:vAlign w:val="center"/>
                </w:tcPr>
                <w:p w14:paraId="2D9A4F2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w:t>
                  </w:r>
                </w:p>
              </w:tc>
              <w:tc>
                <w:tcPr>
                  <w:tcW w:w="590" w:type="pct"/>
                  <w:tcBorders>
                    <w:tl2br w:val="nil"/>
                    <w:tr2bl w:val="nil"/>
                  </w:tcBorders>
                  <w:noWrap w:val="0"/>
                  <w:vAlign w:val="center"/>
                </w:tcPr>
                <w:p w14:paraId="447F4F0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w:t>
                  </w:r>
                </w:p>
              </w:tc>
              <w:tc>
                <w:tcPr>
                  <w:tcW w:w="591" w:type="pct"/>
                  <w:tcBorders>
                    <w:tl2br w:val="nil"/>
                    <w:tr2bl w:val="nil"/>
                  </w:tcBorders>
                  <w:noWrap w:val="0"/>
                  <w:vAlign w:val="center"/>
                </w:tcPr>
                <w:p w14:paraId="772A2B9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w:t>
                  </w:r>
                </w:p>
              </w:tc>
              <w:tc>
                <w:tcPr>
                  <w:tcW w:w="596" w:type="pct"/>
                  <w:tcBorders>
                    <w:tl2br w:val="nil"/>
                    <w:tr2bl w:val="nil"/>
                  </w:tcBorders>
                  <w:noWrap w:val="0"/>
                  <w:vAlign w:val="center"/>
                </w:tcPr>
                <w:p w14:paraId="5ABD48A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w:t>
                  </w:r>
                </w:p>
              </w:tc>
            </w:tr>
            <w:tr w14:paraId="7AC678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vMerge w:val="continue"/>
                  <w:tcBorders>
                    <w:tl2br w:val="nil"/>
                    <w:tr2bl w:val="nil"/>
                  </w:tcBorders>
                  <w:noWrap w:val="0"/>
                  <w:vAlign w:val="center"/>
                </w:tcPr>
                <w:p w14:paraId="1CA5F732">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820" w:type="pct"/>
                  <w:tcBorders>
                    <w:tl2br w:val="nil"/>
                    <w:tr2bl w:val="nil"/>
                  </w:tcBorders>
                  <w:noWrap w:val="0"/>
                  <w:vAlign w:val="center"/>
                </w:tcPr>
                <w:p w14:paraId="3837D05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化学需氧量</w:t>
                  </w:r>
                </w:p>
              </w:tc>
              <w:tc>
                <w:tcPr>
                  <w:tcW w:w="499" w:type="pct"/>
                  <w:tcBorders>
                    <w:tl2br w:val="nil"/>
                    <w:tr2bl w:val="nil"/>
                  </w:tcBorders>
                  <w:noWrap w:val="0"/>
                  <w:vAlign w:val="center"/>
                </w:tcPr>
                <w:p w14:paraId="53B9C00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mg/L</w:t>
                  </w:r>
                </w:p>
              </w:tc>
              <w:tc>
                <w:tcPr>
                  <w:tcW w:w="590" w:type="pct"/>
                  <w:tcBorders>
                    <w:tl2br w:val="nil"/>
                    <w:tr2bl w:val="nil"/>
                  </w:tcBorders>
                  <w:noWrap w:val="0"/>
                  <w:vAlign w:val="center"/>
                </w:tcPr>
                <w:p w14:paraId="2B9650D8">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w:t>
                  </w:r>
                </w:p>
              </w:tc>
              <w:tc>
                <w:tcPr>
                  <w:tcW w:w="590" w:type="pct"/>
                  <w:tcBorders>
                    <w:tl2br w:val="nil"/>
                    <w:tr2bl w:val="nil"/>
                  </w:tcBorders>
                  <w:noWrap w:val="0"/>
                  <w:vAlign w:val="center"/>
                </w:tcPr>
                <w:p w14:paraId="7CCBC52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97</w:t>
                  </w:r>
                </w:p>
              </w:tc>
              <w:tc>
                <w:tcPr>
                  <w:tcW w:w="590" w:type="pct"/>
                  <w:tcBorders>
                    <w:tl2br w:val="nil"/>
                    <w:tr2bl w:val="nil"/>
                  </w:tcBorders>
                  <w:noWrap w:val="0"/>
                  <w:vAlign w:val="center"/>
                </w:tcPr>
                <w:p w14:paraId="15028104">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99</w:t>
                  </w:r>
                </w:p>
              </w:tc>
              <w:tc>
                <w:tcPr>
                  <w:tcW w:w="591" w:type="pct"/>
                  <w:tcBorders>
                    <w:tl2br w:val="nil"/>
                    <w:tr2bl w:val="nil"/>
                  </w:tcBorders>
                  <w:noWrap w:val="0"/>
                  <w:vAlign w:val="center"/>
                </w:tcPr>
                <w:p w14:paraId="2CF4A50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102</w:t>
                  </w:r>
                </w:p>
              </w:tc>
              <w:tc>
                <w:tcPr>
                  <w:tcW w:w="596" w:type="pct"/>
                  <w:tcBorders>
                    <w:tl2br w:val="nil"/>
                    <w:tr2bl w:val="nil"/>
                  </w:tcBorders>
                  <w:noWrap w:val="0"/>
                  <w:vAlign w:val="center"/>
                </w:tcPr>
                <w:p w14:paraId="45A7EA8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r>
            <w:tr w14:paraId="556ABA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vMerge w:val="continue"/>
                  <w:tcBorders>
                    <w:tl2br w:val="nil"/>
                    <w:tr2bl w:val="nil"/>
                  </w:tcBorders>
                  <w:noWrap w:val="0"/>
                  <w:vAlign w:val="center"/>
                </w:tcPr>
                <w:p w14:paraId="174F237A">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820" w:type="pct"/>
                  <w:tcBorders>
                    <w:tl2br w:val="nil"/>
                    <w:tr2bl w:val="nil"/>
                  </w:tcBorders>
                  <w:noWrap w:val="0"/>
                  <w:vAlign w:val="center"/>
                </w:tcPr>
                <w:p w14:paraId="4C8AFA4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五日生化需氧量（BOD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w:t>
                  </w:r>
                </w:p>
              </w:tc>
              <w:tc>
                <w:tcPr>
                  <w:tcW w:w="499" w:type="pct"/>
                  <w:tcBorders>
                    <w:tl2br w:val="nil"/>
                    <w:tr2bl w:val="nil"/>
                  </w:tcBorders>
                  <w:noWrap w:val="0"/>
                  <w:vAlign w:val="center"/>
                </w:tcPr>
                <w:p w14:paraId="70A2D11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mg/L</w:t>
                  </w:r>
                </w:p>
              </w:tc>
              <w:tc>
                <w:tcPr>
                  <w:tcW w:w="590" w:type="pct"/>
                  <w:tcBorders>
                    <w:tl2br w:val="nil"/>
                    <w:tr2bl w:val="nil"/>
                  </w:tcBorders>
                  <w:noWrap w:val="0"/>
                  <w:vAlign w:val="center"/>
                </w:tcPr>
                <w:p w14:paraId="18080CC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35.8</w:t>
                  </w:r>
                </w:p>
              </w:tc>
              <w:tc>
                <w:tcPr>
                  <w:tcW w:w="590" w:type="pct"/>
                  <w:tcBorders>
                    <w:tl2br w:val="nil"/>
                    <w:tr2bl w:val="nil"/>
                  </w:tcBorders>
                  <w:noWrap w:val="0"/>
                  <w:vAlign w:val="center"/>
                </w:tcPr>
                <w:p w14:paraId="56AD2011">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38.5</w:t>
                  </w:r>
                </w:p>
              </w:tc>
              <w:tc>
                <w:tcPr>
                  <w:tcW w:w="590" w:type="pct"/>
                  <w:tcBorders>
                    <w:tl2br w:val="nil"/>
                    <w:tr2bl w:val="nil"/>
                  </w:tcBorders>
                  <w:noWrap w:val="0"/>
                  <w:vAlign w:val="center"/>
                </w:tcPr>
                <w:p w14:paraId="224AFF2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37.5</w:t>
                  </w:r>
                </w:p>
              </w:tc>
              <w:tc>
                <w:tcPr>
                  <w:tcW w:w="591" w:type="pct"/>
                  <w:tcBorders>
                    <w:tl2br w:val="nil"/>
                    <w:tr2bl w:val="nil"/>
                  </w:tcBorders>
                  <w:noWrap w:val="0"/>
                  <w:vAlign w:val="center"/>
                </w:tcPr>
                <w:p w14:paraId="712E5558">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36.8</w:t>
                  </w:r>
                </w:p>
              </w:tc>
              <w:tc>
                <w:tcPr>
                  <w:tcW w:w="596" w:type="pct"/>
                  <w:tcBorders>
                    <w:tl2br w:val="nil"/>
                    <w:tr2bl w:val="nil"/>
                  </w:tcBorders>
                  <w:noWrap w:val="0"/>
                  <w:vAlign w:val="center"/>
                </w:tcPr>
                <w:p w14:paraId="24893A84">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37.2</w:t>
                  </w:r>
                </w:p>
              </w:tc>
            </w:tr>
            <w:tr w14:paraId="2492E0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vMerge w:val="continue"/>
                  <w:tcBorders>
                    <w:tl2br w:val="nil"/>
                    <w:tr2bl w:val="nil"/>
                  </w:tcBorders>
                  <w:noWrap w:val="0"/>
                  <w:vAlign w:val="center"/>
                </w:tcPr>
                <w:p w14:paraId="035FF36A">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820" w:type="pct"/>
                  <w:tcBorders>
                    <w:tl2br w:val="nil"/>
                    <w:tr2bl w:val="nil"/>
                  </w:tcBorders>
                  <w:noWrap w:val="0"/>
                  <w:vAlign w:val="center"/>
                </w:tcPr>
                <w:p w14:paraId="72D7F27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悬浮物</w:t>
                  </w:r>
                </w:p>
              </w:tc>
              <w:tc>
                <w:tcPr>
                  <w:tcW w:w="499" w:type="pct"/>
                  <w:tcBorders>
                    <w:tl2br w:val="nil"/>
                    <w:tr2bl w:val="nil"/>
                  </w:tcBorders>
                  <w:noWrap w:val="0"/>
                  <w:vAlign w:val="center"/>
                </w:tcPr>
                <w:p w14:paraId="705DCDE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mg/L</w:t>
                  </w:r>
                </w:p>
              </w:tc>
              <w:tc>
                <w:tcPr>
                  <w:tcW w:w="590" w:type="pct"/>
                  <w:tcBorders>
                    <w:tl2br w:val="nil"/>
                    <w:tr2bl w:val="nil"/>
                  </w:tcBorders>
                  <w:noWrap w:val="0"/>
                  <w:vAlign w:val="center"/>
                </w:tcPr>
                <w:p w14:paraId="20C0ACF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w:t>
                  </w:r>
                </w:p>
              </w:tc>
              <w:tc>
                <w:tcPr>
                  <w:tcW w:w="590" w:type="pct"/>
                  <w:tcBorders>
                    <w:tl2br w:val="nil"/>
                    <w:tr2bl w:val="nil"/>
                  </w:tcBorders>
                  <w:noWrap w:val="0"/>
                  <w:vAlign w:val="center"/>
                </w:tcPr>
                <w:p w14:paraId="4ED7434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w:t>
                  </w:r>
                </w:p>
              </w:tc>
              <w:tc>
                <w:tcPr>
                  <w:tcW w:w="590" w:type="pct"/>
                  <w:tcBorders>
                    <w:tl2br w:val="nil"/>
                    <w:tr2bl w:val="nil"/>
                  </w:tcBorders>
                  <w:noWrap w:val="0"/>
                  <w:vAlign w:val="center"/>
                </w:tcPr>
                <w:p w14:paraId="75DE394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39</w:t>
                  </w:r>
                </w:p>
              </w:tc>
              <w:tc>
                <w:tcPr>
                  <w:tcW w:w="591" w:type="pct"/>
                  <w:tcBorders>
                    <w:tl2br w:val="nil"/>
                    <w:tr2bl w:val="nil"/>
                  </w:tcBorders>
                  <w:noWrap w:val="0"/>
                  <w:vAlign w:val="center"/>
                </w:tcPr>
                <w:p w14:paraId="256F80F4">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w:t>
                  </w:r>
                </w:p>
              </w:tc>
              <w:tc>
                <w:tcPr>
                  <w:tcW w:w="596" w:type="pct"/>
                  <w:tcBorders>
                    <w:tl2br w:val="nil"/>
                    <w:tr2bl w:val="nil"/>
                  </w:tcBorders>
                  <w:noWrap w:val="0"/>
                  <w:vAlign w:val="center"/>
                </w:tcPr>
                <w:p w14:paraId="0E87755C">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w:t>
                  </w:r>
                </w:p>
              </w:tc>
            </w:tr>
            <w:tr w14:paraId="3C3D51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vMerge w:val="continue"/>
                  <w:tcBorders>
                    <w:tl2br w:val="nil"/>
                    <w:tr2bl w:val="nil"/>
                  </w:tcBorders>
                  <w:noWrap w:val="0"/>
                  <w:vAlign w:val="center"/>
                </w:tcPr>
                <w:p w14:paraId="792EFB3B">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820" w:type="pct"/>
                  <w:tcBorders>
                    <w:tl2br w:val="nil"/>
                    <w:tr2bl w:val="nil"/>
                  </w:tcBorders>
                  <w:noWrap w:val="0"/>
                  <w:vAlign w:val="center"/>
                </w:tcPr>
                <w:p w14:paraId="4C2A177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氨氮</w:t>
                  </w:r>
                </w:p>
              </w:tc>
              <w:tc>
                <w:tcPr>
                  <w:tcW w:w="499" w:type="pct"/>
                  <w:tcBorders>
                    <w:tl2br w:val="nil"/>
                    <w:tr2bl w:val="nil"/>
                  </w:tcBorders>
                  <w:noWrap w:val="0"/>
                  <w:vAlign w:val="center"/>
                </w:tcPr>
                <w:p w14:paraId="26127A7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mg/L</w:t>
                  </w:r>
                </w:p>
              </w:tc>
              <w:tc>
                <w:tcPr>
                  <w:tcW w:w="590" w:type="pct"/>
                  <w:tcBorders>
                    <w:tl2br w:val="nil"/>
                    <w:tr2bl w:val="nil"/>
                  </w:tcBorders>
                  <w:noWrap w:val="0"/>
                  <w:vAlign w:val="center"/>
                </w:tcPr>
                <w:p w14:paraId="3DF9D44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5.19</w:t>
                  </w:r>
                </w:p>
              </w:tc>
              <w:tc>
                <w:tcPr>
                  <w:tcW w:w="590" w:type="pct"/>
                  <w:tcBorders>
                    <w:tl2br w:val="nil"/>
                    <w:tr2bl w:val="nil"/>
                  </w:tcBorders>
                  <w:noWrap w:val="0"/>
                  <w:vAlign w:val="center"/>
                </w:tcPr>
                <w:p w14:paraId="563C0344">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5.05</w:t>
                  </w:r>
                </w:p>
              </w:tc>
              <w:tc>
                <w:tcPr>
                  <w:tcW w:w="590" w:type="pct"/>
                  <w:tcBorders>
                    <w:tl2br w:val="nil"/>
                    <w:tr2bl w:val="nil"/>
                  </w:tcBorders>
                  <w:noWrap w:val="0"/>
                  <w:vAlign w:val="center"/>
                </w:tcPr>
                <w:p w14:paraId="14BE6DC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5.02</w:t>
                  </w:r>
                </w:p>
              </w:tc>
              <w:tc>
                <w:tcPr>
                  <w:tcW w:w="591" w:type="pct"/>
                  <w:tcBorders>
                    <w:tl2br w:val="nil"/>
                    <w:tr2bl w:val="nil"/>
                  </w:tcBorders>
                  <w:noWrap w:val="0"/>
                  <w:vAlign w:val="center"/>
                </w:tcPr>
                <w:p w14:paraId="2ED0D577">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5.23</w:t>
                  </w:r>
                </w:p>
              </w:tc>
              <w:tc>
                <w:tcPr>
                  <w:tcW w:w="596" w:type="pct"/>
                  <w:tcBorders>
                    <w:tl2br w:val="nil"/>
                    <w:tr2bl w:val="nil"/>
                  </w:tcBorders>
                  <w:noWrap w:val="0"/>
                  <w:vAlign w:val="center"/>
                </w:tcPr>
                <w:p w14:paraId="7C5E4CC5">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5.12</w:t>
                  </w:r>
                </w:p>
              </w:tc>
            </w:tr>
            <w:tr w14:paraId="3CC52B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vMerge w:val="continue"/>
                  <w:tcBorders>
                    <w:tl2br w:val="nil"/>
                    <w:tr2bl w:val="nil"/>
                  </w:tcBorders>
                  <w:noWrap w:val="0"/>
                  <w:vAlign w:val="center"/>
                </w:tcPr>
                <w:p w14:paraId="6C10856E">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820" w:type="pct"/>
                  <w:tcBorders>
                    <w:tl2br w:val="nil"/>
                    <w:tr2bl w:val="nil"/>
                  </w:tcBorders>
                  <w:noWrap w:val="0"/>
                  <w:vAlign w:val="center"/>
                </w:tcPr>
                <w:p w14:paraId="3C70379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总磷</w:t>
                  </w:r>
                </w:p>
              </w:tc>
              <w:tc>
                <w:tcPr>
                  <w:tcW w:w="499" w:type="pct"/>
                  <w:tcBorders>
                    <w:tl2br w:val="nil"/>
                    <w:tr2bl w:val="nil"/>
                  </w:tcBorders>
                  <w:noWrap w:val="0"/>
                  <w:vAlign w:val="center"/>
                </w:tcPr>
                <w:p w14:paraId="71942C28">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mg/L</w:t>
                  </w:r>
                </w:p>
              </w:tc>
              <w:tc>
                <w:tcPr>
                  <w:tcW w:w="590" w:type="pct"/>
                  <w:tcBorders>
                    <w:tl2br w:val="nil"/>
                    <w:tr2bl w:val="nil"/>
                  </w:tcBorders>
                  <w:noWrap w:val="0"/>
                  <w:vAlign w:val="center"/>
                </w:tcPr>
                <w:p w14:paraId="666661F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0.72</w:t>
                  </w:r>
                </w:p>
              </w:tc>
              <w:tc>
                <w:tcPr>
                  <w:tcW w:w="590" w:type="pct"/>
                  <w:tcBorders>
                    <w:tl2br w:val="nil"/>
                    <w:tr2bl w:val="nil"/>
                  </w:tcBorders>
                  <w:noWrap w:val="0"/>
                  <w:vAlign w:val="center"/>
                </w:tcPr>
                <w:p w14:paraId="4FA356E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0.76</w:t>
                  </w:r>
                </w:p>
              </w:tc>
              <w:tc>
                <w:tcPr>
                  <w:tcW w:w="590" w:type="pct"/>
                  <w:tcBorders>
                    <w:tl2br w:val="nil"/>
                    <w:tr2bl w:val="nil"/>
                  </w:tcBorders>
                  <w:noWrap w:val="0"/>
                  <w:vAlign w:val="center"/>
                </w:tcPr>
                <w:p w14:paraId="716C907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0.79</w:t>
                  </w:r>
                </w:p>
              </w:tc>
              <w:tc>
                <w:tcPr>
                  <w:tcW w:w="591" w:type="pct"/>
                  <w:tcBorders>
                    <w:tl2br w:val="nil"/>
                    <w:tr2bl w:val="nil"/>
                  </w:tcBorders>
                  <w:noWrap w:val="0"/>
                  <w:vAlign w:val="center"/>
                </w:tcPr>
                <w:p w14:paraId="2E90335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0.84</w:t>
                  </w:r>
                </w:p>
              </w:tc>
              <w:tc>
                <w:tcPr>
                  <w:tcW w:w="596" w:type="pct"/>
                  <w:tcBorders>
                    <w:tl2br w:val="nil"/>
                    <w:tr2bl w:val="nil"/>
                  </w:tcBorders>
                  <w:noWrap w:val="0"/>
                  <w:vAlign w:val="center"/>
                </w:tcPr>
                <w:p w14:paraId="5805A03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0.78</w:t>
                  </w:r>
                </w:p>
              </w:tc>
            </w:tr>
            <w:tr w14:paraId="7E4B0C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vMerge w:val="continue"/>
                  <w:tcBorders>
                    <w:tl2br w:val="nil"/>
                    <w:tr2bl w:val="nil"/>
                  </w:tcBorders>
                  <w:noWrap w:val="0"/>
                  <w:vAlign w:val="center"/>
                </w:tcPr>
                <w:p w14:paraId="6AF6713D">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820" w:type="pct"/>
                  <w:tcBorders>
                    <w:tl2br w:val="nil"/>
                    <w:tr2bl w:val="nil"/>
                  </w:tcBorders>
                  <w:noWrap w:val="0"/>
                  <w:vAlign w:val="center"/>
                </w:tcPr>
                <w:p w14:paraId="21A741B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总氮</w:t>
                  </w:r>
                </w:p>
              </w:tc>
              <w:tc>
                <w:tcPr>
                  <w:tcW w:w="499" w:type="pct"/>
                  <w:tcBorders>
                    <w:tl2br w:val="nil"/>
                    <w:tr2bl w:val="nil"/>
                  </w:tcBorders>
                  <w:noWrap w:val="0"/>
                  <w:vAlign w:val="center"/>
                </w:tcPr>
                <w:p w14:paraId="4F513B1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mg/L</w:t>
                  </w:r>
                </w:p>
              </w:tc>
              <w:tc>
                <w:tcPr>
                  <w:tcW w:w="590" w:type="pct"/>
                  <w:tcBorders>
                    <w:tl2br w:val="nil"/>
                    <w:tr2bl w:val="nil"/>
                  </w:tcBorders>
                  <w:noWrap w:val="0"/>
                  <w:vAlign w:val="center"/>
                </w:tcPr>
                <w:p w14:paraId="1003757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7.85</w:t>
                  </w:r>
                </w:p>
              </w:tc>
              <w:tc>
                <w:tcPr>
                  <w:tcW w:w="590" w:type="pct"/>
                  <w:tcBorders>
                    <w:tl2br w:val="nil"/>
                    <w:tr2bl w:val="nil"/>
                  </w:tcBorders>
                  <w:noWrap w:val="0"/>
                  <w:vAlign w:val="center"/>
                </w:tcPr>
                <w:p w14:paraId="4742E2B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7.80</w:t>
                  </w:r>
                </w:p>
              </w:tc>
              <w:tc>
                <w:tcPr>
                  <w:tcW w:w="590" w:type="pct"/>
                  <w:tcBorders>
                    <w:tl2br w:val="nil"/>
                    <w:tr2bl w:val="nil"/>
                  </w:tcBorders>
                  <w:noWrap w:val="0"/>
                  <w:vAlign w:val="center"/>
                </w:tcPr>
                <w:p w14:paraId="4D7A53B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8.01</w:t>
                  </w:r>
                </w:p>
              </w:tc>
              <w:tc>
                <w:tcPr>
                  <w:tcW w:w="591" w:type="pct"/>
                  <w:tcBorders>
                    <w:tl2br w:val="nil"/>
                    <w:tr2bl w:val="nil"/>
                  </w:tcBorders>
                  <w:noWrap w:val="0"/>
                  <w:vAlign w:val="center"/>
                </w:tcPr>
                <w:p w14:paraId="23B5692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7.90</w:t>
                  </w:r>
                </w:p>
              </w:tc>
              <w:tc>
                <w:tcPr>
                  <w:tcW w:w="596" w:type="pct"/>
                  <w:tcBorders>
                    <w:tl2br w:val="nil"/>
                    <w:tr2bl w:val="nil"/>
                  </w:tcBorders>
                  <w:noWrap w:val="0"/>
                  <w:vAlign w:val="center"/>
                </w:tcPr>
                <w:p w14:paraId="28A11784">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7.89</w:t>
                  </w:r>
                </w:p>
              </w:tc>
            </w:tr>
            <w:tr w14:paraId="2B017F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vMerge w:val="restart"/>
                  <w:tcBorders>
                    <w:tl2br w:val="nil"/>
                    <w:tr2bl w:val="nil"/>
                  </w:tcBorders>
                  <w:noWrap w:val="0"/>
                  <w:vAlign w:val="center"/>
                </w:tcPr>
                <w:p w14:paraId="65FF7740">
                  <w:pPr>
                    <w:pStyle w:val="49"/>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pacing w:val="0"/>
                      <w:sz w:val="21"/>
                      <w:szCs w:val="21"/>
                      <w:lang w:val="en-US" w:eastAsia="zh-CN"/>
                    </w:rPr>
                    <w:t>2026-05-23</w:t>
                  </w:r>
                </w:p>
              </w:tc>
              <w:tc>
                <w:tcPr>
                  <w:tcW w:w="820" w:type="pct"/>
                  <w:tcBorders>
                    <w:tl2br w:val="nil"/>
                    <w:tr2bl w:val="nil"/>
                  </w:tcBorders>
                  <w:noWrap w:val="0"/>
                  <w:vAlign w:val="center"/>
                </w:tcPr>
                <w:p w14:paraId="65F1BC3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流量</w:t>
                  </w:r>
                </w:p>
              </w:tc>
              <w:tc>
                <w:tcPr>
                  <w:tcW w:w="499" w:type="pct"/>
                  <w:tcBorders>
                    <w:tl2br w:val="nil"/>
                    <w:tr2bl w:val="nil"/>
                  </w:tcBorders>
                  <w:noWrap w:val="0"/>
                  <w:vAlign w:val="center"/>
                </w:tcPr>
                <w:p w14:paraId="2D8C7C3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tc>
              <w:tc>
                <w:tcPr>
                  <w:tcW w:w="590" w:type="pct"/>
                  <w:tcBorders>
                    <w:tl2br w:val="nil"/>
                    <w:tr2bl w:val="nil"/>
                  </w:tcBorders>
                  <w:noWrap w:val="0"/>
                  <w:vAlign w:val="center"/>
                </w:tcPr>
                <w:p w14:paraId="7016986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590" w:type="pct"/>
                  <w:tcBorders>
                    <w:tl2br w:val="nil"/>
                    <w:tr2bl w:val="nil"/>
                  </w:tcBorders>
                  <w:noWrap w:val="0"/>
                  <w:vAlign w:val="center"/>
                </w:tcPr>
                <w:p w14:paraId="522E6C5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590" w:type="pct"/>
                  <w:tcBorders>
                    <w:tl2br w:val="nil"/>
                    <w:tr2bl w:val="nil"/>
                  </w:tcBorders>
                  <w:noWrap w:val="0"/>
                  <w:vAlign w:val="center"/>
                </w:tcPr>
                <w:p w14:paraId="7D46743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591" w:type="pct"/>
                  <w:tcBorders>
                    <w:tl2br w:val="nil"/>
                    <w:tr2bl w:val="nil"/>
                  </w:tcBorders>
                  <w:noWrap w:val="0"/>
                  <w:vAlign w:val="center"/>
                </w:tcPr>
                <w:p w14:paraId="5DD396E5">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596" w:type="pct"/>
                  <w:tcBorders>
                    <w:tl2br w:val="nil"/>
                    <w:tr2bl w:val="nil"/>
                  </w:tcBorders>
                  <w:noWrap w:val="0"/>
                  <w:vAlign w:val="center"/>
                </w:tcPr>
                <w:p w14:paraId="0B588AF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r>
            <w:tr w14:paraId="01E217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vMerge w:val="continue"/>
                  <w:tcBorders>
                    <w:tl2br w:val="nil"/>
                    <w:tr2bl w:val="nil"/>
                  </w:tcBorders>
                  <w:noWrap w:val="0"/>
                  <w:vAlign w:val="center"/>
                </w:tcPr>
                <w:p w14:paraId="289C537E">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820" w:type="pct"/>
                  <w:tcBorders>
                    <w:tl2br w:val="nil"/>
                    <w:tr2bl w:val="nil"/>
                  </w:tcBorders>
                  <w:noWrap w:val="0"/>
                  <w:vAlign w:val="center"/>
                </w:tcPr>
                <w:p w14:paraId="471F0B1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化学需氧量</w:t>
                  </w:r>
                </w:p>
              </w:tc>
              <w:tc>
                <w:tcPr>
                  <w:tcW w:w="499" w:type="pct"/>
                  <w:tcBorders>
                    <w:tl2br w:val="nil"/>
                    <w:tr2bl w:val="nil"/>
                  </w:tcBorders>
                  <w:noWrap w:val="0"/>
                  <w:vAlign w:val="center"/>
                </w:tcPr>
                <w:p w14:paraId="0AA750B5">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mg/L</w:t>
                  </w:r>
                </w:p>
              </w:tc>
              <w:tc>
                <w:tcPr>
                  <w:tcW w:w="590" w:type="pct"/>
                  <w:tcBorders>
                    <w:tl2br w:val="nil"/>
                    <w:tr2bl w:val="nil"/>
                  </w:tcBorders>
                  <w:noWrap w:val="0"/>
                  <w:vAlign w:val="center"/>
                </w:tcPr>
                <w:p w14:paraId="7E4D4CF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98</w:t>
                  </w:r>
                </w:p>
              </w:tc>
              <w:tc>
                <w:tcPr>
                  <w:tcW w:w="590" w:type="pct"/>
                  <w:tcBorders>
                    <w:tl2br w:val="nil"/>
                    <w:tr2bl w:val="nil"/>
                  </w:tcBorders>
                  <w:noWrap w:val="0"/>
                  <w:vAlign w:val="center"/>
                </w:tcPr>
                <w:p w14:paraId="5511C5E1">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105</w:t>
                  </w:r>
                </w:p>
              </w:tc>
              <w:tc>
                <w:tcPr>
                  <w:tcW w:w="590" w:type="pct"/>
                  <w:tcBorders>
                    <w:tl2br w:val="nil"/>
                    <w:tr2bl w:val="nil"/>
                  </w:tcBorders>
                  <w:noWrap w:val="0"/>
                  <w:vAlign w:val="center"/>
                </w:tcPr>
                <w:p w14:paraId="7C0A407C">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95</w:t>
                  </w:r>
                </w:p>
              </w:tc>
              <w:tc>
                <w:tcPr>
                  <w:tcW w:w="591" w:type="pct"/>
                  <w:tcBorders>
                    <w:tl2br w:val="nil"/>
                    <w:tr2bl w:val="nil"/>
                  </w:tcBorders>
                  <w:noWrap w:val="0"/>
                  <w:vAlign w:val="center"/>
                </w:tcPr>
                <w:p w14:paraId="0D414EC7">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96</w:t>
                  </w:r>
                </w:p>
              </w:tc>
              <w:tc>
                <w:tcPr>
                  <w:tcW w:w="596" w:type="pct"/>
                  <w:tcBorders>
                    <w:tl2br w:val="nil"/>
                    <w:tr2bl w:val="nil"/>
                  </w:tcBorders>
                  <w:noWrap w:val="0"/>
                  <w:vAlign w:val="center"/>
                </w:tcPr>
                <w:p w14:paraId="015E4D7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98</w:t>
                  </w:r>
                </w:p>
              </w:tc>
            </w:tr>
            <w:tr w14:paraId="240F94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vMerge w:val="continue"/>
                  <w:tcBorders>
                    <w:tl2br w:val="nil"/>
                    <w:tr2bl w:val="nil"/>
                  </w:tcBorders>
                  <w:noWrap w:val="0"/>
                  <w:vAlign w:val="center"/>
                </w:tcPr>
                <w:p w14:paraId="047EB1FF">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820" w:type="pct"/>
                  <w:tcBorders>
                    <w:tl2br w:val="nil"/>
                    <w:tr2bl w:val="nil"/>
                  </w:tcBorders>
                  <w:noWrap w:val="0"/>
                  <w:vAlign w:val="center"/>
                </w:tcPr>
                <w:p w14:paraId="3A296B8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五日生化需氧量（BOD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w:t>
                  </w:r>
                </w:p>
              </w:tc>
              <w:tc>
                <w:tcPr>
                  <w:tcW w:w="499" w:type="pct"/>
                  <w:tcBorders>
                    <w:tl2br w:val="nil"/>
                    <w:tr2bl w:val="nil"/>
                  </w:tcBorders>
                  <w:noWrap w:val="0"/>
                  <w:vAlign w:val="center"/>
                </w:tcPr>
                <w:p w14:paraId="39CD13A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mg/L</w:t>
                  </w:r>
                </w:p>
              </w:tc>
              <w:tc>
                <w:tcPr>
                  <w:tcW w:w="590" w:type="pct"/>
                  <w:tcBorders>
                    <w:tl2br w:val="nil"/>
                    <w:tr2bl w:val="nil"/>
                  </w:tcBorders>
                  <w:noWrap w:val="0"/>
                  <w:vAlign w:val="center"/>
                </w:tcPr>
                <w:p w14:paraId="28C6927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36.0</w:t>
                  </w:r>
                </w:p>
              </w:tc>
              <w:tc>
                <w:tcPr>
                  <w:tcW w:w="590" w:type="pct"/>
                  <w:tcBorders>
                    <w:tl2br w:val="nil"/>
                    <w:tr2bl w:val="nil"/>
                  </w:tcBorders>
                  <w:noWrap w:val="0"/>
                  <w:vAlign w:val="center"/>
                </w:tcPr>
                <w:p w14:paraId="76746EB7">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35.0</w:t>
                  </w:r>
                </w:p>
              </w:tc>
              <w:tc>
                <w:tcPr>
                  <w:tcW w:w="590" w:type="pct"/>
                  <w:tcBorders>
                    <w:tl2br w:val="nil"/>
                    <w:tr2bl w:val="nil"/>
                  </w:tcBorders>
                  <w:noWrap w:val="0"/>
                  <w:vAlign w:val="center"/>
                </w:tcPr>
                <w:p w14:paraId="20787587">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34.3</w:t>
                  </w:r>
                </w:p>
              </w:tc>
              <w:tc>
                <w:tcPr>
                  <w:tcW w:w="591" w:type="pct"/>
                  <w:tcBorders>
                    <w:tl2br w:val="nil"/>
                    <w:tr2bl w:val="nil"/>
                  </w:tcBorders>
                  <w:noWrap w:val="0"/>
                  <w:vAlign w:val="center"/>
                </w:tcPr>
                <w:p w14:paraId="509FFCE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36.0</w:t>
                  </w:r>
                </w:p>
              </w:tc>
              <w:tc>
                <w:tcPr>
                  <w:tcW w:w="596" w:type="pct"/>
                  <w:tcBorders>
                    <w:tl2br w:val="nil"/>
                    <w:tr2bl w:val="nil"/>
                  </w:tcBorders>
                  <w:noWrap w:val="0"/>
                  <w:vAlign w:val="center"/>
                </w:tcPr>
                <w:p w14:paraId="08CBC3D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35.3</w:t>
                  </w:r>
                </w:p>
              </w:tc>
            </w:tr>
            <w:tr w14:paraId="08D8D8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vMerge w:val="continue"/>
                  <w:tcBorders>
                    <w:tl2br w:val="nil"/>
                    <w:tr2bl w:val="nil"/>
                  </w:tcBorders>
                  <w:noWrap w:val="0"/>
                  <w:vAlign w:val="center"/>
                </w:tcPr>
                <w:p w14:paraId="7C70FBFC">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820" w:type="pct"/>
                  <w:tcBorders>
                    <w:tl2br w:val="nil"/>
                    <w:tr2bl w:val="nil"/>
                  </w:tcBorders>
                  <w:noWrap w:val="0"/>
                  <w:vAlign w:val="center"/>
                </w:tcPr>
                <w:p w14:paraId="5580891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悬浮物</w:t>
                  </w:r>
                </w:p>
              </w:tc>
              <w:tc>
                <w:tcPr>
                  <w:tcW w:w="499" w:type="pct"/>
                  <w:tcBorders>
                    <w:tl2br w:val="nil"/>
                    <w:tr2bl w:val="nil"/>
                  </w:tcBorders>
                  <w:noWrap w:val="0"/>
                  <w:vAlign w:val="center"/>
                </w:tcPr>
                <w:p w14:paraId="6A46CEF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mg/L</w:t>
                  </w:r>
                </w:p>
              </w:tc>
              <w:tc>
                <w:tcPr>
                  <w:tcW w:w="590" w:type="pct"/>
                  <w:tcBorders>
                    <w:tl2br w:val="nil"/>
                    <w:tr2bl w:val="nil"/>
                  </w:tcBorders>
                  <w:noWrap w:val="0"/>
                  <w:vAlign w:val="center"/>
                </w:tcPr>
                <w:p w14:paraId="7D36E5E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w:t>
                  </w:r>
                </w:p>
              </w:tc>
              <w:tc>
                <w:tcPr>
                  <w:tcW w:w="590" w:type="pct"/>
                  <w:tcBorders>
                    <w:tl2br w:val="nil"/>
                    <w:tr2bl w:val="nil"/>
                  </w:tcBorders>
                  <w:noWrap w:val="0"/>
                  <w:vAlign w:val="center"/>
                </w:tcPr>
                <w:p w14:paraId="3ED52AA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44</w:t>
                  </w:r>
                </w:p>
              </w:tc>
              <w:tc>
                <w:tcPr>
                  <w:tcW w:w="590" w:type="pct"/>
                  <w:tcBorders>
                    <w:tl2br w:val="nil"/>
                    <w:tr2bl w:val="nil"/>
                  </w:tcBorders>
                  <w:noWrap w:val="0"/>
                  <w:vAlign w:val="center"/>
                </w:tcPr>
                <w:p w14:paraId="219C3DD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w:t>
                  </w:r>
                </w:p>
              </w:tc>
              <w:tc>
                <w:tcPr>
                  <w:tcW w:w="591" w:type="pct"/>
                  <w:tcBorders>
                    <w:tl2br w:val="nil"/>
                    <w:tr2bl w:val="nil"/>
                  </w:tcBorders>
                  <w:noWrap w:val="0"/>
                  <w:vAlign w:val="center"/>
                </w:tcPr>
                <w:p w14:paraId="7EF78B8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c>
                <w:tcPr>
                  <w:tcW w:w="596" w:type="pct"/>
                  <w:tcBorders>
                    <w:tl2br w:val="nil"/>
                    <w:tr2bl w:val="nil"/>
                  </w:tcBorders>
                  <w:noWrap w:val="0"/>
                  <w:vAlign w:val="center"/>
                </w:tcPr>
                <w:p w14:paraId="1194729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w:t>
                  </w:r>
                </w:p>
              </w:tc>
            </w:tr>
            <w:tr w14:paraId="039189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vMerge w:val="continue"/>
                  <w:tcBorders>
                    <w:tl2br w:val="nil"/>
                    <w:tr2bl w:val="nil"/>
                  </w:tcBorders>
                  <w:noWrap w:val="0"/>
                  <w:vAlign w:val="center"/>
                </w:tcPr>
                <w:p w14:paraId="32F66B36">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820" w:type="pct"/>
                  <w:tcBorders>
                    <w:tl2br w:val="nil"/>
                    <w:tr2bl w:val="nil"/>
                  </w:tcBorders>
                  <w:noWrap w:val="0"/>
                  <w:vAlign w:val="center"/>
                </w:tcPr>
                <w:p w14:paraId="1429241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氨氮</w:t>
                  </w:r>
                </w:p>
              </w:tc>
              <w:tc>
                <w:tcPr>
                  <w:tcW w:w="499" w:type="pct"/>
                  <w:tcBorders>
                    <w:tl2br w:val="nil"/>
                    <w:tr2bl w:val="nil"/>
                  </w:tcBorders>
                  <w:noWrap w:val="0"/>
                  <w:vAlign w:val="center"/>
                </w:tcPr>
                <w:p w14:paraId="7D58C644">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mg/L</w:t>
                  </w:r>
                </w:p>
              </w:tc>
              <w:tc>
                <w:tcPr>
                  <w:tcW w:w="590" w:type="pct"/>
                  <w:tcBorders>
                    <w:tl2br w:val="nil"/>
                    <w:tr2bl w:val="nil"/>
                  </w:tcBorders>
                  <w:noWrap w:val="0"/>
                  <w:vAlign w:val="center"/>
                </w:tcPr>
                <w:p w14:paraId="6637B7F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5.22</w:t>
                  </w:r>
                </w:p>
              </w:tc>
              <w:tc>
                <w:tcPr>
                  <w:tcW w:w="590" w:type="pct"/>
                  <w:tcBorders>
                    <w:tl2br w:val="nil"/>
                    <w:tr2bl w:val="nil"/>
                  </w:tcBorders>
                  <w:noWrap w:val="0"/>
                  <w:vAlign w:val="center"/>
                </w:tcPr>
                <w:p w14:paraId="2B53E69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5.19</w:t>
                  </w:r>
                </w:p>
              </w:tc>
              <w:tc>
                <w:tcPr>
                  <w:tcW w:w="590" w:type="pct"/>
                  <w:tcBorders>
                    <w:tl2br w:val="nil"/>
                    <w:tr2bl w:val="nil"/>
                  </w:tcBorders>
                  <w:noWrap w:val="0"/>
                  <w:vAlign w:val="center"/>
                </w:tcPr>
                <w:p w14:paraId="3ADDCBC7">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5.05</w:t>
                  </w:r>
                </w:p>
              </w:tc>
              <w:tc>
                <w:tcPr>
                  <w:tcW w:w="591" w:type="pct"/>
                  <w:tcBorders>
                    <w:tl2br w:val="nil"/>
                    <w:tr2bl w:val="nil"/>
                  </w:tcBorders>
                  <w:noWrap w:val="0"/>
                  <w:vAlign w:val="center"/>
                </w:tcPr>
                <w:p w14:paraId="71EB4FE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5.13</w:t>
                  </w:r>
                </w:p>
              </w:tc>
              <w:tc>
                <w:tcPr>
                  <w:tcW w:w="596" w:type="pct"/>
                  <w:tcBorders>
                    <w:tl2br w:val="nil"/>
                    <w:tr2bl w:val="nil"/>
                  </w:tcBorders>
                  <w:noWrap w:val="0"/>
                  <w:vAlign w:val="center"/>
                </w:tcPr>
                <w:p w14:paraId="550810C8">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5.15</w:t>
                  </w:r>
                </w:p>
              </w:tc>
            </w:tr>
            <w:tr w14:paraId="7ABC5D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vMerge w:val="continue"/>
                  <w:tcBorders>
                    <w:tl2br w:val="nil"/>
                    <w:tr2bl w:val="nil"/>
                  </w:tcBorders>
                  <w:noWrap w:val="0"/>
                  <w:vAlign w:val="center"/>
                </w:tcPr>
                <w:p w14:paraId="118AD0C6">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820" w:type="pct"/>
                  <w:tcBorders>
                    <w:tl2br w:val="nil"/>
                    <w:tr2bl w:val="nil"/>
                  </w:tcBorders>
                  <w:noWrap w:val="0"/>
                  <w:vAlign w:val="center"/>
                </w:tcPr>
                <w:p w14:paraId="0CA093F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总磷</w:t>
                  </w:r>
                </w:p>
              </w:tc>
              <w:tc>
                <w:tcPr>
                  <w:tcW w:w="499" w:type="pct"/>
                  <w:tcBorders>
                    <w:tl2br w:val="nil"/>
                    <w:tr2bl w:val="nil"/>
                  </w:tcBorders>
                  <w:noWrap w:val="0"/>
                  <w:vAlign w:val="center"/>
                </w:tcPr>
                <w:p w14:paraId="34323C07">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mg/L</w:t>
                  </w:r>
                </w:p>
              </w:tc>
              <w:tc>
                <w:tcPr>
                  <w:tcW w:w="590" w:type="pct"/>
                  <w:tcBorders>
                    <w:tl2br w:val="nil"/>
                    <w:tr2bl w:val="nil"/>
                  </w:tcBorders>
                  <w:noWrap w:val="0"/>
                  <w:vAlign w:val="center"/>
                </w:tcPr>
                <w:p w14:paraId="331AB67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0.74</w:t>
                  </w:r>
                </w:p>
              </w:tc>
              <w:tc>
                <w:tcPr>
                  <w:tcW w:w="590" w:type="pct"/>
                  <w:tcBorders>
                    <w:tl2br w:val="nil"/>
                    <w:tr2bl w:val="nil"/>
                  </w:tcBorders>
                  <w:noWrap w:val="0"/>
                  <w:vAlign w:val="center"/>
                </w:tcPr>
                <w:p w14:paraId="0B9F7C7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0.79</w:t>
                  </w:r>
                </w:p>
              </w:tc>
              <w:tc>
                <w:tcPr>
                  <w:tcW w:w="590" w:type="pct"/>
                  <w:tcBorders>
                    <w:tl2br w:val="nil"/>
                    <w:tr2bl w:val="nil"/>
                  </w:tcBorders>
                  <w:noWrap w:val="0"/>
                  <w:vAlign w:val="center"/>
                </w:tcPr>
                <w:p w14:paraId="1D20C8F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0.80</w:t>
                  </w:r>
                </w:p>
              </w:tc>
              <w:tc>
                <w:tcPr>
                  <w:tcW w:w="591" w:type="pct"/>
                  <w:tcBorders>
                    <w:tl2br w:val="nil"/>
                    <w:tr2bl w:val="nil"/>
                  </w:tcBorders>
                  <w:noWrap w:val="0"/>
                  <w:vAlign w:val="center"/>
                </w:tcPr>
                <w:p w14:paraId="0B24896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0.86</w:t>
                  </w:r>
                </w:p>
              </w:tc>
              <w:tc>
                <w:tcPr>
                  <w:tcW w:w="596" w:type="pct"/>
                  <w:tcBorders>
                    <w:tl2br w:val="nil"/>
                    <w:tr2bl w:val="nil"/>
                  </w:tcBorders>
                  <w:noWrap w:val="0"/>
                  <w:vAlign w:val="center"/>
                </w:tcPr>
                <w:p w14:paraId="3EFBC7C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0.80</w:t>
                  </w:r>
                </w:p>
              </w:tc>
            </w:tr>
            <w:tr w14:paraId="508829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pct"/>
                  <w:vMerge w:val="continue"/>
                  <w:tcBorders>
                    <w:tl2br w:val="nil"/>
                    <w:tr2bl w:val="nil"/>
                  </w:tcBorders>
                  <w:noWrap w:val="0"/>
                  <w:vAlign w:val="center"/>
                </w:tcPr>
                <w:p w14:paraId="3D6A2DD1">
                  <w:pPr>
                    <w:keepNext w:val="0"/>
                    <w:keepLines w:val="0"/>
                    <w:pageBreakBefore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820" w:type="pct"/>
                  <w:tcBorders>
                    <w:tl2br w:val="nil"/>
                    <w:tr2bl w:val="nil"/>
                  </w:tcBorders>
                  <w:noWrap w:val="0"/>
                  <w:vAlign w:val="center"/>
                </w:tcPr>
                <w:p w14:paraId="3E1E7C7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总氮</w:t>
                  </w:r>
                </w:p>
              </w:tc>
              <w:tc>
                <w:tcPr>
                  <w:tcW w:w="499" w:type="pct"/>
                  <w:tcBorders>
                    <w:tl2br w:val="nil"/>
                    <w:tr2bl w:val="nil"/>
                  </w:tcBorders>
                  <w:noWrap w:val="0"/>
                  <w:vAlign w:val="center"/>
                </w:tcPr>
                <w:p w14:paraId="6DE685C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mg/L</w:t>
                  </w:r>
                </w:p>
              </w:tc>
              <w:tc>
                <w:tcPr>
                  <w:tcW w:w="590" w:type="pct"/>
                  <w:tcBorders>
                    <w:tl2br w:val="nil"/>
                    <w:tr2bl w:val="nil"/>
                  </w:tcBorders>
                  <w:noWrap w:val="0"/>
                  <w:vAlign w:val="center"/>
                </w:tcPr>
                <w:p w14:paraId="4B79D724">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7.96</w:t>
                  </w:r>
                </w:p>
              </w:tc>
              <w:tc>
                <w:tcPr>
                  <w:tcW w:w="590" w:type="pct"/>
                  <w:tcBorders>
                    <w:tl2br w:val="nil"/>
                    <w:tr2bl w:val="nil"/>
                  </w:tcBorders>
                  <w:noWrap w:val="0"/>
                  <w:vAlign w:val="center"/>
                </w:tcPr>
                <w:p w14:paraId="07766AAC">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8.12</w:t>
                  </w:r>
                </w:p>
              </w:tc>
              <w:tc>
                <w:tcPr>
                  <w:tcW w:w="590" w:type="pct"/>
                  <w:tcBorders>
                    <w:tl2br w:val="nil"/>
                    <w:tr2bl w:val="nil"/>
                  </w:tcBorders>
                  <w:noWrap w:val="0"/>
                  <w:vAlign w:val="center"/>
                </w:tcPr>
                <w:p w14:paraId="77B67AE5">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8.17</w:t>
                  </w:r>
                </w:p>
              </w:tc>
              <w:tc>
                <w:tcPr>
                  <w:tcW w:w="591" w:type="pct"/>
                  <w:tcBorders>
                    <w:tl2br w:val="nil"/>
                    <w:tr2bl w:val="nil"/>
                  </w:tcBorders>
                  <w:noWrap w:val="0"/>
                  <w:vAlign w:val="center"/>
                </w:tcPr>
                <w:p w14:paraId="0274DAA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8.01</w:t>
                  </w:r>
                </w:p>
              </w:tc>
              <w:tc>
                <w:tcPr>
                  <w:tcW w:w="596" w:type="pct"/>
                  <w:tcBorders>
                    <w:tl2br w:val="nil"/>
                    <w:tr2bl w:val="nil"/>
                  </w:tcBorders>
                  <w:noWrap w:val="0"/>
                  <w:vAlign w:val="center"/>
                </w:tcPr>
                <w:p w14:paraId="5CB919E7">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8.06</w:t>
                  </w:r>
                </w:p>
              </w:tc>
            </w:tr>
            <w:tr w14:paraId="236ADB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tcBorders>
                    <w:tl2br w:val="nil"/>
                    <w:tr2bl w:val="nil"/>
                  </w:tcBorders>
                  <w:noWrap w:val="0"/>
                  <w:vAlign w:val="center"/>
                </w:tcPr>
                <w:p w14:paraId="0887D74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lang w:val="en-US" w:eastAsia="zh-CN"/>
                    </w:rPr>
                    <w:t>根据企业提供的数据，厂区总排口废水流量为</w:t>
                  </w:r>
                  <w:r>
                    <w:rPr>
                      <w:rFonts w:hint="eastAsia" w:ascii="Times New Roman" w:hAnsi="Times New Roman" w:eastAsia="宋体" w:cs="Times New Roman"/>
                      <w:b w:val="0"/>
                      <w:bCs w:val="0"/>
                      <w:color w:val="auto"/>
                      <w:kern w:val="2"/>
                      <w:sz w:val="21"/>
                      <w:szCs w:val="21"/>
                      <w:lang w:val="en-US" w:eastAsia="zh-CN"/>
                    </w:rPr>
                    <w:t>0.9</w:t>
                  </w:r>
                  <w:r>
                    <w:rPr>
                      <w:rFonts w:hint="default" w:ascii="Times New Roman" w:hAnsi="Times New Roman" w:eastAsia="宋体" w:cs="Times New Roman"/>
                      <w:b w:val="0"/>
                      <w:bCs w:val="0"/>
                      <w:color w:val="auto"/>
                      <w:kern w:val="2"/>
                      <w:sz w:val="21"/>
                      <w:szCs w:val="21"/>
                      <w:lang w:val="en-US" w:eastAsia="zh-CN"/>
                    </w:rPr>
                    <w:t>t/d</w:t>
                  </w:r>
                </w:p>
              </w:tc>
            </w:tr>
          </w:tbl>
          <w:p w14:paraId="715484DE">
            <w:pPr>
              <w:spacing w:after="0" w:line="460" w:lineRule="exact"/>
              <w:ind w:firstLine="480" w:firstLineChars="200"/>
              <w:jc w:val="both"/>
              <w:rPr>
                <w:rFonts w:eastAsia="宋体"/>
                <w:b/>
                <w:bCs/>
                <w:color w:val="auto"/>
                <w:sz w:val="24"/>
                <w:szCs w:val="24"/>
              </w:rPr>
            </w:pPr>
            <w:r>
              <w:rPr>
                <w:rFonts w:hint="default" w:ascii="Times New Roman" w:hAnsi="Times New Roman" w:eastAsia="宋体" w:cs="Times New Roman"/>
                <w:color w:val="auto"/>
                <w:kern w:val="2"/>
                <w:sz w:val="24"/>
                <w:szCs w:val="24"/>
                <w:lang w:val="en-US" w:eastAsia="zh-CN"/>
              </w:rPr>
              <w:t>根据监测结果，本项目厂区总排口水质</w:t>
            </w:r>
            <w:r>
              <w:rPr>
                <w:rFonts w:hint="default" w:ascii="Times New Roman" w:hAnsi="Times New Roman" w:eastAsia="宋体" w:cs="Times New Roman"/>
                <w:color w:val="auto"/>
                <w:sz w:val="24"/>
                <w:szCs w:val="24"/>
                <w:highlight w:val="none"/>
                <w:lang w:val="en-US" w:eastAsia="zh-CN"/>
              </w:rPr>
              <w:t>化学需氧量</w:t>
            </w:r>
            <w:r>
              <w:rPr>
                <w:rFonts w:hint="default" w:ascii="Times New Roman" w:hAnsi="Times New Roman" w:eastAsia="宋体" w:cs="Times New Roman"/>
                <w:color w:val="auto"/>
                <w:kern w:val="2"/>
                <w:sz w:val="24"/>
                <w:szCs w:val="24"/>
                <w:lang w:val="en-US" w:eastAsia="zh-CN"/>
              </w:rPr>
              <w:t>95-105mg/L、</w:t>
            </w:r>
            <w:r>
              <w:rPr>
                <w:rFonts w:hint="default" w:ascii="Times New Roman" w:hAnsi="Times New Roman" w:eastAsia="宋体" w:cs="Times New Roman"/>
                <w:color w:val="auto"/>
                <w:sz w:val="24"/>
                <w:szCs w:val="24"/>
                <w:highlight w:val="none"/>
                <w:lang w:val="en-US" w:eastAsia="zh-CN"/>
              </w:rPr>
              <w:t>BOD</w:t>
            </w:r>
            <w:r>
              <w:rPr>
                <w:rFonts w:hint="default"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kern w:val="2"/>
                <w:sz w:val="24"/>
                <w:szCs w:val="24"/>
                <w:lang w:val="en-US" w:eastAsia="zh-CN"/>
              </w:rPr>
              <w:t>34.3-38.5mg/L、</w:t>
            </w:r>
            <w:r>
              <w:rPr>
                <w:rFonts w:hint="default" w:ascii="Times New Roman" w:hAnsi="Times New Roman" w:eastAsia="宋体" w:cs="Times New Roman"/>
                <w:color w:val="auto"/>
                <w:sz w:val="24"/>
                <w:szCs w:val="24"/>
                <w:highlight w:val="none"/>
                <w:lang w:val="en-US" w:eastAsia="zh-CN"/>
              </w:rPr>
              <w:t>悬浮物</w:t>
            </w:r>
            <w:r>
              <w:rPr>
                <w:rFonts w:hint="default" w:ascii="Times New Roman" w:hAnsi="Times New Roman" w:eastAsia="宋体" w:cs="Times New Roman"/>
                <w:color w:val="auto"/>
                <w:kern w:val="2"/>
                <w:sz w:val="24"/>
                <w:szCs w:val="24"/>
                <w:lang w:val="en-US" w:eastAsia="zh-CN"/>
              </w:rPr>
              <w:t>32-44mg/L、</w:t>
            </w:r>
            <w:r>
              <w:rPr>
                <w:rFonts w:hint="default" w:ascii="Times New Roman" w:hAnsi="Times New Roman" w:eastAsia="宋体" w:cs="Times New Roman"/>
                <w:color w:val="auto"/>
                <w:sz w:val="24"/>
                <w:szCs w:val="24"/>
                <w:highlight w:val="none"/>
                <w:lang w:val="en-US" w:eastAsia="zh-CN"/>
              </w:rPr>
              <w:t>氨氮5.02-5.23</w:t>
            </w:r>
            <w:r>
              <w:rPr>
                <w:rFonts w:hint="default" w:ascii="Times New Roman" w:hAnsi="Times New Roman" w:eastAsia="宋体" w:cs="Times New Roman"/>
                <w:color w:val="auto"/>
                <w:kern w:val="2"/>
                <w:sz w:val="24"/>
                <w:szCs w:val="24"/>
                <w:lang w:val="en-US" w:eastAsia="zh-CN"/>
              </w:rPr>
              <w:t>mg/L、</w:t>
            </w:r>
            <w:r>
              <w:rPr>
                <w:rFonts w:hint="default" w:ascii="Times New Roman" w:hAnsi="Times New Roman" w:eastAsia="宋体" w:cs="Times New Roman"/>
                <w:color w:val="auto"/>
                <w:sz w:val="24"/>
                <w:szCs w:val="24"/>
                <w:highlight w:val="none"/>
                <w:lang w:val="en-US" w:eastAsia="zh-CN"/>
              </w:rPr>
              <w:t>总磷0.72-0.86</w:t>
            </w:r>
            <w:r>
              <w:rPr>
                <w:rFonts w:hint="default" w:ascii="Times New Roman" w:hAnsi="Times New Roman" w:eastAsia="宋体" w:cs="Times New Roman"/>
                <w:color w:val="auto"/>
                <w:kern w:val="2"/>
                <w:sz w:val="24"/>
                <w:szCs w:val="24"/>
                <w:lang w:val="en-US" w:eastAsia="zh-CN"/>
              </w:rPr>
              <w:t>mg/L</w:t>
            </w:r>
            <w:r>
              <w:rPr>
                <w:rFonts w:hint="default" w:ascii="Times New Roman" w:hAnsi="Times New Roman" w:eastAsia="宋体" w:cs="Times New Roman"/>
                <w:color w:val="auto"/>
                <w:sz w:val="24"/>
                <w:szCs w:val="24"/>
                <w:highlight w:val="none"/>
                <w:lang w:val="en-US" w:eastAsia="zh-CN"/>
              </w:rPr>
              <w:t>、总氮</w:t>
            </w:r>
            <w:r>
              <w:rPr>
                <w:rFonts w:hint="default" w:ascii="Times New Roman" w:hAnsi="Times New Roman" w:eastAsia="宋体" w:cs="Times New Roman"/>
                <w:color w:val="auto"/>
                <w:kern w:val="2"/>
                <w:sz w:val="24"/>
                <w:szCs w:val="24"/>
                <w:lang w:val="en-US" w:eastAsia="zh-CN"/>
              </w:rPr>
              <w:t>7.8-8.17mg/L，均能够</w:t>
            </w:r>
            <w:r>
              <w:rPr>
                <w:rFonts w:hint="default" w:ascii="Times New Roman" w:hAnsi="Times New Roman" w:eastAsia="宋体" w:cs="Times New Roman"/>
                <w:color w:val="auto"/>
                <w:sz w:val="24"/>
                <w:szCs w:val="24"/>
                <w:highlight w:val="none"/>
              </w:rPr>
              <w:t>满足</w:t>
            </w:r>
            <w:r>
              <w:rPr>
                <w:rFonts w:hint="default" w:ascii="Times New Roman" w:hAnsi="Times New Roman" w:eastAsia="宋体" w:cs="Times New Roman"/>
                <w:color w:val="auto"/>
                <w:sz w:val="24"/>
                <w:szCs w:val="24"/>
                <w:highlight w:val="none"/>
              </w:rPr>
              <w:t>延津县第一污水处理厂收水标准（COD 350mg/L、</w:t>
            </w:r>
            <w:r>
              <w:rPr>
                <w:rFonts w:hint="default" w:ascii="Times New Roman" w:hAnsi="Times New Roman" w:eastAsia="宋体" w:cs="Times New Roman"/>
                <w:color w:val="auto"/>
                <w:sz w:val="24"/>
                <w:szCs w:val="24"/>
                <w:highlight w:val="none"/>
                <w:lang w:val="en-US" w:eastAsia="zh-CN"/>
              </w:rPr>
              <w:t>BOD</w:t>
            </w:r>
            <w:r>
              <w:rPr>
                <w:rFonts w:hint="default"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lang w:val="en-US" w:eastAsia="zh-CN"/>
              </w:rPr>
              <w:t xml:space="preserve"> 150</w:t>
            </w:r>
            <w:r>
              <w:rPr>
                <w:rFonts w:hint="default" w:ascii="Times New Roman" w:hAnsi="Times New Roman" w:eastAsia="宋体" w:cs="Times New Roman"/>
                <w:color w:val="auto"/>
                <w:sz w:val="24"/>
                <w:szCs w:val="24"/>
                <w:highlight w:val="none"/>
              </w:rPr>
              <w:t>mg/L</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SS 2</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0mg/L、NH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40mg/L、TP</w:t>
            </w:r>
            <w:r>
              <w:rPr>
                <w:rFonts w:hint="default" w:ascii="Times New Roman" w:hAnsi="Times New Roman" w:eastAsia="宋体" w:cs="Times New Roman"/>
                <w:color w:val="auto"/>
                <w:sz w:val="24"/>
                <w:szCs w:val="24"/>
                <w:highlight w:val="none"/>
                <w:lang w:val="en-US" w:eastAsia="zh-CN"/>
              </w:rPr>
              <w:t xml:space="preserve"> 4</w:t>
            </w:r>
            <w:r>
              <w:rPr>
                <w:rFonts w:hint="default" w:ascii="Times New Roman" w:hAnsi="Times New Roman" w:eastAsia="宋体" w:cs="Times New Roman"/>
                <w:color w:val="auto"/>
                <w:sz w:val="24"/>
                <w:szCs w:val="24"/>
                <w:highlight w:val="none"/>
              </w:rPr>
              <w:t>mg/L、</w:t>
            </w:r>
            <w:r>
              <w:rPr>
                <w:rFonts w:hint="default" w:ascii="Times New Roman" w:hAnsi="Times New Roman" w:eastAsia="宋体" w:cs="Times New Roman"/>
                <w:color w:val="auto"/>
                <w:sz w:val="24"/>
                <w:szCs w:val="24"/>
                <w:highlight w:val="none"/>
              </w:rPr>
              <w:t>TN</w:t>
            </w:r>
            <w:r>
              <w:rPr>
                <w:rFonts w:hint="default" w:ascii="Times New Roman" w:hAnsi="Times New Roman" w:eastAsia="宋体" w:cs="Times New Roman"/>
                <w:color w:val="auto"/>
                <w:sz w:val="24"/>
                <w:szCs w:val="24"/>
                <w:highlight w:val="none"/>
                <w:lang w:val="en-US" w:eastAsia="zh-CN"/>
              </w:rPr>
              <w:t xml:space="preserve"> </w:t>
            </w:r>
            <w:r>
              <w:rPr>
                <w:rFonts w:hint="eastAsia" w:eastAsia="宋体" w:cs="Times New Roman"/>
                <w:color w:val="auto"/>
                <w:sz w:val="24"/>
                <w:szCs w:val="24"/>
                <w:highlight w:val="none"/>
                <w:lang w:val="en-US" w:eastAsia="zh-CN"/>
              </w:rPr>
              <w:t>55</w:t>
            </w:r>
            <w:r>
              <w:rPr>
                <w:rFonts w:hint="default" w:ascii="Times New Roman" w:hAnsi="Times New Roman" w:eastAsia="宋体" w:cs="Times New Roman"/>
                <w:color w:val="auto"/>
                <w:sz w:val="24"/>
                <w:szCs w:val="24"/>
                <w:highlight w:val="none"/>
              </w:rPr>
              <w:t>mg/L</w:t>
            </w:r>
            <w:r>
              <w:rPr>
                <w:rFonts w:hint="default" w:ascii="Times New Roman" w:hAnsi="Times New Roman" w:eastAsia="宋体" w:cs="Times New Roman"/>
                <w:color w:val="auto"/>
                <w:sz w:val="24"/>
                <w:szCs w:val="24"/>
                <w:highlight w:val="none"/>
              </w:rPr>
              <w:t>）的限值要求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同时也满足《污水综合排放标准》（GB8978-1996）3级标准（SS 400mg/L、COD 500mg/L、BOD</w:t>
            </w:r>
            <w:r>
              <w:rPr>
                <w:rFonts w:hint="default"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lang w:val="en-US" w:eastAsia="zh-CN"/>
              </w:rPr>
              <w:t xml:space="preserve"> 300mg/L）</w:t>
            </w:r>
            <w:r>
              <w:rPr>
                <w:rFonts w:hint="default" w:ascii="Times New Roman" w:hAnsi="Times New Roman" w:eastAsia="宋体" w:cs="Times New Roman"/>
                <w:color w:val="auto"/>
                <w:sz w:val="24"/>
                <w:szCs w:val="24"/>
                <w:highlight w:val="none"/>
              </w:rPr>
              <w:t>的限值要求</w:t>
            </w:r>
            <w:r>
              <w:rPr>
                <w:rFonts w:hint="default" w:ascii="Times New Roman" w:hAnsi="Times New Roman" w:eastAsia="宋体" w:cs="Times New Roman"/>
                <w:color w:val="auto"/>
                <w:sz w:val="24"/>
                <w:szCs w:val="24"/>
                <w:highlight w:val="none"/>
                <w:lang w:val="en-US" w:eastAsia="zh-CN"/>
              </w:rPr>
              <w:t>。</w:t>
            </w:r>
          </w:p>
          <w:p w14:paraId="0B03E4E4">
            <w:pPr>
              <w:spacing w:after="0" w:line="460" w:lineRule="exact"/>
              <w:ind w:firstLine="482" w:firstLineChars="200"/>
              <w:jc w:val="both"/>
              <w:rPr>
                <w:rFonts w:eastAsia="宋体"/>
                <w:b/>
                <w:bCs/>
                <w:color w:val="auto"/>
                <w:sz w:val="24"/>
                <w:szCs w:val="24"/>
              </w:rPr>
            </w:pPr>
            <w:r>
              <w:rPr>
                <w:rFonts w:eastAsia="宋体"/>
                <w:b/>
                <w:bCs/>
                <w:color w:val="auto"/>
                <w:sz w:val="24"/>
                <w:szCs w:val="24"/>
              </w:rPr>
              <w:t>（</w:t>
            </w:r>
            <w:r>
              <w:rPr>
                <w:rFonts w:hint="eastAsia" w:eastAsia="宋体"/>
                <w:b/>
                <w:bCs/>
                <w:color w:val="auto"/>
                <w:sz w:val="24"/>
                <w:szCs w:val="24"/>
                <w:lang w:val="en-US" w:eastAsia="zh-CN"/>
              </w:rPr>
              <w:t>2</w:t>
            </w:r>
            <w:r>
              <w:rPr>
                <w:rFonts w:eastAsia="宋体"/>
                <w:b/>
                <w:bCs/>
                <w:color w:val="auto"/>
                <w:sz w:val="24"/>
                <w:szCs w:val="24"/>
              </w:rPr>
              <w:t>）废气</w:t>
            </w:r>
          </w:p>
          <w:p w14:paraId="4671559A">
            <w:pPr>
              <w:spacing w:after="0" w:line="460" w:lineRule="exact"/>
              <w:ind w:firstLine="480" w:firstLineChars="200"/>
              <w:jc w:val="both"/>
              <w:rPr>
                <w:rFonts w:hint="default" w:ascii="Times New Roman" w:hAnsi="Times New Roman" w:eastAsia="微软雅黑" w:cs="Times New Roman"/>
                <w:color w:val="auto"/>
                <w:sz w:val="21"/>
                <w:szCs w:val="21"/>
                <w:highlight w:val="none"/>
                <w:lang w:val="en-US" w:eastAsia="zh-CN"/>
              </w:rPr>
            </w:pPr>
            <w:r>
              <w:rPr>
                <w:rFonts w:eastAsia="宋体"/>
                <w:color w:val="auto"/>
                <w:kern w:val="2"/>
                <w:sz w:val="24"/>
                <w:szCs w:val="20"/>
              </w:rPr>
              <w:t>本项目</w:t>
            </w:r>
            <w:r>
              <w:rPr>
                <w:rFonts w:eastAsia="宋体"/>
                <w:color w:val="auto"/>
                <w:kern w:val="2"/>
                <w:sz w:val="24"/>
                <w:szCs w:val="24"/>
              </w:rPr>
              <w:t>有组织</w:t>
            </w:r>
            <w:r>
              <w:rPr>
                <w:rFonts w:hint="eastAsia" w:eastAsia="宋体"/>
                <w:color w:val="auto"/>
                <w:kern w:val="2"/>
                <w:sz w:val="24"/>
                <w:szCs w:val="20"/>
                <w:lang w:val="en-US" w:eastAsia="zh-CN"/>
              </w:rPr>
              <w:t>废气主要为吹瓶工序产生的非甲烷总烃。项目</w:t>
            </w:r>
            <w:r>
              <w:rPr>
                <w:rFonts w:hint="eastAsia" w:eastAsia="宋体"/>
                <w:color w:val="auto"/>
                <w:kern w:val="2"/>
                <w:sz w:val="24"/>
                <w:szCs w:val="20"/>
              </w:rPr>
              <w:t>对吹</w:t>
            </w:r>
            <w:r>
              <w:rPr>
                <w:rFonts w:hint="eastAsia" w:eastAsia="宋体"/>
                <w:color w:val="auto"/>
                <w:kern w:val="2"/>
                <w:sz w:val="24"/>
                <w:szCs w:val="20"/>
                <w:lang w:val="en-US" w:eastAsia="zh-CN"/>
              </w:rPr>
              <w:t>瓶工序进行</w:t>
            </w:r>
            <w:r>
              <w:rPr>
                <w:rFonts w:hint="eastAsia" w:eastAsia="宋体"/>
                <w:color w:val="auto"/>
                <w:kern w:val="2"/>
                <w:sz w:val="24"/>
                <w:szCs w:val="20"/>
              </w:rPr>
              <w:t>密闭，吹</w:t>
            </w:r>
            <w:r>
              <w:rPr>
                <w:rFonts w:hint="eastAsia" w:eastAsia="宋体"/>
                <w:color w:val="auto"/>
                <w:kern w:val="2"/>
                <w:sz w:val="24"/>
                <w:szCs w:val="20"/>
                <w:lang w:val="en-US" w:eastAsia="zh-CN"/>
              </w:rPr>
              <w:t>瓶</w:t>
            </w:r>
            <w:r>
              <w:rPr>
                <w:rFonts w:eastAsia="宋体"/>
                <w:color w:val="auto"/>
                <w:kern w:val="2"/>
                <w:sz w:val="24"/>
                <w:szCs w:val="20"/>
              </w:rPr>
              <w:t>废气经</w:t>
            </w:r>
            <w:r>
              <w:rPr>
                <w:rFonts w:hint="eastAsia" w:eastAsia="宋体"/>
                <w:color w:val="auto"/>
                <w:kern w:val="2"/>
                <w:sz w:val="24"/>
                <w:szCs w:val="20"/>
              </w:rPr>
              <w:t>负压</w:t>
            </w:r>
            <w:r>
              <w:rPr>
                <w:rFonts w:eastAsia="宋体"/>
                <w:color w:val="auto"/>
                <w:kern w:val="2"/>
                <w:sz w:val="24"/>
                <w:szCs w:val="20"/>
              </w:rPr>
              <w:t>收集至1套</w:t>
            </w:r>
            <w:r>
              <w:rPr>
                <w:rFonts w:hint="eastAsia" w:eastAsia="宋体"/>
                <w:color w:val="auto"/>
                <w:kern w:val="2"/>
                <w:sz w:val="24"/>
                <w:szCs w:val="20"/>
                <w:lang w:eastAsia="zh-CN"/>
              </w:rPr>
              <w:t>“</w:t>
            </w:r>
            <w:r>
              <w:rPr>
                <w:rFonts w:eastAsia="宋体"/>
                <w:color w:val="auto"/>
                <w:kern w:val="2"/>
                <w:sz w:val="24"/>
                <w:szCs w:val="20"/>
              </w:rPr>
              <w:t>活性炭吸/脱附+催化燃烧</w:t>
            </w:r>
            <w:r>
              <w:rPr>
                <w:rFonts w:hint="eastAsia" w:eastAsia="宋体"/>
                <w:color w:val="auto"/>
                <w:kern w:val="2"/>
                <w:sz w:val="24"/>
                <w:szCs w:val="20"/>
                <w:lang w:eastAsia="zh-CN"/>
              </w:rPr>
              <w:t>”</w:t>
            </w:r>
            <w:r>
              <w:rPr>
                <w:rFonts w:hint="eastAsia" w:eastAsia="宋体"/>
                <w:color w:val="auto"/>
                <w:kern w:val="2"/>
                <w:sz w:val="24"/>
                <w:szCs w:val="20"/>
                <w:lang w:val="en-US" w:eastAsia="zh-CN"/>
              </w:rPr>
              <w:t>装置进行处理，处理后的废气</w:t>
            </w:r>
            <w:r>
              <w:rPr>
                <w:rFonts w:eastAsia="宋体"/>
                <w:color w:val="auto"/>
                <w:kern w:val="2"/>
                <w:sz w:val="24"/>
                <w:szCs w:val="20"/>
              </w:rPr>
              <w:t>经1根15m高排气筒排放</w:t>
            </w:r>
            <w:r>
              <w:rPr>
                <w:rFonts w:hint="eastAsia" w:eastAsia="宋体"/>
                <w:color w:val="auto"/>
                <w:kern w:val="2"/>
                <w:sz w:val="24"/>
                <w:szCs w:val="20"/>
                <w:lang w:eastAsia="zh-CN"/>
              </w:rPr>
              <w:t>，</w:t>
            </w:r>
            <w:r>
              <w:rPr>
                <w:rFonts w:hint="eastAsia" w:eastAsia="宋体"/>
                <w:color w:val="auto"/>
                <w:kern w:val="2"/>
                <w:sz w:val="24"/>
                <w:szCs w:val="20"/>
                <w:lang w:val="en-US" w:eastAsia="zh-CN"/>
              </w:rPr>
              <w:t>废气</w:t>
            </w:r>
            <w:r>
              <w:rPr>
                <w:rFonts w:hint="eastAsia" w:eastAsia="宋体"/>
                <w:color w:val="auto"/>
                <w:kern w:val="2"/>
                <w:sz w:val="24"/>
                <w:szCs w:val="24"/>
                <w:lang w:val="en-US" w:eastAsia="zh-CN"/>
              </w:rPr>
              <w:t>检测结果如下：</w:t>
            </w:r>
          </w:p>
          <w:p w14:paraId="29CB9F9F">
            <w:pPr>
              <w:spacing w:after="0" w:line="460" w:lineRule="exact"/>
              <w:ind w:firstLine="480" w:firstLineChars="200"/>
              <w:jc w:val="both"/>
              <w:rPr>
                <w:rFonts w:hint="eastAsia" w:eastAsia="黑体"/>
                <w:color w:val="auto"/>
                <w:sz w:val="24"/>
                <w:szCs w:val="21"/>
              </w:rPr>
            </w:pPr>
            <w:r>
              <w:rPr>
                <w:rFonts w:eastAsia="黑体"/>
                <w:color w:val="auto"/>
                <w:sz w:val="24"/>
                <w:szCs w:val="21"/>
              </w:rPr>
              <w:t xml:space="preserve">表16        </w:t>
            </w:r>
            <w:r>
              <w:rPr>
                <w:rFonts w:hint="eastAsia" w:eastAsia="黑体"/>
                <w:color w:val="auto"/>
                <w:sz w:val="24"/>
                <w:szCs w:val="21"/>
                <w:lang w:val="en-US" w:eastAsia="zh-CN"/>
              </w:rPr>
              <w:t xml:space="preserve">   </w:t>
            </w:r>
            <w:r>
              <w:rPr>
                <w:rFonts w:eastAsia="黑体"/>
                <w:color w:val="auto"/>
                <w:sz w:val="24"/>
                <w:szCs w:val="21"/>
              </w:rPr>
              <w:t xml:space="preserve">     有组织废气检测结果</w:t>
            </w:r>
            <w:r>
              <w:rPr>
                <w:rFonts w:hint="eastAsia" w:eastAsia="黑体"/>
                <w:color w:val="auto"/>
                <w:sz w:val="24"/>
                <w:szCs w:val="21"/>
              </w:rPr>
              <w:t>表1</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9"/>
              <w:gridCol w:w="1375"/>
              <w:gridCol w:w="701"/>
              <w:gridCol w:w="1349"/>
              <w:gridCol w:w="1812"/>
              <w:gridCol w:w="1817"/>
            </w:tblGrid>
            <w:tr w14:paraId="3F7E06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52" w:type="pct"/>
                  <w:vMerge w:val="restart"/>
                  <w:tcBorders>
                    <w:tl2br w:val="nil"/>
                    <w:tr2bl w:val="nil"/>
                  </w:tcBorders>
                  <w:noWrap w:val="0"/>
                  <w:vAlign w:val="center"/>
                </w:tcPr>
                <w:p w14:paraId="6927A391">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采样</w:t>
                  </w:r>
                  <w:r>
                    <w:rPr>
                      <w:rFonts w:hint="default" w:ascii="Times New Roman" w:hAnsi="Times New Roman" w:eastAsia="宋体" w:cs="Times New Roman"/>
                      <w:b/>
                      <w:bCs/>
                      <w:color w:val="auto"/>
                      <w:sz w:val="21"/>
                      <w:szCs w:val="21"/>
                      <w:highlight w:val="none"/>
                    </w:rPr>
                    <w:t>日期</w:t>
                  </w:r>
                </w:p>
              </w:tc>
              <w:tc>
                <w:tcPr>
                  <w:tcW w:w="828" w:type="pct"/>
                  <w:vMerge w:val="restart"/>
                  <w:tcBorders>
                    <w:tl2br w:val="nil"/>
                    <w:tr2bl w:val="nil"/>
                  </w:tcBorders>
                  <w:noWrap w:val="0"/>
                  <w:vAlign w:val="center"/>
                </w:tcPr>
                <w:p w14:paraId="5ECC2C51">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采样</w:t>
                  </w:r>
                  <w:r>
                    <w:rPr>
                      <w:rFonts w:hint="default" w:ascii="Times New Roman" w:hAnsi="Times New Roman" w:eastAsia="宋体" w:cs="Times New Roman"/>
                      <w:b/>
                      <w:bCs/>
                      <w:color w:val="auto"/>
                      <w:sz w:val="21"/>
                      <w:szCs w:val="21"/>
                      <w:highlight w:val="none"/>
                    </w:rPr>
                    <w:t>点位</w:t>
                  </w:r>
                </w:p>
              </w:tc>
              <w:tc>
                <w:tcPr>
                  <w:tcW w:w="422" w:type="pct"/>
                  <w:vMerge w:val="restart"/>
                  <w:tcBorders>
                    <w:tl2br w:val="nil"/>
                    <w:tr2bl w:val="nil"/>
                  </w:tcBorders>
                  <w:noWrap w:val="0"/>
                  <w:vAlign w:val="center"/>
                </w:tcPr>
                <w:p w14:paraId="350A4FB9">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测次</w:t>
                  </w:r>
                </w:p>
              </w:tc>
              <w:tc>
                <w:tcPr>
                  <w:tcW w:w="812" w:type="pct"/>
                  <w:vMerge w:val="restart"/>
                  <w:tcBorders>
                    <w:tl2br w:val="nil"/>
                    <w:tr2bl w:val="nil"/>
                  </w:tcBorders>
                  <w:noWrap w:val="0"/>
                  <w:vAlign w:val="center"/>
                </w:tcPr>
                <w:p w14:paraId="6CA67F1F">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废气量</w:t>
                  </w:r>
                </w:p>
                <w:p w14:paraId="3A633EAA">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/h)</w:t>
                  </w:r>
                </w:p>
              </w:tc>
              <w:tc>
                <w:tcPr>
                  <w:tcW w:w="2184" w:type="pct"/>
                  <w:gridSpan w:val="2"/>
                  <w:tcBorders>
                    <w:tl2br w:val="nil"/>
                    <w:tr2bl w:val="nil"/>
                  </w:tcBorders>
                  <w:noWrap w:val="0"/>
                  <w:vAlign w:val="center"/>
                </w:tcPr>
                <w:p w14:paraId="14D2FA6D">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非甲烷总烃</w:t>
                  </w:r>
                </w:p>
              </w:tc>
            </w:tr>
            <w:tr w14:paraId="5F2B8C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52" w:type="pct"/>
                  <w:vMerge w:val="continue"/>
                  <w:tcBorders>
                    <w:tl2br w:val="nil"/>
                    <w:tr2bl w:val="nil"/>
                  </w:tcBorders>
                  <w:noWrap w:val="0"/>
                  <w:vAlign w:val="center"/>
                </w:tcPr>
                <w:p w14:paraId="4019B994">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bCs/>
                      <w:color w:val="auto"/>
                      <w:sz w:val="21"/>
                      <w:szCs w:val="21"/>
                      <w:highlight w:val="none"/>
                    </w:rPr>
                  </w:pPr>
                </w:p>
              </w:tc>
              <w:tc>
                <w:tcPr>
                  <w:tcW w:w="828" w:type="pct"/>
                  <w:vMerge w:val="continue"/>
                  <w:tcBorders>
                    <w:tl2br w:val="nil"/>
                    <w:tr2bl w:val="nil"/>
                  </w:tcBorders>
                  <w:noWrap w:val="0"/>
                  <w:vAlign w:val="center"/>
                </w:tcPr>
                <w:p w14:paraId="50589139">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bCs/>
                      <w:color w:val="auto"/>
                      <w:sz w:val="21"/>
                      <w:szCs w:val="21"/>
                      <w:highlight w:val="none"/>
                    </w:rPr>
                  </w:pPr>
                </w:p>
              </w:tc>
              <w:tc>
                <w:tcPr>
                  <w:tcW w:w="422" w:type="pct"/>
                  <w:vMerge w:val="continue"/>
                  <w:tcBorders>
                    <w:tl2br w:val="nil"/>
                    <w:tr2bl w:val="nil"/>
                  </w:tcBorders>
                  <w:noWrap w:val="0"/>
                  <w:vAlign w:val="center"/>
                </w:tcPr>
                <w:p w14:paraId="4EF96F82">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bCs/>
                      <w:color w:val="auto"/>
                      <w:sz w:val="21"/>
                      <w:szCs w:val="21"/>
                      <w:highlight w:val="none"/>
                    </w:rPr>
                  </w:pPr>
                </w:p>
              </w:tc>
              <w:tc>
                <w:tcPr>
                  <w:tcW w:w="812" w:type="pct"/>
                  <w:vMerge w:val="continue"/>
                  <w:tcBorders>
                    <w:tl2br w:val="nil"/>
                    <w:tr2bl w:val="nil"/>
                  </w:tcBorders>
                  <w:noWrap w:val="0"/>
                  <w:vAlign w:val="center"/>
                </w:tcPr>
                <w:p w14:paraId="40A081EA">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bCs/>
                      <w:color w:val="auto"/>
                      <w:sz w:val="21"/>
                      <w:szCs w:val="21"/>
                      <w:highlight w:val="none"/>
                    </w:rPr>
                  </w:pPr>
                </w:p>
              </w:tc>
              <w:tc>
                <w:tcPr>
                  <w:tcW w:w="1091" w:type="pct"/>
                  <w:tcBorders>
                    <w:tl2br w:val="nil"/>
                    <w:tr2bl w:val="nil"/>
                  </w:tcBorders>
                  <w:noWrap w:val="0"/>
                  <w:vAlign w:val="center"/>
                </w:tcPr>
                <w:p w14:paraId="0FE79F54">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排放</w:t>
                  </w:r>
                  <w:r>
                    <w:rPr>
                      <w:rFonts w:hint="default" w:ascii="Times New Roman" w:hAnsi="Times New Roman" w:eastAsia="宋体" w:cs="Times New Roman"/>
                      <w:b/>
                      <w:bCs/>
                      <w:color w:val="auto"/>
                      <w:sz w:val="21"/>
                      <w:szCs w:val="21"/>
                      <w:highlight w:val="none"/>
                    </w:rPr>
                    <w:t>浓度</w:t>
                  </w:r>
                </w:p>
                <w:p w14:paraId="62ACA3A4">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1092" w:type="pct"/>
                  <w:tcBorders>
                    <w:tl2br w:val="nil"/>
                    <w:tr2bl w:val="nil"/>
                  </w:tcBorders>
                  <w:noWrap w:val="0"/>
                  <w:vAlign w:val="center"/>
                </w:tcPr>
                <w:p w14:paraId="72511EF0">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排放速率</w:t>
                  </w:r>
                </w:p>
                <w:p w14:paraId="6742FF0F">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r>
            <w:tr w14:paraId="2491F9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pct"/>
                  <w:vMerge w:val="restart"/>
                  <w:tcBorders>
                    <w:tl2br w:val="nil"/>
                    <w:tr2bl w:val="nil"/>
                  </w:tcBorders>
                  <w:noWrap w:val="0"/>
                  <w:vAlign w:val="center"/>
                </w:tcPr>
                <w:p w14:paraId="746A6C10">
                  <w:pPr>
                    <w:pStyle w:val="49"/>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spacing w:val="0"/>
                      <w:sz w:val="21"/>
                      <w:szCs w:val="21"/>
                      <w:highlight w:val="none"/>
                      <w:lang w:val="en-US" w:eastAsia="zh-CN" w:bidi="ar-SA"/>
                    </w:rPr>
                  </w:pPr>
                  <w:r>
                    <w:rPr>
                      <w:rFonts w:hint="default" w:ascii="Times New Roman" w:hAnsi="Times New Roman" w:eastAsia="宋体" w:cs="Times New Roman"/>
                      <w:color w:val="auto"/>
                      <w:spacing w:val="0"/>
                      <w:sz w:val="21"/>
                      <w:szCs w:val="21"/>
                      <w:lang w:val="en-US" w:eastAsia="zh-CN"/>
                    </w:rPr>
                    <w:t>2026-05-22</w:t>
                  </w:r>
                </w:p>
              </w:tc>
              <w:tc>
                <w:tcPr>
                  <w:tcW w:w="828" w:type="pct"/>
                  <w:vMerge w:val="restart"/>
                  <w:tcBorders>
                    <w:tl2br w:val="nil"/>
                    <w:tr2bl w:val="nil"/>
                  </w:tcBorders>
                  <w:noWrap w:val="0"/>
                  <w:vAlign w:val="center"/>
                </w:tcPr>
                <w:p w14:paraId="7B494639">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吹瓶废气排气（DA001）进</w:t>
                  </w:r>
                  <w:r>
                    <w:rPr>
                      <w:rFonts w:hint="default" w:ascii="Times New Roman" w:hAnsi="Times New Roman" w:eastAsia="宋体" w:cs="Times New Roman"/>
                      <w:color w:val="auto"/>
                      <w:sz w:val="21"/>
                      <w:szCs w:val="21"/>
                      <w:vertAlign w:val="baseline"/>
                      <w:lang w:val="en-US" w:eastAsia="zh-CN"/>
                    </w:rPr>
                    <w:t>口</w:t>
                  </w:r>
                </w:p>
              </w:tc>
              <w:tc>
                <w:tcPr>
                  <w:tcW w:w="422" w:type="pct"/>
                  <w:tcBorders>
                    <w:tl2br w:val="nil"/>
                    <w:tr2bl w:val="nil"/>
                  </w:tcBorders>
                  <w:noWrap w:val="0"/>
                  <w:vAlign w:val="center"/>
                </w:tcPr>
                <w:p w14:paraId="1DBBCAED">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tcBorders>
                    <w:tl2br w:val="nil"/>
                    <w:tr2bl w:val="nil"/>
                  </w:tcBorders>
                  <w:noWrap w:val="0"/>
                  <w:vAlign w:val="center"/>
                </w:tcPr>
                <w:p w14:paraId="3C2758BE">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4.41×10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812" w:type="dxa"/>
                  <w:tcBorders>
                    <w:tl2br w:val="nil"/>
                    <w:tr2bl w:val="nil"/>
                  </w:tcBorders>
                  <w:noWrap w:val="0"/>
                  <w:vAlign w:val="center"/>
                </w:tcPr>
                <w:p w14:paraId="19936AA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38.9</w:t>
                  </w:r>
                </w:p>
              </w:tc>
              <w:tc>
                <w:tcPr>
                  <w:tcW w:w="1817" w:type="dxa"/>
                  <w:tcBorders>
                    <w:tl2br w:val="nil"/>
                    <w:tr2bl w:val="nil"/>
                  </w:tcBorders>
                  <w:noWrap w:val="0"/>
                  <w:vAlign w:val="center"/>
                </w:tcPr>
                <w:p w14:paraId="2609422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0.17</w:t>
                  </w:r>
                </w:p>
              </w:tc>
            </w:tr>
            <w:tr w14:paraId="00BACC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pct"/>
                  <w:vMerge w:val="continue"/>
                  <w:tcBorders>
                    <w:tl2br w:val="nil"/>
                    <w:tr2bl w:val="nil"/>
                  </w:tcBorders>
                  <w:noWrap w:val="0"/>
                  <w:vAlign w:val="center"/>
                </w:tcPr>
                <w:p w14:paraId="19DE1AC8">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pacing w:val="0"/>
                      <w:sz w:val="21"/>
                      <w:szCs w:val="21"/>
                      <w:highlight w:val="none"/>
                      <w:lang w:val="en-US" w:eastAsia="zh-CN" w:bidi="ar-SA"/>
                    </w:rPr>
                  </w:pPr>
                </w:p>
              </w:tc>
              <w:tc>
                <w:tcPr>
                  <w:tcW w:w="828" w:type="pct"/>
                  <w:vMerge w:val="continue"/>
                  <w:tcBorders>
                    <w:tl2br w:val="nil"/>
                    <w:tr2bl w:val="nil"/>
                  </w:tcBorders>
                  <w:noWrap w:val="0"/>
                  <w:vAlign w:val="center"/>
                </w:tcPr>
                <w:p w14:paraId="6E14E4BD">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Cs/>
                      <w:color w:val="auto"/>
                      <w:sz w:val="21"/>
                      <w:szCs w:val="21"/>
                      <w:lang w:val="en-US" w:eastAsia="zh-CN"/>
                    </w:rPr>
                  </w:pPr>
                </w:p>
              </w:tc>
              <w:tc>
                <w:tcPr>
                  <w:tcW w:w="422" w:type="pct"/>
                  <w:tcBorders>
                    <w:tl2br w:val="nil"/>
                    <w:tr2bl w:val="nil"/>
                  </w:tcBorders>
                  <w:noWrap w:val="0"/>
                  <w:vAlign w:val="center"/>
                </w:tcPr>
                <w:p w14:paraId="37EE4CBB">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tcBorders>
                    <w:tl2br w:val="nil"/>
                    <w:tr2bl w:val="nil"/>
                  </w:tcBorders>
                  <w:noWrap w:val="0"/>
                  <w:vAlign w:val="center"/>
                </w:tcPr>
                <w:p w14:paraId="10E1B931">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4.13×10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812" w:type="dxa"/>
                  <w:tcBorders>
                    <w:tl2br w:val="nil"/>
                    <w:tr2bl w:val="nil"/>
                  </w:tcBorders>
                  <w:noWrap w:val="0"/>
                  <w:vAlign w:val="center"/>
                </w:tcPr>
                <w:p w14:paraId="7553C4B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39.5</w:t>
                  </w:r>
                </w:p>
              </w:tc>
              <w:tc>
                <w:tcPr>
                  <w:tcW w:w="1817" w:type="dxa"/>
                  <w:tcBorders>
                    <w:tl2br w:val="nil"/>
                    <w:tr2bl w:val="nil"/>
                  </w:tcBorders>
                  <w:noWrap w:val="0"/>
                  <w:vAlign w:val="center"/>
                </w:tcPr>
                <w:p w14:paraId="7D4D614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0.16</w:t>
                  </w:r>
                </w:p>
              </w:tc>
            </w:tr>
            <w:tr w14:paraId="1C5193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pct"/>
                  <w:vMerge w:val="continue"/>
                  <w:tcBorders>
                    <w:tl2br w:val="nil"/>
                    <w:tr2bl w:val="nil"/>
                  </w:tcBorders>
                  <w:noWrap w:val="0"/>
                  <w:vAlign w:val="center"/>
                </w:tcPr>
                <w:p w14:paraId="27FA909F">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pacing w:val="0"/>
                      <w:sz w:val="21"/>
                      <w:szCs w:val="21"/>
                      <w:highlight w:val="none"/>
                      <w:lang w:val="en-US" w:eastAsia="zh-CN" w:bidi="ar-SA"/>
                    </w:rPr>
                  </w:pPr>
                </w:p>
              </w:tc>
              <w:tc>
                <w:tcPr>
                  <w:tcW w:w="828" w:type="pct"/>
                  <w:vMerge w:val="continue"/>
                  <w:tcBorders>
                    <w:tl2br w:val="nil"/>
                    <w:tr2bl w:val="nil"/>
                  </w:tcBorders>
                  <w:noWrap w:val="0"/>
                  <w:vAlign w:val="center"/>
                </w:tcPr>
                <w:p w14:paraId="2A8F375E">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Cs/>
                      <w:color w:val="auto"/>
                      <w:sz w:val="21"/>
                      <w:szCs w:val="21"/>
                      <w:lang w:val="en-US" w:eastAsia="zh-CN"/>
                    </w:rPr>
                  </w:pPr>
                </w:p>
              </w:tc>
              <w:tc>
                <w:tcPr>
                  <w:tcW w:w="422" w:type="pct"/>
                  <w:tcBorders>
                    <w:tl2br w:val="nil"/>
                    <w:tr2bl w:val="nil"/>
                  </w:tcBorders>
                  <w:noWrap w:val="0"/>
                  <w:vAlign w:val="center"/>
                </w:tcPr>
                <w:p w14:paraId="23C1DF3E">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12" w:type="pct"/>
                  <w:tcBorders>
                    <w:tl2br w:val="nil"/>
                    <w:tr2bl w:val="nil"/>
                  </w:tcBorders>
                  <w:noWrap w:val="0"/>
                  <w:vAlign w:val="center"/>
                </w:tcPr>
                <w:p w14:paraId="56F0EF79">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4.82×10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812" w:type="dxa"/>
                  <w:tcBorders>
                    <w:tl2br w:val="nil"/>
                    <w:tr2bl w:val="nil"/>
                  </w:tcBorders>
                  <w:noWrap w:val="0"/>
                  <w:vAlign w:val="center"/>
                </w:tcPr>
                <w:p w14:paraId="1863305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39.9</w:t>
                  </w:r>
                </w:p>
              </w:tc>
              <w:tc>
                <w:tcPr>
                  <w:tcW w:w="1817" w:type="dxa"/>
                  <w:tcBorders>
                    <w:tl2br w:val="nil"/>
                    <w:tr2bl w:val="nil"/>
                  </w:tcBorders>
                  <w:noWrap w:val="0"/>
                  <w:vAlign w:val="center"/>
                </w:tcPr>
                <w:p w14:paraId="35A1744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0.19</w:t>
                  </w:r>
                </w:p>
              </w:tc>
            </w:tr>
            <w:tr w14:paraId="5A9EFD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pct"/>
                  <w:vMerge w:val="continue"/>
                  <w:tcBorders>
                    <w:tl2br w:val="nil"/>
                    <w:tr2bl w:val="nil"/>
                  </w:tcBorders>
                  <w:noWrap w:val="0"/>
                  <w:vAlign w:val="center"/>
                </w:tcPr>
                <w:p w14:paraId="6A1E00D7">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pacing w:val="0"/>
                      <w:sz w:val="21"/>
                      <w:szCs w:val="21"/>
                      <w:highlight w:val="none"/>
                      <w:lang w:val="en-US" w:eastAsia="zh-CN" w:bidi="ar-SA"/>
                    </w:rPr>
                  </w:pPr>
                </w:p>
              </w:tc>
              <w:tc>
                <w:tcPr>
                  <w:tcW w:w="828" w:type="pct"/>
                  <w:vMerge w:val="continue"/>
                  <w:tcBorders>
                    <w:tl2br w:val="nil"/>
                    <w:tr2bl w:val="nil"/>
                  </w:tcBorders>
                  <w:noWrap w:val="0"/>
                  <w:vAlign w:val="center"/>
                </w:tcPr>
                <w:p w14:paraId="3412AF9B">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Cs/>
                      <w:color w:val="auto"/>
                      <w:sz w:val="21"/>
                      <w:szCs w:val="21"/>
                      <w:lang w:val="en-US" w:eastAsia="zh-CN"/>
                    </w:rPr>
                  </w:pPr>
                </w:p>
              </w:tc>
              <w:tc>
                <w:tcPr>
                  <w:tcW w:w="422" w:type="pct"/>
                  <w:tcBorders>
                    <w:tl2br w:val="nil"/>
                    <w:tr2bl w:val="nil"/>
                  </w:tcBorders>
                  <w:noWrap w:val="0"/>
                  <w:vAlign w:val="center"/>
                </w:tcPr>
                <w:p w14:paraId="6E6320CD">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均值</w:t>
                  </w:r>
                </w:p>
              </w:tc>
              <w:tc>
                <w:tcPr>
                  <w:tcW w:w="812" w:type="pct"/>
                  <w:tcBorders>
                    <w:tl2br w:val="nil"/>
                    <w:tr2bl w:val="nil"/>
                  </w:tcBorders>
                  <w:noWrap w:val="0"/>
                  <w:vAlign w:val="center"/>
                </w:tcPr>
                <w:p w14:paraId="7A7A1920">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4.45×10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812" w:type="dxa"/>
                  <w:tcBorders>
                    <w:tl2br w:val="nil"/>
                    <w:tr2bl w:val="nil"/>
                  </w:tcBorders>
                  <w:noWrap w:val="0"/>
                  <w:vAlign w:val="center"/>
                </w:tcPr>
                <w:p w14:paraId="323C995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39.4</w:t>
                  </w:r>
                </w:p>
              </w:tc>
              <w:tc>
                <w:tcPr>
                  <w:tcW w:w="1817" w:type="dxa"/>
                  <w:tcBorders>
                    <w:tl2br w:val="nil"/>
                    <w:tr2bl w:val="nil"/>
                  </w:tcBorders>
                  <w:noWrap w:val="0"/>
                  <w:vAlign w:val="center"/>
                </w:tcPr>
                <w:p w14:paraId="30402E7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0.18</w:t>
                  </w:r>
                </w:p>
              </w:tc>
            </w:tr>
            <w:tr w14:paraId="39131D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pct"/>
                  <w:vMerge w:val="continue"/>
                  <w:tcBorders>
                    <w:tl2br w:val="nil"/>
                    <w:tr2bl w:val="nil"/>
                  </w:tcBorders>
                  <w:noWrap w:val="0"/>
                  <w:vAlign w:val="center"/>
                </w:tcPr>
                <w:p w14:paraId="238F082A">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pacing w:val="0"/>
                      <w:sz w:val="21"/>
                      <w:szCs w:val="21"/>
                      <w:highlight w:val="none"/>
                      <w:lang w:val="en-US" w:eastAsia="zh-CN" w:bidi="ar-SA"/>
                    </w:rPr>
                  </w:pPr>
                </w:p>
              </w:tc>
              <w:tc>
                <w:tcPr>
                  <w:tcW w:w="828" w:type="pct"/>
                  <w:vMerge w:val="restart"/>
                  <w:tcBorders>
                    <w:tl2br w:val="nil"/>
                    <w:tr2bl w:val="nil"/>
                  </w:tcBorders>
                  <w:noWrap w:val="0"/>
                  <w:vAlign w:val="center"/>
                </w:tcPr>
                <w:p w14:paraId="7C73649B">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吹瓶废气排气（DA001）出</w:t>
                  </w:r>
                  <w:r>
                    <w:rPr>
                      <w:rFonts w:hint="default" w:ascii="Times New Roman" w:hAnsi="Times New Roman" w:eastAsia="宋体" w:cs="Times New Roman"/>
                      <w:color w:val="auto"/>
                      <w:sz w:val="21"/>
                      <w:szCs w:val="21"/>
                      <w:vertAlign w:val="baseline"/>
                      <w:lang w:val="en-US" w:eastAsia="zh-CN"/>
                    </w:rPr>
                    <w:t>口</w:t>
                  </w:r>
                </w:p>
              </w:tc>
              <w:tc>
                <w:tcPr>
                  <w:tcW w:w="422" w:type="pct"/>
                  <w:tcBorders>
                    <w:tl2br w:val="nil"/>
                    <w:tr2bl w:val="nil"/>
                  </w:tcBorders>
                  <w:noWrap w:val="0"/>
                  <w:vAlign w:val="center"/>
                </w:tcPr>
                <w:p w14:paraId="46E529A5">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tcBorders>
                    <w:tl2br w:val="nil"/>
                    <w:tr2bl w:val="nil"/>
                  </w:tcBorders>
                  <w:noWrap w:val="0"/>
                  <w:vAlign w:val="center"/>
                </w:tcPr>
                <w:p w14:paraId="54D86156">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5.42×10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812" w:type="dxa"/>
                  <w:tcBorders>
                    <w:tl2br w:val="nil"/>
                    <w:tr2bl w:val="nil"/>
                  </w:tcBorders>
                  <w:noWrap w:val="0"/>
                  <w:vAlign w:val="center"/>
                </w:tcPr>
                <w:p w14:paraId="6DC9B70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1.28</w:t>
                  </w:r>
                </w:p>
              </w:tc>
              <w:tc>
                <w:tcPr>
                  <w:tcW w:w="1817" w:type="dxa"/>
                  <w:tcBorders>
                    <w:tl2br w:val="nil"/>
                    <w:tr2bl w:val="nil"/>
                  </w:tcBorders>
                  <w:noWrap w:val="0"/>
                  <w:vAlign w:val="center"/>
                </w:tcPr>
                <w:p w14:paraId="10BC637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0.0069</w:t>
                  </w:r>
                </w:p>
              </w:tc>
            </w:tr>
            <w:tr w14:paraId="2FC08C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pct"/>
                  <w:vMerge w:val="continue"/>
                  <w:tcBorders>
                    <w:tl2br w:val="nil"/>
                    <w:tr2bl w:val="nil"/>
                  </w:tcBorders>
                  <w:noWrap w:val="0"/>
                  <w:vAlign w:val="center"/>
                </w:tcPr>
                <w:p w14:paraId="55CF00EB">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pacing w:val="0"/>
                      <w:sz w:val="21"/>
                      <w:szCs w:val="21"/>
                      <w:highlight w:val="none"/>
                      <w:lang w:val="en-US" w:eastAsia="zh-CN" w:bidi="ar-SA"/>
                    </w:rPr>
                  </w:pPr>
                </w:p>
              </w:tc>
              <w:tc>
                <w:tcPr>
                  <w:tcW w:w="828" w:type="pct"/>
                  <w:vMerge w:val="continue"/>
                  <w:tcBorders>
                    <w:tl2br w:val="nil"/>
                    <w:tr2bl w:val="nil"/>
                  </w:tcBorders>
                  <w:noWrap w:val="0"/>
                  <w:vAlign w:val="center"/>
                </w:tcPr>
                <w:p w14:paraId="18486AAD">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Cs/>
                      <w:color w:val="auto"/>
                      <w:sz w:val="21"/>
                      <w:szCs w:val="21"/>
                      <w:lang w:val="en-US" w:eastAsia="zh-CN"/>
                    </w:rPr>
                  </w:pPr>
                </w:p>
              </w:tc>
              <w:tc>
                <w:tcPr>
                  <w:tcW w:w="422" w:type="pct"/>
                  <w:tcBorders>
                    <w:tl2br w:val="nil"/>
                    <w:tr2bl w:val="nil"/>
                  </w:tcBorders>
                  <w:noWrap w:val="0"/>
                  <w:vAlign w:val="center"/>
                </w:tcPr>
                <w:p w14:paraId="26C63C29">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tcBorders>
                    <w:tl2br w:val="nil"/>
                    <w:tr2bl w:val="nil"/>
                  </w:tcBorders>
                  <w:noWrap w:val="0"/>
                  <w:vAlign w:val="center"/>
                </w:tcPr>
                <w:p w14:paraId="78358987">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5.15×10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812" w:type="dxa"/>
                  <w:tcBorders>
                    <w:tl2br w:val="nil"/>
                    <w:tr2bl w:val="nil"/>
                  </w:tcBorders>
                  <w:noWrap w:val="0"/>
                  <w:vAlign w:val="center"/>
                </w:tcPr>
                <w:p w14:paraId="6872DEF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1.29</w:t>
                  </w:r>
                </w:p>
              </w:tc>
              <w:tc>
                <w:tcPr>
                  <w:tcW w:w="1817" w:type="dxa"/>
                  <w:tcBorders>
                    <w:tl2br w:val="nil"/>
                    <w:tr2bl w:val="nil"/>
                  </w:tcBorders>
                  <w:noWrap w:val="0"/>
                  <w:vAlign w:val="center"/>
                </w:tcPr>
                <w:p w14:paraId="0E6D383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0.0066</w:t>
                  </w:r>
                </w:p>
              </w:tc>
            </w:tr>
            <w:tr w14:paraId="7CD3D3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pct"/>
                  <w:vMerge w:val="continue"/>
                  <w:tcBorders>
                    <w:tl2br w:val="nil"/>
                    <w:tr2bl w:val="nil"/>
                  </w:tcBorders>
                  <w:noWrap w:val="0"/>
                  <w:vAlign w:val="center"/>
                </w:tcPr>
                <w:p w14:paraId="29183246">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pacing w:val="0"/>
                      <w:sz w:val="21"/>
                      <w:szCs w:val="21"/>
                      <w:highlight w:val="none"/>
                      <w:lang w:val="en-US" w:eastAsia="zh-CN" w:bidi="ar-SA"/>
                    </w:rPr>
                  </w:pPr>
                </w:p>
              </w:tc>
              <w:tc>
                <w:tcPr>
                  <w:tcW w:w="828" w:type="pct"/>
                  <w:vMerge w:val="continue"/>
                  <w:tcBorders>
                    <w:tl2br w:val="nil"/>
                    <w:tr2bl w:val="nil"/>
                  </w:tcBorders>
                  <w:noWrap w:val="0"/>
                  <w:vAlign w:val="center"/>
                </w:tcPr>
                <w:p w14:paraId="575FFCF6">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Cs/>
                      <w:color w:val="auto"/>
                      <w:sz w:val="21"/>
                      <w:szCs w:val="21"/>
                      <w:lang w:val="en-US" w:eastAsia="zh-CN"/>
                    </w:rPr>
                  </w:pPr>
                </w:p>
              </w:tc>
              <w:tc>
                <w:tcPr>
                  <w:tcW w:w="422" w:type="pct"/>
                  <w:tcBorders>
                    <w:tl2br w:val="nil"/>
                    <w:tr2bl w:val="nil"/>
                  </w:tcBorders>
                  <w:noWrap w:val="0"/>
                  <w:vAlign w:val="center"/>
                </w:tcPr>
                <w:p w14:paraId="487FBE4A">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12" w:type="pct"/>
                  <w:tcBorders>
                    <w:tl2br w:val="nil"/>
                    <w:tr2bl w:val="nil"/>
                  </w:tcBorders>
                  <w:noWrap w:val="0"/>
                  <w:vAlign w:val="center"/>
                </w:tcPr>
                <w:p w14:paraId="7EB16DF2">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5.24×10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812" w:type="dxa"/>
                  <w:tcBorders>
                    <w:tl2br w:val="nil"/>
                    <w:tr2bl w:val="nil"/>
                  </w:tcBorders>
                  <w:noWrap w:val="0"/>
                  <w:vAlign w:val="center"/>
                </w:tcPr>
                <w:p w14:paraId="0087E7D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817" w:type="dxa"/>
                  <w:tcBorders>
                    <w:tl2br w:val="nil"/>
                    <w:tr2bl w:val="nil"/>
                  </w:tcBorders>
                  <w:noWrap w:val="0"/>
                  <w:vAlign w:val="center"/>
                </w:tcPr>
                <w:p w14:paraId="5AF2A23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0.0063</w:t>
                  </w:r>
                </w:p>
              </w:tc>
            </w:tr>
            <w:tr w14:paraId="3D5BFE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pct"/>
                  <w:vMerge w:val="continue"/>
                  <w:tcBorders>
                    <w:tl2br w:val="nil"/>
                    <w:tr2bl w:val="nil"/>
                  </w:tcBorders>
                  <w:noWrap w:val="0"/>
                  <w:vAlign w:val="center"/>
                </w:tcPr>
                <w:p w14:paraId="3A26EA35">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pacing w:val="0"/>
                      <w:sz w:val="21"/>
                      <w:szCs w:val="21"/>
                      <w:highlight w:val="none"/>
                      <w:lang w:val="en-US" w:eastAsia="zh-CN" w:bidi="ar-SA"/>
                    </w:rPr>
                  </w:pPr>
                </w:p>
              </w:tc>
              <w:tc>
                <w:tcPr>
                  <w:tcW w:w="828" w:type="pct"/>
                  <w:vMerge w:val="continue"/>
                  <w:tcBorders>
                    <w:tl2br w:val="nil"/>
                    <w:tr2bl w:val="nil"/>
                  </w:tcBorders>
                  <w:noWrap w:val="0"/>
                  <w:vAlign w:val="center"/>
                </w:tcPr>
                <w:p w14:paraId="636BBD94">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Cs/>
                      <w:color w:val="auto"/>
                      <w:sz w:val="21"/>
                      <w:szCs w:val="21"/>
                      <w:lang w:val="en-US" w:eastAsia="zh-CN"/>
                    </w:rPr>
                  </w:pPr>
                </w:p>
              </w:tc>
              <w:tc>
                <w:tcPr>
                  <w:tcW w:w="422" w:type="pct"/>
                  <w:tcBorders>
                    <w:tl2br w:val="nil"/>
                    <w:tr2bl w:val="nil"/>
                  </w:tcBorders>
                  <w:noWrap w:val="0"/>
                  <w:vAlign w:val="center"/>
                </w:tcPr>
                <w:p w14:paraId="0DAAC186">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均值</w:t>
                  </w:r>
                </w:p>
              </w:tc>
              <w:tc>
                <w:tcPr>
                  <w:tcW w:w="812" w:type="pct"/>
                  <w:tcBorders>
                    <w:tl2br w:val="nil"/>
                    <w:tr2bl w:val="nil"/>
                  </w:tcBorders>
                  <w:noWrap w:val="0"/>
                  <w:vAlign w:val="center"/>
                </w:tcPr>
                <w:p w14:paraId="36617058">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5.27×10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812" w:type="dxa"/>
                  <w:tcBorders>
                    <w:tl2br w:val="nil"/>
                    <w:tr2bl w:val="nil"/>
                  </w:tcBorders>
                  <w:noWrap w:val="0"/>
                  <w:vAlign w:val="center"/>
                </w:tcPr>
                <w:p w14:paraId="4211EF0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1.26</w:t>
                  </w:r>
                </w:p>
              </w:tc>
              <w:tc>
                <w:tcPr>
                  <w:tcW w:w="1817" w:type="dxa"/>
                  <w:tcBorders>
                    <w:tl2br w:val="nil"/>
                    <w:tr2bl w:val="nil"/>
                  </w:tcBorders>
                  <w:noWrap w:val="0"/>
                  <w:vAlign w:val="center"/>
                </w:tcPr>
                <w:p w14:paraId="57133E2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0.0066</w:t>
                  </w:r>
                </w:p>
              </w:tc>
            </w:tr>
            <w:tr w14:paraId="3F5ED5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pct"/>
                  <w:vMerge w:val="restart"/>
                  <w:tcBorders>
                    <w:tl2br w:val="nil"/>
                    <w:tr2bl w:val="nil"/>
                  </w:tcBorders>
                  <w:noWrap w:val="0"/>
                  <w:vAlign w:val="center"/>
                </w:tcPr>
                <w:p w14:paraId="026CB05D">
                  <w:pPr>
                    <w:pStyle w:val="49"/>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spacing w:val="0"/>
                      <w:sz w:val="21"/>
                      <w:szCs w:val="21"/>
                      <w:highlight w:val="none"/>
                      <w:lang w:val="en-US" w:eastAsia="zh-CN" w:bidi="ar-SA"/>
                    </w:rPr>
                  </w:pPr>
                  <w:r>
                    <w:rPr>
                      <w:rFonts w:hint="default" w:ascii="Times New Roman" w:hAnsi="Times New Roman" w:eastAsia="宋体" w:cs="Times New Roman"/>
                      <w:color w:val="auto"/>
                      <w:spacing w:val="0"/>
                      <w:sz w:val="21"/>
                      <w:szCs w:val="21"/>
                      <w:lang w:val="en-US" w:eastAsia="zh-CN"/>
                    </w:rPr>
                    <w:t>2026-05-23</w:t>
                  </w:r>
                </w:p>
              </w:tc>
              <w:tc>
                <w:tcPr>
                  <w:tcW w:w="828" w:type="pct"/>
                  <w:vMerge w:val="restart"/>
                  <w:tcBorders>
                    <w:tl2br w:val="nil"/>
                    <w:tr2bl w:val="nil"/>
                  </w:tcBorders>
                  <w:noWrap w:val="0"/>
                  <w:vAlign w:val="center"/>
                </w:tcPr>
                <w:p w14:paraId="0BCFF33F">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吹瓶废气排气（DA001）进</w:t>
                  </w:r>
                  <w:r>
                    <w:rPr>
                      <w:rFonts w:hint="default" w:ascii="Times New Roman" w:hAnsi="Times New Roman" w:eastAsia="宋体" w:cs="Times New Roman"/>
                      <w:color w:val="auto"/>
                      <w:sz w:val="21"/>
                      <w:szCs w:val="21"/>
                      <w:vertAlign w:val="baseline"/>
                      <w:lang w:val="en-US" w:eastAsia="zh-CN"/>
                    </w:rPr>
                    <w:t>口</w:t>
                  </w:r>
                </w:p>
              </w:tc>
              <w:tc>
                <w:tcPr>
                  <w:tcW w:w="422" w:type="pct"/>
                  <w:tcBorders>
                    <w:tl2br w:val="nil"/>
                    <w:tr2bl w:val="nil"/>
                  </w:tcBorders>
                  <w:noWrap w:val="0"/>
                  <w:vAlign w:val="center"/>
                </w:tcPr>
                <w:p w14:paraId="3C3F1A7A">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tcBorders>
                    <w:tl2br w:val="nil"/>
                    <w:tr2bl w:val="nil"/>
                  </w:tcBorders>
                  <w:noWrap w:val="0"/>
                  <w:vAlign w:val="center"/>
                </w:tcPr>
                <w:p w14:paraId="63C21E4D">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4.28×10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812" w:type="dxa"/>
                  <w:tcBorders>
                    <w:tl2br w:val="nil"/>
                    <w:tr2bl w:val="nil"/>
                  </w:tcBorders>
                  <w:noWrap w:val="0"/>
                  <w:vAlign w:val="center"/>
                </w:tcPr>
                <w:p w14:paraId="0332B32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36.8</w:t>
                  </w:r>
                </w:p>
              </w:tc>
              <w:tc>
                <w:tcPr>
                  <w:tcW w:w="1817" w:type="dxa"/>
                  <w:tcBorders>
                    <w:tl2br w:val="nil"/>
                    <w:tr2bl w:val="nil"/>
                  </w:tcBorders>
                  <w:noWrap w:val="0"/>
                  <w:vAlign w:val="center"/>
                </w:tcPr>
                <w:p w14:paraId="016B31E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0.16</w:t>
                  </w:r>
                </w:p>
              </w:tc>
            </w:tr>
            <w:tr w14:paraId="0A1D61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pct"/>
                  <w:vMerge w:val="continue"/>
                  <w:tcBorders>
                    <w:tl2br w:val="nil"/>
                    <w:tr2bl w:val="nil"/>
                  </w:tcBorders>
                  <w:noWrap w:val="0"/>
                  <w:vAlign w:val="center"/>
                </w:tcPr>
                <w:p w14:paraId="1D174670">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pacing w:val="0"/>
                      <w:sz w:val="21"/>
                      <w:szCs w:val="21"/>
                      <w:highlight w:val="none"/>
                      <w:lang w:val="en-US" w:eastAsia="zh-CN" w:bidi="ar-SA"/>
                    </w:rPr>
                  </w:pPr>
                </w:p>
              </w:tc>
              <w:tc>
                <w:tcPr>
                  <w:tcW w:w="828" w:type="pct"/>
                  <w:vMerge w:val="continue"/>
                  <w:tcBorders>
                    <w:tl2br w:val="nil"/>
                    <w:tr2bl w:val="nil"/>
                  </w:tcBorders>
                  <w:noWrap w:val="0"/>
                  <w:vAlign w:val="center"/>
                </w:tcPr>
                <w:p w14:paraId="3922E737">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Cs/>
                      <w:color w:val="auto"/>
                      <w:sz w:val="21"/>
                      <w:szCs w:val="21"/>
                      <w:lang w:val="en-US" w:eastAsia="zh-CN"/>
                    </w:rPr>
                  </w:pPr>
                </w:p>
              </w:tc>
              <w:tc>
                <w:tcPr>
                  <w:tcW w:w="422" w:type="pct"/>
                  <w:tcBorders>
                    <w:tl2br w:val="nil"/>
                    <w:tr2bl w:val="nil"/>
                  </w:tcBorders>
                  <w:noWrap w:val="0"/>
                  <w:vAlign w:val="center"/>
                </w:tcPr>
                <w:p w14:paraId="4904CFE2">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tcBorders>
                    <w:tl2br w:val="nil"/>
                    <w:tr2bl w:val="nil"/>
                  </w:tcBorders>
                  <w:noWrap w:val="0"/>
                  <w:vAlign w:val="center"/>
                </w:tcPr>
                <w:p w14:paraId="35C5C328">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4.31×10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812" w:type="dxa"/>
                  <w:tcBorders>
                    <w:tl2br w:val="nil"/>
                    <w:tr2bl w:val="nil"/>
                  </w:tcBorders>
                  <w:noWrap w:val="0"/>
                  <w:vAlign w:val="center"/>
                </w:tcPr>
                <w:p w14:paraId="57B41E3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39.3</w:t>
                  </w:r>
                </w:p>
              </w:tc>
              <w:tc>
                <w:tcPr>
                  <w:tcW w:w="1817" w:type="dxa"/>
                  <w:tcBorders>
                    <w:tl2br w:val="nil"/>
                    <w:tr2bl w:val="nil"/>
                  </w:tcBorders>
                  <w:noWrap w:val="0"/>
                  <w:vAlign w:val="center"/>
                </w:tcPr>
                <w:p w14:paraId="0BB17A7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0.17</w:t>
                  </w:r>
                </w:p>
              </w:tc>
            </w:tr>
            <w:tr w14:paraId="278816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pct"/>
                  <w:vMerge w:val="continue"/>
                  <w:tcBorders>
                    <w:tl2br w:val="nil"/>
                    <w:tr2bl w:val="nil"/>
                  </w:tcBorders>
                  <w:noWrap w:val="0"/>
                  <w:vAlign w:val="center"/>
                </w:tcPr>
                <w:p w14:paraId="19E45D99">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pacing w:val="0"/>
                      <w:sz w:val="21"/>
                      <w:szCs w:val="21"/>
                      <w:highlight w:val="none"/>
                      <w:lang w:val="en-US" w:eastAsia="zh-CN" w:bidi="ar-SA"/>
                    </w:rPr>
                  </w:pPr>
                </w:p>
              </w:tc>
              <w:tc>
                <w:tcPr>
                  <w:tcW w:w="828" w:type="pct"/>
                  <w:vMerge w:val="continue"/>
                  <w:tcBorders>
                    <w:tl2br w:val="nil"/>
                    <w:tr2bl w:val="nil"/>
                  </w:tcBorders>
                  <w:noWrap w:val="0"/>
                  <w:vAlign w:val="center"/>
                </w:tcPr>
                <w:p w14:paraId="11723A1C">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Cs/>
                      <w:color w:val="auto"/>
                      <w:sz w:val="21"/>
                      <w:szCs w:val="21"/>
                      <w:lang w:val="en-US" w:eastAsia="zh-CN"/>
                    </w:rPr>
                  </w:pPr>
                </w:p>
              </w:tc>
              <w:tc>
                <w:tcPr>
                  <w:tcW w:w="422" w:type="pct"/>
                  <w:tcBorders>
                    <w:tl2br w:val="nil"/>
                    <w:tr2bl w:val="nil"/>
                  </w:tcBorders>
                  <w:noWrap w:val="0"/>
                  <w:vAlign w:val="center"/>
                </w:tcPr>
                <w:p w14:paraId="1D69D62C">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12" w:type="pct"/>
                  <w:tcBorders>
                    <w:tl2br w:val="nil"/>
                    <w:tr2bl w:val="nil"/>
                  </w:tcBorders>
                  <w:noWrap w:val="0"/>
                  <w:vAlign w:val="center"/>
                </w:tcPr>
                <w:p w14:paraId="73766AFB">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4.57×10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812" w:type="dxa"/>
                  <w:tcBorders>
                    <w:tl2br w:val="nil"/>
                    <w:tr2bl w:val="nil"/>
                  </w:tcBorders>
                  <w:noWrap w:val="0"/>
                  <w:vAlign w:val="center"/>
                </w:tcPr>
                <w:p w14:paraId="064B184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37.6</w:t>
                  </w:r>
                </w:p>
              </w:tc>
              <w:tc>
                <w:tcPr>
                  <w:tcW w:w="1817" w:type="dxa"/>
                  <w:tcBorders>
                    <w:tl2br w:val="nil"/>
                    <w:tr2bl w:val="nil"/>
                  </w:tcBorders>
                  <w:noWrap w:val="0"/>
                  <w:vAlign w:val="center"/>
                </w:tcPr>
                <w:p w14:paraId="1DFDFCC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0.17</w:t>
                  </w:r>
                </w:p>
              </w:tc>
            </w:tr>
            <w:tr w14:paraId="4BAB3A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pct"/>
                  <w:vMerge w:val="continue"/>
                  <w:tcBorders>
                    <w:tl2br w:val="nil"/>
                    <w:tr2bl w:val="nil"/>
                  </w:tcBorders>
                  <w:noWrap w:val="0"/>
                  <w:vAlign w:val="center"/>
                </w:tcPr>
                <w:p w14:paraId="5A3103F2">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pacing w:val="0"/>
                      <w:sz w:val="21"/>
                      <w:szCs w:val="21"/>
                      <w:highlight w:val="none"/>
                      <w:lang w:val="en-US" w:eastAsia="zh-CN" w:bidi="ar-SA"/>
                    </w:rPr>
                  </w:pPr>
                </w:p>
              </w:tc>
              <w:tc>
                <w:tcPr>
                  <w:tcW w:w="828" w:type="pct"/>
                  <w:vMerge w:val="continue"/>
                  <w:tcBorders>
                    <w:tl2br w:val="nil"/>
                    <w:tr2bl w:val="nil"/>
                  </w:tcBorders>
                  <w:noWrap w:val="0"/>
                  <w:vAlign w:val="center"/>
                </w:tcPr>
                <w:p w14:paraId="0ACB4F3F">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Cs/>
                      <w:color w:val="auto"/>
                      <w:sz w:val="21"/>
                      <w:szCs w:val="21"/>
                      <w:lang w:val="en-US" w:eastAsia="zh-CN"/>
                    </w:rPr>
                  </w:pPr>
                </w:p>
              </w:tc>
              <w:tc>
                <w:tcPr>
                  <w:tcW w:w="422" w:type="pct"/>
                  <w:tcBorders>
                    <w:tl2br w:val="nil"/>
                    <w:tr2bl w:val="nil"/>
                  </w:tcBorders>
                  <w:noWrap w:val="0"/>
                  <w:vAlign w:val="center"/>
                </w:tcPr>
                <w:p w14:paraId="4CC7BF66">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均值</w:t>
                  </w:r>
                </w:p>
              </w:tc>
              <w:tc>
                <w:tcPr>
                  <w:tcW w:w="812" w:type="pct"/>
                  <w:tcBorders>
                    <w:tl2br w:val="nil"/>
                    <w:tr2bl w:val="nil"/>
                  </w:tcBorders>
                  <w:noWrap w:val="0"/>
                  <w:vAlign w:val="center"/>
                </w:tcPr>
                <w:p w14:paraId="44E2D821">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4.39×10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812" w:type="dxa"/>
                  <w:tcBorders>
                    <w:tl2br w:val="nil"/>
                    <w:tr2bl w:val="nil"/>
                  </w:tcBorders>
                  <w:noWrap w:val="0"/>
                  <w:vAlign w:val="center"/>
                </w:tcPr>
                <w:p w14:paraId="0C91C9B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37.8</w:t>
                  </w:r>
                </w:p>
              </w:tc>
              <w:tc>
                <w:tcPr>
                  <w:tcW w:w="1817" w:type="dxa"/>
                  <w:tcBorders>
                    <w:tl2br w:val="nil"/>
                    <w:tr2bl w:val="nil"/>
                  </w:tcBorders>
                  <w:noWrap w:val="0"/>
                  <w:vAlign w:val="center"/>
                </w:tcPr>
                <w:p w14:paraId="173C0BC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0.17</w:t>
                  </w:r>
                </w:p>
              </w:tc>
            </w:tr>
            <w:tr w14:paraId="1894F6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pct"/>
                  <w:vMerge w:val="continue"/>
                  <w:tcBorders>
                    <w:tl2br w:val="nil"/>
                    <w:tr2bl w:val="nil"/>
                  </w:tcBorders>
                  <w:noWrap w:val="0"/>
                  <w:vAlign w:val="center"/>
                </w:tcPr>
                <w:p w14:paraId="40F224E8">
                  <w:pPr>
                    <w:pStyle w:val="49"/>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spacing w:val="0"/>
                      <w:sz w:val="21"/>
                      <w:szCs w:val="21"/>
                      <w:highlight w:val="none"/>
                      <w:lang w:val="en-US" w:eastAsia="zh-CN" w:bidi="ar-SA"/>
                    </w:rPr>
                  </w:pPr>
                </w:p>
              </w:tc>
              <w:tc>
                <w:tcPr>
                  <w:tcW w:w="828" w:type="pct"/>
                  <w:vMerge w:val="restart"/>
                  <w:tcBorders>
                    <w:tl2br w:val="nil"/>
                    <w:tr2bl w:val="nil"/>
                  </w:tcBorders>
                  <w:noWrap w:val="0"/>
                  <w:vAlign w:val="center"/>
                </w:tcPr>
                <w:p w14:paraId="4714689F">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吹瓶废气排气（DA001）出</w:t>
                  </w:r>
                  <w:r>
                    <w:rPr>
                      <w:rFonts w:hint="default" w:ascii="Times New Roman" w:hAnsi="Times New Roman" w:eastAsia="宋体" w:cs="Times New Roman"/>
                      <w:color w:val="auto"/>
                      <w:sz w:val="21"/>
                      <w:szCs w:val="21"/>
                      <w:vertAlign w:val="baseline"/>
                      <w:lang w:val="en-US" w:eastAsia="zh-CN"/>
                    </w:rPr>
                    <w:t>口</w:t>
                  </w:r>
                </w:p>
              </w:tc>
              <w:tc>
                <w:tcPr>
                  <w:tcW w:w="422" w:type="pct"/>
                  <w:tcBorders>
                    <w:tl2br w:val="nil"/>
                    <w:tr2bl w:val="nil"/>
                  </w:tcBorders>
                  <w:noWrap w:val="0"/>
                  <w:vAlign w:val="center"/>
                </w:tcPr>
                <w:p w14:paraId="59AB5EAB">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812" w:type="pct"/>
                  <w:tcBorders>
                    <w:tl2br w:val="nil"/>
                    <w:tr2bl w:val="nil"/>
                  </w:tcBorders>
                  <w:noWrap w:val="0"/>
                  <w:vAlign w:val="center"/>
                </w:tcPr>
                <w:p w14:paraId="2E4ED2D2">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5.24×10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812" w:type="dxa"/>
                  <w:tcBorders>
                    <w:tl2br w:val="nil"/>
                    <w:tr2bl w:val="nil"/>
                  </w:tcBorders>
                  <w:noWrap w:val="0"/>
                  <w:vAlign w:val="center"/>
                </w:tcPr>
                <w:p w14:paraId="1D1CD95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817" w:type="dxa"/>
                  <w:tcBorders>
                    <w:tl2br w:val="nil"/>
                    <w:tr2bl w:val="nil"/>
                  </w:tcBorders>
                  <w:noWrap w:val="0"/>
                  <w:vAlign w:val="center"/>
                </w:tcPr>
                <w:p w14:paraId="1619BFA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0.0066</w:t>
                  </w:r>
                </w:p>
              </w:tc>
            </w:tr>
            <w:tr w14:paraId="7BF463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pct"/>
                  <w:vMerge w:val="continue"/>
                  <w:tcBorders>
                    <w:tl2br w:val="nil"/>
                    <w:tr2bl w:val="nil"/>
                  </w:tcBorders>
                  <w:noWrap w:val="0"/>
                  <w:vAlign w:val="center"/>
                </w:tcPr>
                <w:p w14:paraId="11D52131">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828" w:type="pct"/>
                  <w:vMerge w:val="continue"/>
                  <w:tcBorders>
                    <w:tl2br w:val="nil"/>
                    <w:tr2bl w:val="nil"/>
                  </w:tcBorders>
                  <w:noWrap w:val="0"/>
                  <w:vAlign w:val="center"/>
                </w:tcPr>
                <w:p w14:paraId="56E2E3B6">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Cs/>
                      <w:color w:val="auto"/>
                      <w:sz w:val="21"/>
                      <w:szCs w:val="21"/>
                      <w:lang w:val="en-US" w:eastAsia="zh-CN"/>
                    </w:rPr>
                  </w:pPr>
                </w:p>
              </w:tc>
              <w:tc>
                <w:tcPr>
                  <w:tcW w:w="422" w:type="pct"/>
                  <w:tcBorders>
                    <w:tl2br w:val="nil"/>
                    <w:tr2bl w:val="nil"/>
                  </w:tcBorders>
                  <w:noWrap w:val="0"/>
                  <w:vAlign w:val="center"/>
                </w:tcPr>
                <w:p w14:paraId="3138BA35">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12" w:type="pct"/>
                  <w:tcBorders>
                    <w:tl2br w:val="nil"/>
                    <w:tr2bl w:val="nil"/>
                  </w:tcBorders>
                  <w:noWrap w:val="0"/>
                  <w:vAlign w:val="center"/>
                </w:tcPr>
                <w:p w14:paraId="06F29D1B">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5.19×10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812" w:type="dxa"/>
                  <w:tcBorders>
                    <w:tl2br w:val="nil"/>
                    <w:tr2bl w:val="nil"/>
                  </w:tcBorders>
                  <w:noWrap w:val="0"/>
                  <w:vAlign w:val="center"/>
                </w:tcPr>
                <w:p w14:paraId="3643802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1.23</w:t>
                  </w:r>
                </w:p>
              </w:tc>
              <w:tc>
                <w:tcPr>
                  <w:tcW w:w="1817" w:type="dxa"/>
                  <w:tcBorders>
                    <w:tl2br w:val="nil"/>
                    <w:tr2bl w:val="nil"/>
                  </w:tcBorders>
                  <w:noWrap w:val="0"/>
                  <w:vAlign w:val="center"/>
                </w:tcPr>
                <w:p w14:paraId="5388CE8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0.0064</w:t>
                  </w:r>
                </w:p>
              </w:tc>
            </w:tr>
            <w:tr w14:paraId="06C73D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pct"/>
                  <w:vMerge w:val="continue"/>
                  <w:tcBorders>
                    <w:tl2br w:val="nil"/>
                    <w:tr2bl w:val="nil"/>
                  </w:tcBorders>
                  <w:noWrap w:val="0"/>
                  <w:vAlign w:val="center"/>
                </w:tcPr>
                <w:p w14:paraId="467354BB">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828" w:type="pct"/>
                  <w:vMerge w:val="continue"/>
                  <w:tcBorders>
                    <w:tl2br w:val="nil"/>
                    <w:tr2bl w:val="nil"/>
                  </w:tcBorders>
                  <w:noWrap w:val="0"/>
                  <w:vAlign w:val="center"/>
                </w:tcPr>
                <w:p w14:paraId="5E9066EC">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Cs/>
                      <w:color w:val="auto"/>
                      <w:sz w:val="21"/>
                      <w:szCs w:val="21"/>
                      <w:lang w:val="en-US" w:eastAsia="zh-CN"/>
                    </w:rPr>
                  </w:pPr>
                </w:p>
              </w:tc>
              <w:tc>
                <w:tcPr>
                  <w:tcW w:w="422" w:type="pct"/>
                  <w:tcBorders>
                    <w:tl2br w:val="nil"/>
                    <w:tr2bl w:val="nil"/>
                  </w:tcBorders>
                  <w:noWrap w:val="0"/>
                  <w:vAlign w:val="center"/>
                </w:tcPr>
                <w:p w14:paraId="244E72A5">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812" w:type="pct"/>
                  <w:tcBorders>
                    <w:tl2br w:val="nil"/>
                    <w:tr2bl w:val="nil"/>
                  </w:tcBorders>
                  <w:noWrap w:val="0"/>
                  <w:vAlign w:val="center"/>
                </w:tcPr>
                <w:p w14:paraId="2D96DFAD">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5.20×10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812" w:type="dxa"/>
                  <w:tcBorders>
                    <w:tl2br w:val="nil"/>
                    <w:tr2bl w:val="nil"/>
                  </w:tcBorders>
                  <w:noWrap w:val="0"/>
                  <w:vAlign w:val="center"/>
                </w:tcPr>
                <w:p w14:paraId="46361DD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1.27</w:t>
                  </w:r>
                </w:p>
              </w:tc>
              <w:tc>
                <w:tcPr>
                  <w:tcW w:w="1817" w:type="dxa"/>
                  <w:tcBorders>
                    <w:tl2br w:val="nil"/>
                    <w:tr2bl w:val="nil"/>
                  </w:tcBorders>
                  <w:noWrap w:val="0"/>
                  <w:vAlign w:val="center"/>
                </w:tcPr>
                <w:p w14:paraId="66475D0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0.0066</w:t>
                  </w:r>
                </w:p>
              </w:tc>
            </w:tr>
            <w:tr w14:paraId="446ECF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pct"/>
                  <w:vMerge w:val="continue"/>
                  <w:tcBorders>
                    <w:tl2br w:val="nil"/>
                    <w:tr2bl w:val="nil"/>
                  </w:tcBorders>
                  <w:noWrap w:val="0"/>
                  <w:vAlign w:val="center"/>
                </w:tcPr>
                <w:p w14:paraId="5832A9E8">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828" w:type="pct"/>
                  <w:vMerge w:val="continue"/>
                  <w:tcBorders>
                    <w:tl2br w:val="nil"/>
                    <w:tr2bl w:val="nil"/>
                  </w:tcBorders>
                  <w:noWrap w:val="0"/>
                  <w:vAlign w:val="center"/>
                </w:tcPr>
                <w:p w14:paraId="35F018DB">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bCs/>
                      <w:color w:val="auto"/>
                      <w:sz w:val="21"/>
                      <w:szCs w:val="21"/>
                      <w:lang w:val="en-US" w:eastAsia="zh-CN"/>
                    </w:rPr>
                  </w:pPr>
                </w:p>
              </w:tc>
              <w:tc>
                <w:tcPr>
                  <w:tcW w:w="422" w:type="pct"/>
                  <w:tcBorders>
                    <w:tl2br w:val="nil"/>
                    <w:tr2bl w:val="nil"/>
                  </w:tcBorders>
                  <w:noWrap w:val="0"/>
                  <w:vAlign w:val="center"/>
                </w:tcPr>
                <w:p w14:paraId="3011170A">
                  <w:pPr>
                    <w:keepNext w:val="0"/>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均值</w:t>
                  </w:r>
                </w:p>
              </w:tc>
              <w:tc>
                <w:tcPr>
                  <w:tcW w:w="812" w:type="pct"/>
                  <w:tcBorders>
                    <w:tl2br w:val="nil"/>
                    <w:tr2bl w:val="nil"/>
                  </w:tcBorders>
                  <w:noWrap w:val="0"/>
                  <w:vAlign w:val="center"/>
                </w:tcPr>
                <w:p w14:paraId="3BB7BFEE">
                  <w:pPr>
                    <w:keepNext w:val="0"/>
                    <w:keepLines w:val="0"/>
                    <w:pageBreakBefore w:val="0"/>
                    <w:widowControl/>
                    <w:suppressLineNumbers w:val="0"/>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5.21×10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812" w:type="dxa"/>
                  <w:tcBorders>
                    <w:tl2br w:val="nil"/>
                    <w:tr2bl w:val="nil"/>
                  </w:tcBorders>
                  <w:noWrap w:val="0"/>
                  <w:vAlign w:val="center"/>
                </w:tcPr>
                <w:p w14:paraId="6C3FEC0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817" w:type="dxa"/>
                  <w:tcBorders>
                    <w:tl2br w:val="nil"/>
                    <w:tr2bl w:val="nil"/>
                  </w:tcBorders>
                  <w:noWrap w:val="0"/>
                  <w:vAlign w:val="center"/>
                </w:tcPr>
                <w:p w14:paraId="1591489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0.0065</w:t>
                  </w:r>
                </w:p>
              </w:tc>
            </w:tr>
          </w:tbl>
          <w:p w14:paraId="050E1002">
            <w:pPr>
              <w:spacing w:after="0" w:line="460" w:lineRule="exact"/>
              <w:ind w:firstLine="480" w:firstLineChars="200"/>
              <w:jc w:val="both"/>
              <w:rPr>
                <w:rFonts w:hint="default" w:ascii="Times New Roman" w:hAnsi="Times New Roman" w:eastAsia="宋体" w:cs="Times New Roman"/>
                <w:bCs/>
                <w:color w:val="auto"/>
                <w:kern w:val="2"/>
                <w:sz w:val="24"/>
                <w:szCs w:val="24"/>
              </w:rPr>
            </w:pPr>
            <w:r>
              <w:rPr>
                <w:rFonts w:eastAsia="宋体"/>
                <w:bCs/>
                <w:color w:val="auto"/>
                <w:kern w:val="2"/>
                <w:sz w:val="24"/>
                <w:szCs w:val="24"/>
              </w:rPr>
              <w:t>由上表中监测结果可知，验收监测期间，</w:t>
            </w:r>
            <w:bookmarkStart w:id="18" w:name="_Hlk153387218"/>
            <w:r>
              <w:rPr>
                <w:rFonts w:eastAsia="宋体"/>
                <w:color w:val="auto"/>
                <w:kern w:val="2"/>
                <w:sz w:val="24"/>
                <w:szCs w:val="24"/>
              </w:rPr>
              <w:t>活性炭吸/脱附+催化燃烧</w:t>
            </w:r>
            <w:r>
              <w:rPr>
                <w:rFonts w:hint="eastAsia" w:eastAsia="宋体"/>
                <w:bCs/>
                <w:color w:val="auto"/>
                <w:kern w:val="2"/>
                <w:sz w:val="24"/>
                <w:szCs w:val="24"/>
              </w:rPr>
              <w:t>装置15m高排气筒出口有组织非甲烷总烃浓度为</w:t>
            </w:r>
            <w:r>
              <w:rPr>
                <w:rFonts w:hint="eastAsia" w:eastAsia="宋体"/>
                <w:bCs/>
                <w:color w:val="auto"/>
                <w:kern w:val="2"/>
                <w:sz w:val="24"/>
                <w:szCs w:val="24"/>
                <w:lang w:val="en-US" w:eastAsia="zh-CN"/>
              </w:rPr>
              <w:t>1.20</w:t>
            </w:r>
            <w:r>
              <w:rPr>
                <w:rFonts w:eastAsia="宋体"/>
                <w:bCs/>
                <w:color w:val="auto"/>
                <w:kern w:val="2"/>
                <w:sz w:val="24"/>
                <w:szCs w:val="24"/>
              </w:rPr>
              <w:t>~</w:t>
            </w:r>
            <w:r>
              <w:rPr>
                <w:rFonts w:hint="eastAsia" w:eastAsia="宋体"/>
                <w:bCs/>
                <w:color w:val="auto"/>
                <w:kern w:val="2"/>
                <w:sz w:val="24"/>
                <w:szCs w:val="24"/>
                <w:lang w:val="en-US" w:eastAsia="zh-CN"/>
              </w:rPr>
              <w:t>1.29</w:t>
            </w:r>
            <w:r>
              <w:rPr>
                <w:rFonts w:eastAsia="宋体"/>
                <w:bCs/>
                <w:color w:val="auto"/>
                <w:kern w:val="2"/>
                <w:sz w:val="24"/>
                <w:szCs w:val="24"/>
              </w:rPr>
              <w:t>mg/m</w:t>
            </w:r>
            <w:r>
              <w:rPr>
                <w:rFonts w:eastAsia="宋体"/>
                <w:bCs/>
                <w:color w:val="auto"/>
                <w:kern w:val="2"/>
                <w:sz w:val="24"/>
                <w:szCs w:val="24"/>
                <w:vertAlign w:val="superscript"/>
              </w:rPr>
              <w:t>3</w:t>
            </w:r>
            <w:r>
              <w:rPr>
                <w:rFonts w:hint="eastAsia" w:eastAsia="宋体"/>
                <w:bCs/>
                <w:color w:val="auto"/>
                <w:kern w:val="2"/>
                <w:sz w:val="24"/>
                <w:szCs w:val="24"/>
              </w:rPr>
              <w:t>，排放速率为</w:t>
            </w:r>
            <w:r>
              <w:rPr>
                <w:rFonts w:hint="eastAsia" w:eastAsia="宋体"/>
                <w:bCs/>
                <w:color w:val="auto"/>
                <w:kern w:val="2"/>
                <w:sz w:val="24"/>
                <w:szCs w:val="24"/>
                <w:lang w:val="en-US" w:eastAsia="zh-CN"/>
              </w:rPr>
              <w:t>0.006</w:t>
            </w:r>
            <w:r>
              <w:rPr>
                <w:rFonts w:eastAsia="宋体"/>
                <w:bCs/>
                <w:color w:val="auto"/>
                <w:kern w:val="2"/>
                <w:sz w:val="24"/>
                <w:szCs w:val="24"/>
              </w:rPr>
              <w:t>~</w:t>
            </w:r>
            <w:r>
              <w:rPr>
                <w:rFonts w:hint="eastAsia" w:eastAsia="宋体"/>
                <w:bCs/>
                <w:color w:val="auto"/>
                <w:kern w:val="2"/>
                <w:sz w:val="24"/>
                <w:szCs w:val="24"/>
                <w:lang w:val="en-US" w:eastAsia="zh-CN"/>
              </w:rPr>
              <w:t>0.007</w:t>
            </w:r>
            <w:r>
              <w:rPr>
                <w:rFonts w:eastAsia="宋体"/>
                <w:bCs/>
                <w:color w:val="auto"/>
                <w:kern w:val="2"/>
                <w:sz w:val="24"/>
                <w:szCs w:val="24"/>
              </w:rPr>
              <w:t>kg/h</w:t>
            </w:r>
            <w:r>
              <w:rPr>
                <w:rFonts w:hint="eastAsia" w:eastAsia="宋体"/>
                <w:bCs/>
                <w:color w:val="auto"/>
                <w:kern w:val="2"/>
                <w:sz w:val="24"/>
                <w:szCs w:val="24"/>
              </w:rPr>
              <w:t>，</w:t>
            </w:r>
            <w:r>
              <w:rPr>
                <w:rFonts w:hint="eastAsia" w:eastAsia="宋体"/>
                <w:bCs/>
                <w:color w:val="auto"/>
                <w:kern w:val="2"/>
                <w:sz w:val="24"/>
                <w:szCs w:val="24"/>
                <w:highlight w:val="none"/>
              </w:rPr>
              <w:t>去除效率为</w:t>
            </w:r>
            <w:r>
              <w:rPr>
                <w:rFonts w:hint="eastAsia" w:eastAsia="宋体"/>
                <w:bCs/>
                <w:color w:val="auto"/>
                <w:kern w:val="2"/>
                <w:sz w:val="24"/>
                <w:szCs w:val="24"/>
                <w:highlight w:val="none"/>
                <w:lang w:val="en-US" w:eastAsia="zh-CN"/>
              </w:rPr>
              <w:t>95.96-96.7</w:t>
            </w:r>
            <w:r>
              <w:rPr>
                <w:rFonts w:hint="eastAsia" w:eastAsia="宋体"/>
                <w:bCs/>
                <w:color w:val="auto"/>
                <w:kern w:val="2"/>
                <w:sz w:val="24"/>
                <w:szCs w:val="24"/>
                <w:highlight w:val="none"/>
              </w:rPr>
              <w:t>%，</w:t>
            </w:r>
            <w:r>
              <w:rPr>
                <w:rFonts w:hint="eastAsia" w:eastAsia="宋体"/>
                <w:bCs/>
                <w:color w:val="auto"/>
                <w:kern w:val="2"/>
                <w:sz w:val="24"/>
                <w:szCs w:val="24"/>
              </w:rPr>
              <w:t>能够</w:t>
            </w:r>
            <w:r>
              <w:rPr>
                <w:rFonts w:eastAsia="宋体"/>
                <w:bCs/>
                <w:color w:val="auto"/>
                <w:sz w:val="24"/>
                <w:szCs w:val="24"/>
              </w:rPr>
              <w:t>满足</w:t>
            </w:r>
            <w:r>
              <w:rPr>
                <w:rFonts w:hint="default" w:ascii="Times New Roman" w:hAnsi="Times New Roman" w:eastAsia="宋体" w:cs="Times New Roman"/>
                <w:bCs/>
                <w:color w:val="auto"/>
                <w:sz w:val="24"/>
                <w:szCs w:val="24"/>
              </w:rPr>
              <w:t>《合成树脂工业污染物排放标准》（GB31572-2015）</w:t>
            </w:r>
            <w:r>
              <w:rPr>
                <w:rFonts w:hint="default" w:ascii="Times New Roman" w:hAnsi="Times New Roman" w:eastAsia="宋体" w:cs="Times New Roman"/>
                <w:color w:val="auto"/>
                <w:sz w:val="24"/>
                <w:szCs w:val="24"/>
                <w:highlight w:val="none"/>
              </w:rPr>
              <w:t>（含2024年修改单）</w:t>
            </w:r>
            <w:r>
              <w:rPr>
                <w:rFonts w:hint="default" w:ascii="Times New Roman" w:hAnsi="Times New Roman" w:eastAsia="宋体" w:cs="Times New Roman"/>
                <w:color w:val="auto"/>
                <w:sz w:val="24"/>
                <w:szCs w:val="24"/>
                <w:highlight w:val="none"/>
                <w:lang w:val="en-US" w:eastAsia="zh-CN"/>
              </w:rPr>
              <w:t>中</w:t>
            </w:r>
            <w:r>
              <w:rPr>
                <w:rFonts w:hint="eastAsia" w:eastAsia="宋体"/>
                <w:bCs/>
                <w:color w:val="auto"/>
                <w:kern w:val="2"/>
                <w:sz w:val="24"/>
                <w:szCs w:val="24"/>
              </w:rPr>
              <w:t>有组织非甲烷总烃</w:t>
            </w:r>
            <w:r>
              <w:rPr>
                <w:rFonts w:eastAsia="宋体"/>
                <w:color w:val="auto"/>
                <w:sz w:val="24"/>
                <w:szCs w:val="24"/>
              </w:rPr>
              <w:t>排放浓度</w:t>
            </w:r>
            <w:r>
              <w:rPr>
                <w:rFonts w:hint="eastAsia" w:eastAsia="宋体"/>
                <w:color w:val="auto"/>
                <w:sz w:val="24"/>
                <w:szCs w:val="24"/>
              </w:rPr>
              <w:t>6</w:t>
            </w:r>
            <w:r>
              <w:rPr>
                <w:rFonts w:eastAsia="宋体"/>
                <w:color w:val="auto"/>
                <w:sz w:val="24"/>
                <w:szCs w:val="24"/>
              </w:rPr>
              <w:t>0mg/m</w:t>
            </w:r>
            <w:r>
              <w:rPr>
                <w:rFonts w:eastAsia="宋体"/>
                <w:color w:val="auto"/>
                <w:sz w:val="24"/>
                <w:szCs w:val="24"/>
                <w:vertAlign w:val="superscript"/>
              </w:rPr>
              <w:t>3</w:t>
            </w:r>
            <w:r>
              <w:rPr>
                <w:rFonts w:eastAsia="宋体"/>
                <w:color w:val="auto"/>
                <w:sz w:val="24"/>
                <w:szCs w:val="24"/>
              </w:rPr>
              <w:t>的标准限值</w:t>
            </w:r>
            <w:r>
              <w:rPr>
                <w:rFonts w:hint="eastAsia" w:eastAsia="宋体"/>
                <w:color w:val="auto"/>
                <w:sz w:val="24"/>
                <w:szCs w:val="24"/>
              </w:rPr>
              <w:t>；</w:t>
            </w:r>
            <w:r>
              <w:rPr>
                <w:rFonts w:hint="eastAsia" w:eastAsia="宋体"/>
                <w:color w:val="auto"/>
                <w:sz w:val="24"/>
                <w:szCs w:val="24"/>
                <w:lang w:val="en-US" w:eastAsia="zh-CN"/>
              </w:rPr>
              <w:t>还</w:t>
            </w:r>
            <w:r>
              <w:rPr>
                <w:rFonts w:hint="eastAsia" w:eastAsia="宋体"/>
                <w:color w:val="auto"/>
                <w:sz w:val="24"/>
                <w:szCs w:val="24"/>
              </w:rPr>
              <w:t>能够满足《关于全省开展工业企业挥发性有机物专项治理工作中排放建议值的通知》（豫环攻坚办（2017）162号）其他行业有机废气排放口</w:t>
            </w:r>
            <w:r>
              <w:rPr>
                <w:rFonts w:hint="eastAsia" w:eastAsia="宋体"/>
                <w:bCs/>
                <w:color w:val="auto"/>
                <w:kern w:val="2"/>
                <w:sz w:val="24"/>
                <w:szCs w:val="24"/>
              </w:rPr>
              <w:t>有组织非甲烷总烃</w:t>
            </w:r>
            <w:r>
              <w:rPr>
                <w:rFonts w:eastAsia="宋体"/>
                <w:color w:val="auto"/>
                <w:sz w:val="24"/>
                <w:szCs w:val="24"/>
              </w:rPr>
              <w:t>排放浓度</w:t>
            </w:r>
            <w:r>
              <w:rPr>
                <w:rFonts w:hint="eastAsia" w:eastAsia="宋体"/>
                <w:color w:val="auto"/>
                <w:sz w:val="24"/>
                <w:szCs w:val="24"/>
              </w:rPr>
              <w:t>8</w:t>
            </w:r>
            <w:r>
              <w:rPr>
                <w:rFonts w:eastAsia="宋体"/>
                <w:color w:val="auto"/>
                <w:sz w:val="24"/>
                <w:szCs w:val="24"/>
              </w:rPr>
              <w:t>0mg/m</w:t>
            </w:r>
            <w:r>
              <w:rPr>
                <w:rFonts w:eastAsia="宋体"/>
                <w:color w:val="auto"/>
                <w:sz w:val="24"/>
                <w:szCs w:val="24"/>
                <w:vertAlign w:val="superscript"/>
              </w:rPr>
              <w:t>3</w:t>
            </w:r>
            <w:r>
              <w:rPr>
                <w:rFonts w:hint="eastAsia" w:eastAsia="宋体"/>
                <w:color w:val="auto"/>
                <w:sz w:val="24"/>
                <w:szCs w:val="24"/>
              </w:rPr>
              <w:t>，去除率≥70%</w:t>
            </w:r>
            <w:r>
              <w:rPr>
                <w:rFonts w:eastAsia="宋体"/>
                <w:color w:val="auto"/>
                <w:sz w:val="24"/>
                <w:szCs w:val="24"/>
              </w:rPr>
              <w:t>的标准限值</w:t>
            </w:r>
            <w:r>
              <w:rPr>
                <w:rFonts w:hint="eastAsia" w:eastAsia="宋体"/>
                <w:color w:val="auto"/>
                <w:sz w:val="24"/>
                <w:szCs w:val="24"/>
                <w:lang w:eastAsia="zh-CN"/>
              </w:rPr>
              <w:t>；</w:t>
            </w:r>
            <w:r>
              <w:rPr>
                <w:rFonts w:hint="default" w:ascii="Times New Roman" w:hAnsi="Times New Roman" w:eastAsia="宋体" w:cs="Times New Roman"/>
                <w:bCs/>
                <w:color w:val="auto"/>
                <w:sz w:val="24"/>
                <w:highlight w:val="none"/>
              </w:rPr>
              <w:t>同时能够满足</w:t>
            </w:r>
            <w:r>
              <w:rPr>
                <w:rFonts w:hint="default" w:ascii="Times New Roman" w:hAnsi="Times New Roman" w:eastAsia="宋体" w:cs="Times New Roman"/>
                <w:bCs/>
                <w:color w:val="auto"/>
                <w:kern w:val="21"/>
                <w:sz w:val="24"/>
                <w:highlight w:val="none"/>
              </w:rPr>
              <w:t>《河南省重污染天气重点行业应急减排措施制定技术指南（202</w:t>
            </w:r>
            <w:r>
              <w:rPr>
                <w:rFonts w:hint="default" w:ascii="Times New Roman" w:hAnsi="Times New Roman" w:eastAsia="宋体" w:cs="Times New Roman"/>
                <w:bCs/>
                <w:color w:val="auto"/>
                <w:kern w:val="21"/>
                <w:sz w:val="24"/>
                <w:highlight w:val="none"/>
                <w:lang w:val="en-US" w:eastAsia="zh-CN"/>
              </w:rPr>
              <w:t>4</w:t>
            </w:r>
            <w:r>
              <w:rPr>
                <w:rFonts w:hint="default" w:ascii="Times New Roman" w:hAnsi="Times New Roman" w:eastAsia="宋体" w:cs="Times New Roman"/>
                <w:bCs/>
                <w:color w:val="auto"/>
                <w:kern w:val="21"/>
                <w:sz w:val="24"/>
                <w:highlight w:val="none"/>
              </w:rPr>
              <w:t>年修订版）》</w:t>
            </w:r>
            <w:r>
              <w:rPr>
                <w:rFonts w:hint="default" w:ascii="Times New Roman" w:hAnsi="Times New Roman" w:eastAsia="宋体" w:cs="Times New Roman"/>
                <w:bCs/>
                <w:color w:val="auto"/>
                <w:kern w:val="21"/>
                <w:sz w:val="24"/>
                <w:highlight w:val="none"/>
                <w:lang w:val="en-US" w:eastAsia="zh-CN"/>
              </w:rPr>
              <w:t>及其补充说明</w:t>
            </w:r>
            <w:r>
              <w:rPr>
                <w:rFonts w:hint="default" w:ascii="Times New Roman" w:hAnsi="Times New Roman" w:eastAsia="宋体" w:cs="Times New Roman"/>
                <w:bCs/>
                <w:color w:val="auto"/>
                <w:kern w:val="21"/>
                <w:sz w:val="24"/>
                <w:highlight w:val="none"/>
              </w:rPr>
              <w:t>中塑料制品业A级企业全厂非甲烷总烃排放浓度不高于</w:t>
            </w:r>
            <w:r>
              <w:rPr>
                <w:rFonts w:hint="default" w:ascii="Times New Roman" w:hAnsi="Times New Roman" w:eastAsia="宋体" w:cs="Times New Roman"/>
                <w:bCs/>
                <w:color w:val="auto"/>
                <w:kern w:val="21"/>
                <w:sz w:val="24"/>
                <w:highlight w:val="none"/>
                <w:lang w:val="en-US" w:eastAsia="zh-CN"/>
              </w:rPr>
              <w:t>2</w:t>
            </w:r>
            <w:r>
              <w:rPr>
                <w:rFonts w:hint="default" w:ascii="Times New Roman" w:hAnsi="Times New Roman" w:eastAsia="宋体" w:cs="Times New Roman"/>
                <w:bCs/>
                <w:color w:val="auto"/>
                <w:kern w:val="21"/>
                <w:sz w:val="24"/>
                <w:highlight w:val="none"/>
              </w:rPr>
              <w:t>0mg/m</w:t>
            </w:r>
            <w:r>
              <w:rPr>
                <w:rFonts w:hint="default" w:ascii="Times New Roman" w:hAnsi="Times New Roman" w:eastAsia="宋体" w:cs="Times New Roman"/>
                <w:bCs/>
                <w:color w:val="auto"/>
                <w:kern w:val="21"/>
                <w:sz w:val="24"/>
                <w:highlight w:val="none"/>
                <w:vertAlign w:val="superscript"/>
              </w:rPr>
              <w:t>3</w:t>
            </w:r>
            <w:r>
              <w:rPr>
                <w:rFonts w:hint="default" w:ascii="Times New Roman" w:hAnsi="Times New Roman" w:eastAsia="宋体" w:cs="Times New Roman"/>
                <w:bCs/>
                <w:color w:val="auto"/>
                <w:kern w:val="21"/>
                <w:sz w:val="24"/>
                <w:highlight w:val="none"/>
              </w:rPr>
              <w:t>的限值要求</w:t>
            </w:r>
            <w:r>
              <w:rPr>
                <w:rFonts w:hint="default" w:ascii="Times New Roman" w:hAnsi="Times New Roman" w:eastAsia="宋体" w:cs="Times New Roman"/>
                <w:bCs/>
                <w:color w:val="auto"/>
                <w:kern w:val="21"/>
                <w:sz w:val="24"/>
                <w:highlight w:val="none"/>
                <w:lang w:eastAsia="zh-CN"/>
              </w:rPr>
              <w:t>。</w:t>
            </w:r>
          </w:p>
          <w:p w14:paraId="7423ABC7">
            <w:pPr>
              <w:spacing w:after="0" w:line="440" w:lineRule="exact"/>
              <w:ind w:firstLine="480" w:firstLineChars="200"/>
              <w:jc w:val="both"/>
              <w:textAlignment w:val="baseline"/>
              <w:rPr>
                <w:rFonts w:eastAsia="黑体"/>
                <w:bCs/>
                <w:color w:val="auto"/>
                <w:kern w:val="2"/>
                <w:sz w:val="24"/>
                <w:szCs w:val="24"/>
                <w:vertAlign w:val="superscript"/>
              </w:rPr>
            </w:pPr>
            <w:r>
              <w:rPr>
                <w:rFonts w:eastAsia="黑体"/>
                <w:color w:val="auto"/>
                <w:sz w:val="24"/>
                <w:szCs w:val="21"/>
              </w:rPr>
              <w:t>表1</w:t>
            </w:r>
            <w:r>
              <w:rPr>
                <w:rFonts w:hint="eastAsia" w:eastAsia="黑体"/>
                <w:color w:val="auto"/>
                <w:sz w:val="24"/>
                <w:szCs w:val="21"/>
              </w:rPr>
              <w:t>8</w:t>
            </w:r>
            <w:r>
              <w:rPr>
                <w:rFonts w:eastAsia="黑体"/>
                <w:color w:val="auto"/>
                <w:sz w:val="24"/>
                <w:szCs w:val="21"/>
              </w:rPr>
              <w:t xml:space="preserve">        </w:t>
            </w:r>
            <w:r>
              <w:rPr>
                <w:rFonts w:hint="eastAsia" w:eastAsia="黑体"/>
                <w:color w:val="auto"/>
                <w:sz w:val="24"/>
                <w:szCs w:val="21"/>
              </w:rPr>
              <w:t xml:space="preserve">    </w:t>
            </w:r>
            <w:r>
              <w:rPr>
                <w:rFonts w:eastAsia="黑体"/>
                <w:color w:val="auto"/>
                <w:sz w:val="24"/>
                <w:szCs w:val="21"/>
              </w:rPr>
              <w:t xml:space="preserve"> 废气无组织检测结果</w:t>
            </w:r>
            <w:r>
              <w:rPr>
                <w:rFonts w:hint="eastAsia" w:eastAsia="黑体"/>
                <w:color w:val="auto"/>
                <w:sz w:val="24"/>
                <w:szCs w:val="21"/>
                <w:lang w:eastAsia="zh-CN"/>
              </w:rPr>
              <w:t>（</w:t>
            </w:r>
            <w:r>
              <w:rPr>
                <w:rFonts w:hint="eastAsia" w:eastAsia="黑体"/>
                <w:color w:val="auto"/>
                <w:sz w:val="24"/>
                <w:szCs w:val="21"/>
                <w:lang w:val="en-US" w:eastAsia="zh-CN"/>
              </w:rPr>
              <w:t>1）</w:t>
            </w:r>
          </w:p>
          <w:bookmarkEnd w:id="18"/>
          <w:tbl>
            <w:tblPr>
              <w:tblStyle w:val="18"/>
              <w:tblW w:w="503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639"/>
              <w:gridCol w:w="1298"/>
              <w:gridCol w:w="1438"/>
              <w:gridCol w:w="756"/>
              <w:gridCol w:w="756"/>
              <w:gridCol w:w="756"/>
              <w:gridCol w:w="756"/>
              <w:gridCol w:w="764"/>
            </w:tblGrid>
            <w:tr w14:paraId="204C05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restart"/>
                  <w:tcBorders>
                    <w:tl2br w:val="nil"/>
                    <w:tr2bl w:val="nil"/>
                  </w:tcBorders>
                  <w:noWrap w:val="0"/>
                  <w:vAlign w:val="center"/>
                </w:tcPr>
                <w:p w14:paraId="41B24ED9">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bookmarkStart w:id="19" w:name="_Hlk153387231"/>
                  <w:r>
                    <w:rPr>
                      <w:rFonts w:hint="default" w:ascii="Times New Roman" w:hAnsi="Times New Roman" w:eastAsia="宋体" w:cs="Times New Roman"/>
                      <w:b/>
                      <w:bCs/>
                      <w:color w:val="auto"/>
                      <w:sz w:val="21"/>
                      <w:szCs w:val="21"/>
                      <w:lang w:val="en-US" w:eastAsia="zh-CN"/>
                    </w:rPr>
                    <w:t>采样日期</w:t>
                  </w:r>
                </w:p>
              </w:tc>
              <w:tc>
                <w:tcPr>
                  <w:tcW w:w="385" w:type="pct"/>
                  <w:vMerge w:val="restart"/>
                  <w:tcBorders>
                    <w:tl2br w:val="nil"/>
                    <w:tr2bl w:val="nil"/>
                  </w:tcBorders>
                  <w:noWrap w:val="0"/>
                  <w:vAlign w:val="center"/>
                </w:tcPr>
                <w:p w14:paraId="6AECC4CC">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频次</w:t>
                  </w:r>
                </w:p>
              </w:tc>
              <w:tc>
                <w:tcPr>
                  <w:tcW w:w="779" w:type="pct"/>
                  <w:vMerge w:val="restart"/>
                  <w:tcBorders>
                    <w:tl2br w:val="nil"/>
                    <w:tr2bl w:val="nil"/>
                  </w:tcBorders>
                  <w:noWrap w:val="0"/>
                  <w:vAlign w:val="center"/>
                </w:tcPr>
                <w:p w14:paraId="7843CB3F">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采样点位</w:t>
                  </w:r>
                </w:p>
              </w:tc>
              <w:tc>
                <w:tcPr>
                  <w:tcW w:w="863" w:type="pct"/>
                  <w:vMerge w:val="restart"/>
                  <w:tcBorders>
                    <w:tl2br w:val="nil"/>
                    <w:tr2bl w:val="nil"/>
                  </w:tcBorders>
                  <w:noWrap w:val="0"/>
                  <w:vAlign w:val="center"/>
                </w:tcPr>
                <w:p w14:paraId="465CC816">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非甲烷总烃</w:t>
                  </w:r>
                  <w:r>
                    <w:rPr>
                      <w:rFonts w:hint="default" w:ascii="Times New Roman" w:hAnsi="Times New Roman" w:eastAsia="宋体" w:cs="Times New Roman"/>
                      <w:b/>
                      <w:bCs/>
                      <w:color w:val="auto"/>
                      <w:sz w:val="21"/>
                      <w:szCs w:val="21"/>
                      <w:highlight w:val="none"/>
                      <w:lang w:val="en-US" w:eastAsia="zh-CN"/>
                    </w:rPr>
                    <w:t>(mg/m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2280" w:type="pct"/>
                  <w:gridSpan w:val="5"/>
                  <w:tcBorders>
                    <w:tl2br w:val="nil"/>
                    <w:tr2bl w:val="nil"/>
                  </w:tcBorders>
                  <w:noWrap w:val="0"/>
                  <w:vAlign w:val="center"/>
                </w:tcPr>
                <w:p w14:paraId="43F0903E">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气象参数</w:t>
                  </w:r>
                </w:p>
              </w:tc>
            </w:tr>
            <w:tr w14:paraId="783339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continue"/>
                  <w:tcBorders>
                    <w:tl2br w:val="nil"/>
                    <w:tr2bl w:val="nil"/>
                  </w:tcBorders>
                  <w:noWrap w:val="0"/>
                  <w:vAlign w:val="center"/>
                </w:tcPr>
                <w:p w14:paraId="0E080FF0">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p>
              </w:tc>
              <w:tc>
                <w:tcPr>
                  <w:tcW w:w="385" w:type="pct"/>
                  <w:vMerge w:val="continue"/>
                  <w:tcBorders>
                    <w:tl2br w:val="nil"/>
                    <w:tr2bl w:val="nil"/>
                  </w:tcBorders>
                  <w:noWrap w:val="0"/>
                  <w:vAlign w:val="center"/>
                </w:tcPr>
                <w:p w14:paraId="635245D8">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b/>
                      <w:bCs/>
                      <w:color w:val="auto"/>
                      <w:sz w:val="21"/>
                      <w:szCs w:val="21"/>
                      <w:highlight w:val="none"/>
                      <w:lang w:val="en-US" w:eastAsia="zh-CN"/>
                    </w:rPr>
                  </w:pPr>
                </w:p>
              </w:tc>
              <w:tc>
                <w:tcPr>
                  <w:tcW w:w="779" w:type="pct"/>
                  <w:vMerge w:val="continue"/>
                  <w:tcBorders>
                    <w:tl2br w:val="nil"/>
                    <w:tr2bl w:val="nil"/>
                  </w:tcBorders>
                  <w:noWrap w:val="0"/>
                  <w:vAlign w:val="center"/>
                </w:tcPr>
                <w:p w14:paraId="00A94FB4">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p>
              </w:tc>
              <w:tc>
                <w:tcPr>
                  <w:tcW w:w="863" w:type="pct"/>
                  <w:vMerge w:val="continue"/>
                  <w:tcBorders>
                    <w:tl2br w:val="nil"/>
                    <w:tr2bl w:val="nil"/>
                  </w:tcBorders>
                  <w:noWrap w:val="0"/>
                  <w:vAlign w:val="center"/>
                </w:tcPr>
                <w:p w14:paraId="03FAD4A0">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b/>
                      <w:bCs/>
                      <w:color w:val="auto"/>
                      <w:sz w:val="21"/>
                      <w:szCs w:val="21"/>
                      <w:lang w:val="en-US" w:eastAsia="zh-CN"/>
                    </w:rPr>
                  </w:pPr>
                </w:p>
              </w:tc>
              <w:tc>
                <w:tcPr>
                  <w:tcW w:w="455" w:type="pct"/>
                  <w:tcBorders>
                    <w:tl2br w:val="nil"/>
                    <w:tr2bl w:val="nil"/>
                  </w:tcBorders>
                  <w:noWrap w:val="0"/>
                  <w:vAlign w:val="center"/>
                </w:tcPr>
                <w:p w14:paraId="2C2202A0">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气温</w:t>
                  </w:r>
                </w:p>
                <w:p w14:paraId="44799D8F">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w:t>
                  </w:r>
                </w:p>
              </w:tc>
              <w:tc>
                <w:tcPr>
                  <w:tcW w:w="455" w:type="pct"/>
                  <w:tcBorders>
                    <w:tl2br w:val="nil"/>
                    <w:tr2bl w:val="nil"/>
                  </w:tcBorders>
                  <w:noWrap w:val="0"/>
                  <w:vAlign w:val="center"/>
                </w:tcPr>
                <w:p w14:paraId="18ACE3A5">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气压</w:t>
                  </w:r>
                </w:p>
                <w:p w14:paraId="70B63A79">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(kPa)</w:t>
                  </w:r>
                </w:p>
              </w:tc>
              <w:tc>
                <w:tcPr>
                  <w:tcW w:w="455" w:type="pct"/>
                  <w:tcBorders>
                    <w:tl2br w:val="nil"/>
                    <w:tr2bl w:val="nil"/>
                  </w:tcBorders>
                  <w:noWrap w:val="0"/>
                  <w:vAlign w:val="center"/>
                </w:tcPr>
                <w:p w14:paraId="2E69C964">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风速</w:t>
                  </w:r>
                </w:p>
                <w:p w14:paraId="502A893F">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(m/s)</w:t>
                  </w:r>
                </w:p>
              </w:tc>
              <w:tc>
                <w:tcPr>
                  <w:tcW w:w="455" w:type="pct"/>
                  <w:tcBorders>
                    <w:tl2br w:val="nil"/>
                    <w:tr2bl w:val="nil"/>
                  </w:tcBorders>
                  <w:noWrap w:val="0"/>
                  <w:vAlign w:val="center"/>
                </w:tcPr>
                <w:p w14:paraId="4832F2F6">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风向</w:t>
                  </w:r>
                </w:p>
              </w:tc>
              <w:tc>
                <w:tcPr>
                  <w:tcW w:w="460" w:type="pct"/>
                  <w:tcBorders>
                    <w:tl2br w:val="nil"/>
                    <w:tr2bl w:val="nil"/>
                  </w:tcBorders>
                  <w:noWrap w:val="0"/>
                  <w:vAlign w:val="center"/>
                </w:tcPr>
                <w:p w14:paraId="33648D67">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天气</w:t>
                  </w:r>
                </w:p>
              </w:tc>
            </w:tr>
            <w:tr w14:paraId="7DCA10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restart"/>
                  <w:tcBorders>
                    <w:tl2br w:val="nil"/>
                    <w:tr2bl w:val="nil"/>
                  </w:tcBorders>
                  <w:noWrap w:val="0"/>
                  <w:vAlign w:val="center"/>
                </w:tcPr>
                <w:p w14:paraId="3D0F41E5">
                  <w:pPr>
                    <w:pStyle w:val="49"/>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spacing w:val="0"/>
                      <w:sz w:val="21"/>
                      <w:szCs w:val="21"/>
                      <w:lang w:val="en-US" w:eastAsia="zh-CN"/>
                    </w:rPr>
                  </w:pPr>
                  <w:r>
                    <w:rPr>
                      <w:rFonts w:hint="default" w:ascii="Times New Roman" w:hAnsi="Times New Roman" w:cs="Times New Roman"/>
                      <w:color w:val="auto"/>
                      <w:spacing w:val="0"/>
                      <w:sz w:val="21"/>
                      <w:szCs w:val="21"/>
                      <w:lang w:val="en-US" w:eastAsia="zh-CN"/>
                    </w:rPr>
                    <w:t>2026-05-22</w:t>
                  </w:r>
                </w:p>
              </w:tc>
              <w:tc>
                <w:tcPr>
                  <w:tcW w:w="385" w:type="pct"/>
                  <w:vMerge w:val="restart"/>
                  <w:tcBorders>
                    <w:tl2br w:val="nil"/>
                    <w:tr2bl w:val="nil"/>
                  </w:tcBorders>
                  <w:noWrap w:val="0"/>
                  <w:vAlign w:val="center"/>
                </w:tcPr>
                <w:p w14:paraId="65E2473E">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779" w:type="pct"/>
                  <w:tcBorders>
                    <w:tl2br w:val="nil"/>
                    <w:tr2bl w:val="nil"/>
                  </w:tcBorders>
                  <w:noWrap w:val="0"/>
                  <w:vAlign w:val="center"/>
                </w:tcPr>
                <w:p w14:paraId="082AA255">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上风向1#</w:t>
                  </w:r>
                </w:p>
              </w:tc>
              <w:tc>
                <w:tcPr>
                  <w:tcW w:w="863" w:type="pct"/>
                  <w:tcBorders>
                    <w:tl2br w:val="nil"/>
                    <w:tr2bl w:val="nil"/>
                  </w:tcBorders>
                  <w:noWrap w:val="0"/>
                  <w:vAlign w:val="center"/>
                </w:tcPr>
                <w:p w14:paraId="0A55BF29">
                  <w:pPr>
                    <w:pStyle w:val="49"/>
                    <w:keepLines w:val="0"/>
                    <w:pageBreakBefore w:val="0"/>
                    <w:kinsoku/>
                    <w:wordWrap/>
                    <w:overflowPunct/>
                    <w:topLinePunct w:val="0"/>
                    <w:autoSpaceDE/>
                    <w:autoSpaceDN/>
                    <w:bidi w:val="0"/>
                    <w:snapToGrid/>
                    <w:spacing w:after="0"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0.55</w:t>
                  </w:r>
                </w:p>
              </w:tc>
              <w:tc>
                <w:tcPr>
                  <w:tcW w:w="455" w:type="pct"/>
                  <w:vMerge w:val="restart"/>
                  <w:tcBorders>
                    <w:tl2br w:val="nil"/>
                    <w:tr2bl w:val="nil"/>
                  </w:tcBorders>
                  <w:noWrap w:val="0"/>
                  <w:vAlign w:val="center"/>
                </w:tcPr>
                <w:p w14:paraId="4CB0ABDB">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21.8</w:t>
                  </w:r>
                </w:p>
              </w:tc>
              <w:tc>
                <w:tcPr>
                  <w:tcW w:w="455" w:type="pct"/>
                  <w:vMerge w:val="restart"/>
                  <w:tcBorders>
                    <w:tl2br w:val="nil"/>
                    <w:tr2bl w:val="nil"/>
                  </w:tcBorders>
                  <w:noWrap w:val="0"/>
                  <w:vAlign w:val="center"/>
                </w:tcPr>
                <w:p w14:paraId="7FDAF29B">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99.7</w:t>
                  </w:r>
                </w:p>
              </w:tc>
              <w:tc>
                <w:tcPr>
                  <w:tcW w:w="455" w:type="pct"/>
                  <w:vMerge w:val="restart"/>
                  <w:tcBorders>
                    <w:tl2br w:val="nil"/>
                    <w:tr2bl w:val="nil"/>
                  </w:tcBorders>
                  <w:noWrap w:val="0"/>
                  <w:vAlign w:val="center"/>
                </w:tcPr>
                <w:p w14:paraId="4C9B523A">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p>
              </w:tc>
              <w:tc>
                <w:tcPr>
                  <w:tcW w:w="455" w:type="pct"/>
                  <w:vMerge w:val="restart"/>
                  <w:tcBorders>
                    <w:tl2br w:val="nil"/>
                    <w:tr2bl w:val="nil"/>
                  </w:tcBorders>
                  <w:noWrap w:val="0"/>
                  <w:vAlign w:val="center"/>
                </w:tcPr>
                <w:p w14:paraId="71E4D413">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w:t>
                  </w:r>
                </w:p>
              </w:tc>
              <w:tc>
                <w:tcPr>
                  <w:tcW w:w="460" w:type="pct"/>
                  <w:vMerge w:val="restart"/>
                  <w:tcBorders>
                    <w:tl2br w:val="nil"/>
                    <w:tr2bl w:val="nil"/>
                  </w:tcBorders>
                  <w:noWrap w:val="0"/>
                  <w:vAlign w:val="center"/>
                </w:tcPr>
                <w:p w14:paraId="1C2C4BA1">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阴</w:t>
                  </w:r>
                </w:p>
              </w:tc>
            </w:tr>
            <w:tr w14:paraId="667647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continue"/>
                  <w:tcBorders>
                    <w:tl2br w:val="nil"/>
                    <w:tr2bl w:val="nil"/>
                  </w:tcBorders>
                  <w:noWrap w:val="0"/>
                  <w:vAlign w:val="center"/>
                </w:tcPr>
                <w:p w14:paraId="131882F9">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pacing w:val="0"/>
                      <w:sz w:val="21"/>
                      <w:szCs w:val="21"/>
                      <w:lang w:val="en-US" w:eastAsia="zh-CN"/>
                    </w:rPr>
                  </w:pPr>
                </w:p>
              </w:tc>
              <w:tc>
                <w:tcPr>
                  <w:tcW w:w="385" w:type="pct"/>
                  <w:vMerge w:val="continue"/>
                  <w:tcBorders>
                    <w:tl2br w:val="nil"/>
                    <w:tr2bl w:val="nil"/>
                  </w:tcBorders>
                  <w:noWrap w:val="0"/>
                  <w:vAlign w:val="center"/>
                </w:tcPr>
                <w:p w14:paraId="5B476851">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779" w:type="pct"/>
                  <w:tcBorders>
                    <w:tl2br w:val="nil"/>
                    <w:tr2bl w:val="nil"/>
                  </w:tcBorders>
                  <w:noWrap w:val="0"/>
                  <w:vAlign w:val="center"/>
                </w:tcPr>
                <w:p w14:paraId="353E545C">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下风向2#</w:t>
                  </w:r>
                </w:p>
              </w:tc>
              <w:tc>
                <w:tcPr>
                  <w:tcW w:w="863" w:type="pct"/>
                  <w:tcBorders>
                    <w:tl2br w:val="nil"/>
                    <w:tr2bl w:val="nil"/>
                  </w:tcBorders>
                  <w:noWrap w:val="0"/>
                  <w:vAlign w:val="center"/>
                </w:tcPr>
                <w:p w14:paraId="369C9FEC">
                  <w:pPr>
                    <w:pStyle w:val="49"/>
                    <w:keepLines w:val="0"/>
                    <w:pageBreakBefore w:val="0"/>
                    <w:kinsoku/>
                    <w:wordWrap/>
                    <w:overflowPunct/>
                    <w:topLinePunct w:val="0"/>
                    <w:autoSpaceDE/>
                    <w:autoSpaceDN/>
                    <w:bidi w:val="0"/>
                    <w:snapToGrid/>
                    <w:spacing w:after="0"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0.86</w:t>
                  </w:r>
                </w:p>
              </w:tc>
              <w:tc>
                <w:tcPr>
                  <w:tcW w:w="455" w:type="pct"/>
                  <w:vMerge w:val="continue"/>
                  <w:tcBorders>
                    <w:tl2br w:val="nil"/>
                    <w:tr2bl w:val="nil"/>
                  </w:tcBorders>
                  <w:noWrap w:val="0"/>
                  <w:vAlign w:val="center"/>
                </w:tcPr>
                <w:p w14:paraId="15F85FAB">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61D4E40D">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745BC05C">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3FBB7567">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60" w:type="pct"/>
                  <w:vMerge w:val="continue"/>
                  <w:tcBorders>
                    <w:tl2br w:val="nil"/>
                    <w:tr2bl w:val="nil"/>
                  </w:tcBorders>
                  <w:noWrap w:val="0"/>
                  <w:vAlign w:val="center"/>
                </w:tcPr>
                <w:p w14:paraId="2391114B">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r>
            <w:tr w14:paraId="629CB3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continue"/>
                  <w:tcBorders>
                    <w:tl2br w:val="nil"/>
                    <w:tr2bl w:val="nil"/>
                  </w:tcBorders>
                  <w:noWrap w:val="0"/>
                  <w:vAlign w:val="center"/>
                </w:tcPr>
                <w:p w14:paraId="02F87C55">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pacing w:val="0"/>
                      <w:sz w:val="21"/>
                      <w:szCs w:val="21"/>
                      <w:lang w:val="en-US" w:eastAsia="zh-CN"/>
                    </w:rPr>
                  </w:pPr>
                </w:p>
              </w:tc>
              <w:tc>
                <w:tcPr>
                  <w:tcW w:w="385" w:type="pct"/>
                  <w:vMerge w:val="continue"/>
                  <w:tcBorders>
                    <w:tl2br w:val="nil"/>
                    <w:tr2bl w:val="nil"/>
                  </w:tcBorders>
                  <w:noWrap w:val="0"/>
                  <w:vAlign w:val="center"/>
                </w:tcPr>
                <w:p w14:paraId="5A6288E2">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779" w:type="pct"/>
                  <w:tcBorders>
                    <w:tl2br w:val="nil"/>
                    <w:tr2bl w:val="nil"/>
                  </w:tcBorders>
                  <w:noWrap w:val="0"/>
                  <w:vAlign w:val="center"/>
                </w:tcPr>
                <w:p w14:paraId="0F2D8B67">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下风向3#</w:t>
                  </w:r>
                </w:p>
              </w:tc>
              <w:tc>
                <w:tcPr>
                  <w:tcW w:w="863" w:type="pct"/>
                  <w:tcBorders>
                    <w:tl2br w:val="nil"/>
                    <w:tr2bl w:val="nil"/>
                  </w:tcBorders>
                  <w:noWrap w:val="0"/>
                  <w:vAlign w:val="center"/>
                </w:tcPr>
                <w:p w14:paraId="657D013F">
                  <w:pPr>
                    <w:pStyle w:val="49"/>
                    <w:keepLines w:val="0"/>
                    <w:pageBreakBefore w:val="0"/>
                    <w:kinsoku/>
                    <w:wordWrap/>
                    <w:overflowPunct/>
                    <w:topLinePunct w:val="0"/>
                    <w:autoSpaceDE/>
                    <w:autoSpaceDN/>
                    <w:bidi w:val="0"/>
                    <w:snapToGrid/>
                    <w:spacing w:after="0"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0.81</w:t>
                  </w:r>
                </w:p>
              </w:tc>
              <w:tc>
                <w:tcPr>
                  <w:tcW w:w="455" w:type="pct"/>
                  <w:vMerge w:val="continue"/>
                  <w:tcBorders>
                    <w:tl2br w:val="nil"/>
                    <w:tr2bl w:val="nil"/>
                  </w:tcBorders>
                  <w:noWrap w:val="0"/>
                  <w:vAlign w:val="center"/>
                </w:tcPr>
                <w:p w14:paraId="259D1EC0">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7DE52027">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5993B4F0">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1A11F4CE">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60" w:type="pct"/>
                  <w:vMerge w:val="continue"/>
                  <w:tcBorders>
                    <w:tl2br w:val="nil"/>
                    <w:tr2bl w:val="nil"/>
                  </w:tcBorders>
                  <w:noWrap w:val="0"/>
                  <w:vAlign w:val="center"/>
                </w:tcPr>
                <w:p w14:paraId="0241E99C">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r>
            <w:tr w14:paraId="32CA6C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continue"/>
                  <w:tcBorders>
                    <w:tl2br w:val="nil"/>
                    <w:tr2bl w:val="nil"/>
                  </w:tcBorders>
                  <w:noWrap w:val="0"/>
                  <w:vAlign w:val="center"/>
                </w:tcPr>
                <w:p w14:paraId="0A7613C6">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pacing w:val="0"/>
                      <w:sz w:val="21"/>
                      <w:szCs w:val="21"/>
                      <w:lang w:val="en-US" w:eastAsia="zh-CN"/>
                    </w:rPr>
                  </w:pPr>
                </w:p>
              </w:tc>
              <w:tc>
                <w:tcPr>
                  <w:tcW w:w="385" w:type="pct"/>
                  <w:vMerge w:val="continue"/>
                  <w:tcBorders>
                    <w:tl2br w:val="nil"/>
                    <w:tr2bl w:val="nil"/>
                  </w:tcBorders>
                  <w:noWrap w:val="0"/>
                  <w:vAlign w:val="center"/>
                </w:tcPr>
                <w:p w14:paraId="5CA8B70C">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779" w:type="pct"/>
                  <w:tcBorders>
                    <w:tl2br w:val="nil"/>
                    <w:tr2bl w:val="nil"/>
                  </w:tcBorders>
                  <w:noWrap w:val="0"/>
                  <w:vAlign w:val="center"/>
                </w:tcPr>
                <w:p w14:paraId="46D4C5CA">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下风向4#</w:t>
                  </w:r>
                </w:p>
              </w:tc>
              <w:tc>
                <w:tcPr>
                  <w:tcW w:w="863" w:type="pct"/>
                  <w:tcBorders>
                    <w:tl2br w:val="nil"/>
                    <w:tr2bl w:val="nil"/>
                  </w:tcBorders>
                  <w:noWrap w:val="0"/>
                  <w:vAlign w:val="center"/>
                </w:tcPr>
                <w:p w14:paraId="434829EE">
                  <w:pPr>
                    <w:pStyle w:val="49"/>
                    <w:keepLines w:val="0"/>
                    <w:pageBreakBefore w:val="0"/>
                    <w:kinsoku/>
                    <w:wordWrap/>
                    <w:overflowPunct/>
                    <w:topLinePunct w:val="0"/>
                    <w:autoSpaceDE/>
                    <w:autoSpaceDN/>
                    <w:bidi w:val="0"/>
                    <w:snapToGrid/>
                    <w:spacing w:after="0"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0.84</w:t>
                  </w:r>
                </w:p>
              </w:tc>
              <w:tc>
                <w:tcPr>
                  <w:tcW w:w="455" w:type="pct"/>
                  <w:vMerge w:val="continue"/>
                  <w:tcBorders>
                    <w:tl2br w:val="nil"/>
                    <w:tr2bl w:val="nil"/>
                  </w:tcBorders>
                  <w:noWrap w:val="0"/>
                  <w:vAlign w:val="center"/>
                </w:tcPr>
                <w:p w14:paraId="4ED027CE">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7C21AC64">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14479245">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6D6EF279">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60" w:type="pct"/>
                  <w:vMerge w:val="continue"/>
                  <w:tcBorders>
                    <w:tl2br w:val="nil"/>
                    <w:tr2bl w:val="nil"/>
                  </w:tcBorders>
                  <w:noWrap w:val="0"/>
                  <w:vAlign w:val="center"/>
                </w:tcPr>
                <w:p w14:paraId="53F002A3">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r>
            <w:tr w14:paraId="4BD6AE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continue"/>
                  <w:tcBorders>
                    <w:tl2br w:val="nil"/>
                    <w:tr2bl w:val="nil"/>
                  </w:tcBorders>
                  <w:noWrap w:val="0"/>
                  <w:vAlign w:val="center"/>
                </w:tcPr>
                <w:p w14:paraId="39E31761">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pacing w:val="0"/>
                      <w:sz w:val="21"/>
                      <w:szCs w:val="21"/>
                      <w:lang w:val="en-US" w:eastAsia="zh-CN"/>
                    </w:rPr>
                  </w:pPr>
                </w:p>
              </w:tc>
              <w:tc>
                <w:tcPr>
                  <w:tcW w:w="385" w:type="pct"/>
                  <w:vMerge w:val="restart"/>
                  <w:tcBorders>
                    <w:tl2br w:val="nil"/>
                    <w:tr2bl w:val="nil"/>
                  </w:tcBorders>
                  <w:noWrap w:val="0"/>
                  <w:vAlign w:val="center"/>
                </w:tcPr>
                <w:p w14:paraId="7A3C33A6">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779" w:type="pct"/>
                  <w:tcBorders>
                    <w:tl2br w:val="nil"/>
                    <w:tr2bl w:val="nil"/>
                  </w:tcBorders>
                  <w:noWrap w:val="0"/>
                  <w:vAlign w:val="center"/>
                </w:tcPr>
                <w:p w14:paraId="6EF96382">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上风向1#</w:t>
                  </w:r>
                </w:p>
              </w:tc>
              <w:tc>
                <w:tcPr>
                  <w:tcW w:w="863" w:type="pct"/>
                  <w:tcBorders>
                    <w:tl2br w:val="nil"/>
                    <w:tr2bl w:val="nil"/>
                  </w:tcBorders>
                  <w:noWrap w:val="0"/>
                  <w:vAlign w:val="center"/>
                </w:tcPr>
                <w:p w14:paraId="131FBC79">
                  <w:pPr>
                    <w:pStyle w:val="49"/>
                    <w:keepLines w:val="0"/>
                    <w:pageBreakBefore w:val="0"/>
                    <w:kinsoku/>
                    <w:wordWrap/>
                    <w:overflowPunct/>
                    <w:topLinePunct w:val="0"/>
                    <w:autoSpaceDE/>
                    <w:autoSpaceDN/>
                    <w:bidi w:val="0"/>
                    <w:snapToGrid/>
                    <w:spacing w:after="0"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0.51</w:t>
                  </w:r>
                </w:p>
              </w:tc>
              <w:tc>
                <w:tcPr>
                  <w:tcW w:w="455" w:type="pct"/>
                  <w:vMerge w:val="restart"/>
                  <w:tcBorders>
                    <w:tl2br w:val="nil"/>
                    <w:tr2bl w:val="nil"/>
                  </w:tcBorders>
                  <w:noWrap w:val="0"/>
                  <w:vAlign w:val="center"/>
                </w:tcPr>
                <w:p w14:paraId="287756B1">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28.1</w:t>
                  </w:r>
                </w:p>
              </w:tc>
              <w:tc>
                <w:tcPr>
                  <w:tcW w:w="455" w:type="pct"/>
                  <w:vMerge w:val="restart"/>
                  <w:tcBorders>
                    <w:tl2br w:val="nil"/>
                    <w:tr2bl w:val="nil"/>
                  </w:tcBorders>
                  <w:noWrap w:val="0"/>
                  <w:vAlign w:val="center"/>
                </w:tcPr>
                <w:p w14:paraId="317F2E13">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99.5</w:t>
                  </w:r>
                </w:p>
              </w:tc>
              <w:tc>
                <w:tcPr>
                  <w:tcW w:w="455" w:type="pct"/>
                  <w:vMerge w:val="restart"/>
                  <w:tcBorders>
                    <w:tl2br w:val="nil"/>
                    <w:tr2bl w:val="nil"/>
                  </w:tcBorders>
                  <w:noWrap w:val="0"/>
                  <w:vAlign w:val="center"/>
                </w:tcPr>
                <w:p w14:paraId="1A92BBF6">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w:t>
                  </w:r>
                </w:p>
              </w:tc>
              <w:tc>
                <w:tcPr>
                  <w:tcW w:w="455" w:type="pct"/>
                  <w:vMerge w:val="restart"/>
                  <w:tcBorders>
                    <w:tl2br w:val="nil"/>
                    <w:tr2bl w:val="nil"/>
                  </w:tcBorders>
                  <w:noWrap w:val="0"/>
                  <w:vAlign w:val="center"/>
                </w:tcPr>
                <w:p w14:paraId="1D1A0875">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东</w:t>
                  </w:r>
                </w:p>
              </w:tc>
              <w:tc>
                <w:tcPr>
                  <w:tcW w:w="460" w:type="pct"/>
                  <w:vMerge w:val="restart"/>
                  <w:tcBorders>
                    <w:tl2br w:val="nil"/>
                    <w:tr2bl w:val="nil"/>
                  </w:tcBorders>
                  <w:noWrap w:val="0"/>
                  <w:vAlign w:val="center"/>
                </w:tcPr>
                <w:p w14:paraId="41879B72">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阴</w:t>
                  </w:r>
                </w:p>
              </w:tc>
            </w:tr>
            <w:tr w14:paraId="263469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continue"/>
                  <w:tcBorders>
                    <w:tl2br w:val="nil"/>
                    <w:tr2bl w:val="nil"/>
                  </w:tcBorders>
                  <w:noWrap w:val="0"/>
                  <w:vAlign w:val="center"/>
                </w:tcPr>
                <w:p w14:paraId="65DDD685">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pacing w:val="0"/>
                      <w:sz w:val="21"/>
                      <w:szCs w:val="21"/>
                      <w:lang w:val="en-US" w:eastAsia="zh-CN"/>
                    </w:rPr>
                  </w:pPr>
                </w:p>
              </w:tc>
              <w:tc>
                <w:tcPr>
                  <w:tcW w:w="385" w:type="pct"/>
                  <w:vMerge w:val="continue"/>
                  <w:tcBorders>
                    <w:tl2br w:val="nil"/>
                    <w:tr2bl w:val="nil"/>
                  </w:tcBorders>
                  <w:noWrap w:val="0"/>
                  <w:vAlign w:val="center"/>
                </w:tcPr>
                <w:p w14:paraId="49EE9868">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779" w:type="pct"/>
                  <w:tcBorders>
                    <w:tl2br w:val="nil"/>
                    <w:tr2bl w:val="nil"/>
                  </w:tcBorders>
                  <w:noWrap w:val="0"/>
                  <w:vAlign w:val="center"/>
                </w:tcPr>
                <w:p w14:paraId="48E8CE01">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下风向2#</w:t>
                  </w:r>
                </w:p>
              </w:tc>
              <w:tc>
                <w:tcPr>
                  <w:tcW w:w="863" w:type="pct"/>
                  <w:tcBorders>
                    <w:tl2br w:val="nil"/>
                    <w:tr2bl w:val="nil"/>
                  </w:tcBorders>
                  <w:noWrap w:val="0"/>
                  <w:vAlign w:val="center"/>
                </w:tcPr>
                <w:p w14:paraId="762975D6">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0.84</w:t>
                  </w:r>
                </w:p>
              </w:tc>
              <w:tc>
                <w:tcPr>
                  <w:tcW w:w="455" w:type="pct"/>
                  <w:vMerge w:val="continue"/>
                  <w:tcBorders>
                    <w:tl2br w:val="nil"/>
                    <w:tr2bl w:val="nil"/>
                  </w:tcBorders>
                  <w:noWrap w:val="0"/>
                  <w:vAlign w:val="center"/>
                </w:tcPr>
                <w:p w14:paraId="3FB919E2">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0CF8512B">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59850403">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19209C62">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60" w:type="pct"/>
                  <w:vMerge w:val="continue"/>
                  <w:tcBorders>
                    <w:tl2br w:val="nil"/>
                    <w:tr2bl w:val="nil"/>
                  </w:tcBorders>
                  <w:noWrap w:val="0"/>
                  <w:vAlign w:val="center"/>
                </w:tcPr>
                <w:p w14:paraId="0575529D">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r>
            <w:tr w14:paraId="5FA010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continue"/>
                  <w:tcBorders>
                    <w:tl2br w:val="nil"/>
                    <w:tr2bl w:val="nil"/>
                  </w:tcBorders>
                  <w:noWrap w:val="0"/>
                  <w:vAlign w:val="center"/>
                </w:tcPr>
                <w:p w14:paraId="4F2CEFCB">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pacing w:val="0"/>
                      <w:sz w:val="21"/>
                      <w:szCs w:val="21"/>
                      <w:lang w:val="en-US" w:eastAsia="zh-CN"/>
                    </w:rPr>
                  </w:pPr>
                </w:p>
              </w:tc>
              <w:tc>
                <w:tcPr>
                  <w:tcW w:w="385" w:type="pct"/>
                  <w:vMerge w:val="continue"/>
                  <w:tcBorders>
                    <w:tl2br w:val="nil"/>
                    <w:tr2bl w:val="nil"/>
                  </w:tcBorders>
                  <w:noWrap w:val="0"/>
                  <w:vAlign w:val="center"/>
                </w:tcPr>
                <w:p w14:paraId="75D0033D">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779" w:type="pct"/>
                  <w:tcBorders>
                    <w:tl2br w:val="nil"/>
                    <w:tr2bl w:val="nil"/>
                  </w:tcBorders>
                  <w:noWrap w:val="0"/>
                  <w:vAlign w:val="center"/>
                </w:tcPr>
                <w:p w14:paraId="69CA8052">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下风向3#</w:t>
                  </w:r>
                </w:p>
              </w:tc>
              <w:tc>
                <w:tcPr>
                  <w:tcW w:w="863" w:type="pct"/>
                  <w:tcBorders>
                    <w:tl2br w:val="nil"/>
                    <w:tr2bl w:val="nil"/>
                  </w:tcBorders>
                  <w:noWrap w:val="0"/>
                  <w:vAlign w:val="center"/>
                </w:tcPr>
                <w:p w14:paraId="57D10185">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0.80</w:t>
                  </w:r>
                </w:p>
              </w:tc>
              <w:tc>
                <w:tcPr>
                  <w:tcW w:w="455" w:type="pct"/>
                  <w:vMerge w:val="continue"/>
                  <w:tcBorders>
                    <w:tl2br w:val="nil"/>
                    <w:tr2bl w:val="nil"/>
                  </w:tcBorders>
                  <w:noWrap w:val="0"/>
                  <w:vAlign w:val="center"/>
                </w:tcPr>
                <w:p w14:paraId="136EB84E">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607F3DB7">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1CBA096D">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6D93D95F">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60" w:type="pct"/>
                  <w:vMerge w:val="continue"/>
                  <w:tcBorders>
                    <w:tl2br w:val="nil"/>
                    <w:tr2bl w:val="nil"/>
                  </w:tcBorders>
                  <w:noWrap w:val="0"/>
                  <w:vAlign w:val="center"/>
                </w:tcPr>
                <w:p w14:paraId="6B7B61F6">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r>
            <w:tr w14:paraId="54D491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continue"/>
                  <w:tcBorders>
                    <w:tl2br w:val="nil"/>
                    <w:tr2bl w:val="nil"/>
                  </w:tcBorders>
                  <w:noWrap w:val="0"/>
                  <w:vAlign w:val="center"/>
                </w:tcPr>
                <w:p w14:paraId="479D7224">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pacing w:val="0"/>
                      <w:sz w:val="21"/>
                      <w:szCs w:val="21"/>
                      <w:lang w:val="en-US" w:eastAsia="zh-CN"/>
                    </w:rPr>
                  </w:pPr>
                </w:p>
              </w:tc>
              <w:tc>
                <w:tcPr>
                  <w:tcW w:w="385" w:type="pct"/>
                  <w:vMerge w:val="continue"/>
                  <w:tcBorders>
                    <w:tl2br w:val="nil"/>
                    <w:tr2bl w:val="nil"/>
                  </w:tcBorders>
                  <w:noWrap w:val="0"/>
                  <w:vAlign w:val="center"/>
                </w:tcPr>
                <w:p w14:paraId="48A875F3">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779" w:type="pct"/>
                  <w:tcBorders>
                    <w:tl2br w:val="nil"/>
                    <w:tr2bl w:val="nil"/>
                  </w:tcBorders>
                  <w:noWrap w:val="0"/>
                  <w:vAlign w:val="center"/>
                </w:tcPr>
                <w:p w14:paraId="03ABB354">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下风向4#</w:t>
                  </w:r>
                </w:p>
              </w:tc>
              <w:tc>
                <w:tcPr>
                  <w:tcW w:w="863" w:type="pct"/>
                  <w:tcBorders>
                    <w:tl2br w:val="nil"/>
                    <w:tr2bl w:val="nil"/>
                  </w:tcBorders>
                  <w:noWrap w:val="0"/>
                  <w:vAlign w:val="center"/>
                </w:tcPr>
                <w:p w14:paraId="540EC8B9">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0.86</w:t>
                  </w:r>
                </w:p>
              </w:tc>
              <w:tc>
                <w:tcPr>
                  <w:tcW w:w="455" w:type="pct"/>
                  <w:vMerge w:val="continue"/>
                  <w:tcBorders>
                    <w:tl2br w:val="nil"/>
                    <w:tr2bl w:val="nil"/>
                  </w:tcBorders>
                  <w:noWrap w:val="0"/>
                  <w:vAlign w:val="center"/>
                </w:tcPr>
                <w:p w14:paraId="38456C80">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48C6C66C">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7E743309">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576CCE5B">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60" w:type="pct"/>
                  <w:vMerge w:val="continue"/>
                  <w:tcBorders>
                    <w:tl2br w:val="nil"/>
                    <w:tr2bl w:val="nil"/>
                  </w:tcBorders>
                  <w:noWrap w:val="0"/>
                  <w:vAlign w:val="center"/>
                </w:tcPr>
                <w:p w14:paraId="619A5ADF">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r>
            <w:tr w14:paraId="4A7789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continue"/>
                  <w:tcBorders>
                    <w:tl2br w:val="nil"/>
                    <w:tr2bl w:val="nil"/>
                  </w:tcBorders>
                  <w:noWrap w:val="0"/>
                  <w:vAlign w:val="center"/>
                </w:tcPr>
                <w:p w14:paraId="6260A0C8">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pacing w:val="0"/>
                      <w:sz w:val="21"/>
                      <w:szCs w:val="21"/>
                      <w:lang w:val="en-US" w:eastAsia="zh-CN"/>
                    </w:rPr>
                  </w:pPr>
                </w:p>
              </w:tc>
              <w:tc>
                <w:tcPr>
                  <w:tcW w:w="385" w:type="pct"/>
                  <w:vMerge w:val="restart"/>
                  <w:tcBorders>
                    <w:tl2br w:val="nil"/>
                    <w:tr2bl w:val="nil"/>
                  </w:tcBorders>
                  <w:noWrap w:val="0"/>
                  <w:vAlign w:val="center"/>
                </w:tcPr>
                <w:p w14:paraId="0901C193">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779" w:type="pct"/>
                  <w:tcBorders>
                    <w:tl2br w:val="nil"/>
                    <w:tr2bl w:val="nil"/>
                  </w:tcBorders>
                  <w:noWrap w:val="0"/>
                  <w:vAlign w:val="center"/>
                </w:tcPr>
                <w:p w14:paraId="2649BBD0">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上风向1#</w:t>
                  </w:r>
                </w:p>
              </w:tc>
              <w:tc>
                <w:tcPr>
                  <w:tcW w:w="863" w:type="pct"/>
                  <w:tcBorders>
                    <w:tl2br w:val="nil"/>
                    <w:tr2bl w:val="nil"/>
                  </w:tcBorders>
                  <w:noWrap w:val="0"/>
                  <w:vAlign w:val="center"/>
                </w:tcPr>
                <w:p w14:paraId="5F4F7F1B">
                  <w:pPr>
                    <w:pStyle w:val="49"/>
                    <w:keepLines w:val="0"/>
                    <w:pageBreakBefore w:val="0"/>
                    <w:kinsoku/>
                    <w:wordWrap/>
                    <w:overflowPunct/>
                    <w:topLinePunct w:val="0"/>
                    <w:autoSpaceDE/>
                    <w:autoSpaceDN/>
                    <w:bidi w:val="0"/>
                    <w:snapToGrid/>
                    <w:spacing w:after="0"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0.49</w:t>
                  </w:r>
                </w:p>
              </w:tc>
              <w:tc>
                <w:tcPr>
                  <w:tcW w:w="455" w:type="pct"/>
                  <w:vMerge w:val="restart"/>
                  <w:tcBorders>
                    <w:tl2br w:val="nil"/>
                    <w:tr2bl w:val="nil"/>
                  </w:tcBorders>
                  <w:noWrap w:val="0"/>
                  <w:vAlign w:val="center"/>
                </w:tcPr>
                <w:p w14:paraId="30A2A2A5">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30.8</w:t>
                  </w:r>
                </w:p>
              </w:tc>
              <w:tc>
                <w:tcPr>
                  <w:tcW w:w="455" w:type="pct"/>
                  <w:vMerge w:val="restart"/>
                  <w:tcBorders>
                    <w:tl2br w:val="nil"/>
                    <w:tr2bl w:val="nil"/>
                  </w:tcBorders>
                  <w:noWrap w:val="0"/>
                  <w:vAlign w:val="center"/>
                </w:tcPr>
                <w:p w14:paraId="18C3C015">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99.4</w:t>
                  </w:r>
                </w:p>
              </w:tc>
              <w:tc>
                <w:tcPr>
                  <w:tcW w:w="455" w:type="pct"/>
                  <w:vMerge w:val="restart"/>
                  <w:tcBorders>
                    <w:tl2br w:val="nil"/>
                    <w:tr2bl w:val="nil"/>
                  </w:tcBorders>
                  <w:noWrap w:val="0"/>
                  <w:vAlign w:val="center"/>
                </w:tcPr>
                <w:p w14:paraId="0471DA17">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p>
              </w:tc>
              <w:tc>
                <w:tcPr>
                  <w:tcW w:w="455" w:type="pct"/>
                  <w:vMerge w:val="restart"/>
                  <w:tcBorders>
                    <w:tl2br w:val="nil"/>
                    <w:tr2bl w:val="nil"/>
                  </w:tcBorders>
                  <w:noWrap w:val="0"/>
                  <w:vAlign w:val="center"/>
                </w:tcPr>
                <w:p w14:paraId="6254FB8E">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东</w:t>
                  </w:r>
                </w:p>
              </w:tc>
              <w:tc>
                <w:tcPr>
                  <w:tcW w:w="460" w:type="pct"/>
                  <w:vMerge w:val="restart"/>
                  <w:tcBorders>
                    <w:tl2br w:val="nil"/>
                    <w:tr2bl w:val="nil"/>
                  </w:tcBorders>
                  <w:noWrap w:val="0"/>
                  <w:vAlign w:val="center"/>
                </w:tcPr>
                <w:p w14:paraId="6B22E102">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阴</w:t>
                  </w:r>
                </w:p>
              </w:tc>
            </w:tr>
            <w:tr w14:paraId="76E26F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continue"/>
                  <w:tcBorders>
                    <w:tl2br w:val="nil"/>
                    <w:tr2bl w:val="nil"/>
                  </w:tcBorders>
                  <w:noWrap w:val="0"/>
                  <w:vAlign w:val="center"/>
                </w:tcPr>
                <w:p w14:paraId="5C24A86F">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pacing w:val="0"/>
                      <w:sz w:val="21"/>
                      <w:szCs w:val="21"/>
                      <w:lang w:val="en-US" w:eastAsia="zh-CN"/>
                    </w:rPr>
                  </w:pPr>
                </w:p>
              </w:tc>
              <w:tc>
                <w:tcPr>
                  <w:tcW w:w="385" w:type="pct"/>
                  <w:vMerge w:val="continue"/>
                  <w:tcBorders>
                    <w:tl2br w:val="nil"/>
                    <w:tr2bl w:val="nil"/>
                  </w:tcBorders>
                  <w:noWrap w:val="0"/>
                  <w:vAlign w:val="center"/>
                </w:tcPr>
                <w:p w14:paraId="07D69B6B">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779" w:type="pct"/>
                  <w:tcBorders>
                    <w:tl2br w:val="nil"/>
                    <w:tr2bl w:val="nil"/>
                  </w:tcBorders>
                  <w:noWrap w:val="0"/>
                  <w:vAlign w:val="center"/>
                </w:tcPr>
                <w:p w14:paraId="41AC8CA4">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下风向2#</w:t>
                  </w:r>
                </w:p>
              </w:tc>
              <w:tc>
                <w:tcPr>
                  <w:tcW w:w="863" w:type="pct"/>
                  <w:tcBorders>
                    <w:tl2br w:val="nil"/>
                    <w:tr2bl w:val="nil"/>
                  </w:tcBorders>
                  <w:noWrap w:val="0"/>
                  <w:vAlign w:val="center"/>
                </w:tcPr>
                <w:p w14:paraId="159E580C">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0.84</w:t>
                  </w:r>
                </w:p>
              </w:tc>
              <w:tc>
                <w:tcPr>
                  <w:tcW w:w="455" w:type="pct"/>
                  <w:vMerge w:val="continue"/>
                  <w:tcBorders>
                    <w:tl2br w:val="nil"/>
                    <w:tr2bl w:val="nil"/>
                  </w:tcBorders>
                  <w:noWrap w:val="0"/>
                  <w:vAlign w:val="center"/>
                </w:tcPr>
                <w:p w14:paraId="60DEF481">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77A9126A">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75B0635C">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59EF46B1">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60" w:type="pct"/>
                  <w:vMerge w:val="continue"/>
                  <w:tcBorders>
                    <w:tl2br w:val="nil"/>
                    <w:tr2bl w:val="nil"/>
                  </w:tcBorders>
                  <w:noWrap w:val="0"/>
                  <w:vAlign w:val="center"/>
                </w:tcPr>
                <w:p w14:paraId="172C8B15">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r>
            <w:tr w14:paraId="234A6A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continue"/>
                  <w:tcBorders>
                    <w:tl2br w:val="nil"/>
                    <w:tr2bl w:val="nil"/>
                  </w:tcBorders>
                  <w:noWrap w:val="0"/>
                  <w:vAlign w:val="center"/>
                </w:tcPr>
                <w:p w14:paraId="046723BC">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pacing w:val="0"/>
                      <w:sz w:val="21"/>
                      <w:szCs w:val="21"/>
                      <w:lang w:val="en-US" w:eastAsia="zh-CN"/>
                    </w:rPr>
                  </w:pPr>
                </w:p>
              </w:tc>
              <w:tc>
                <w:tcPr>
                  <w:tcW w:w="385" w:type="pct"/>
                  <w:vMerge w:val="continue"/>
                  <w:tcBorders>
                    <w:tl2br w:val="nil"/>
                    <w:tr2bl w:val="nil"/>
                  </w:tcBorders>
                  <w:noWrap w:val="0"/>
                  <w:vAlign w:val="center"/>
                </w:tcPr>
                <w:p w14:paraId="3C02ED2F">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779" w:type="pct"/>
                  <w:tcBorders>
                    <w:tl2br w:val="nil"/>
                    <w:tr2bl w:val="nil"/>
                  </w:tcBorders>
                  <w:noWrap w:val="0"/>
                  <w:vAlign w:val="center"/>
                </w:tcPr>
                <w:p w14:paraId="0C5A4BF0">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下风向3#</w:t>
                  </w:r>
                </w:p>
              </w:tc>
              <w:tc>
                <w:tcPr>
                  <w:tcW w:w="863" w:type="pct"/>
                  <w:tcBorders>
                    <w:tl2br w:val="nil"/>
                    <w:tr2bl w:val="nil"/>
                  </w:tcBorders>
                  <w:noWrap w:val="0"/>
                  <w:vAlign w:val="center"/>
                </w:tcPr>
                <w:p w14:paraId="7D386BA4">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0.81</w:t>
                  </w:r>
                </w:p>
              </w:tc>
              <w:tc>
                <w:tcPr>
                  <w:tcW w:w="455" w:type="pct"/>
                  <w:vMerge w:val="continue"/>
                  <w:tcBorders>
                    <w:tl2br w:val="nil"/>
                    <w:tr2bl w:val="nil"/>
                  </w:tcBorders>
                  <w:noWrap w:val="0"/>
                  <w:vAlign w:val="center"/>
                </w:tcPr>
                <w:p w14:paraId="15AE8024">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559FED21">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76F9EA96">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5C0433B8">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60" w:type="pct"/>
                  <w:vMerge w:val="continue"/>
                  <w:tcBorders>
                    <w:tl2br w:val="nil"/>
                    <w:tr2bl w:val="nil"/>
                  </w:tcBorders>
                  <w:noWrap w:val="0"/>
                  <w:vAlign w:val="center"/>
                </w:tcPr>
                <w:p w14:paraId="426549CB">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r>
            <w:tr w14:paraId="7270EC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continue"/>
                  <w:tcBorders>
                    <w:tl2br w:val="nil"/>
                    <w:tr2bl w:val="nil"/>
                  </w:tcBorders>
                  <w:noWrap w:val="0"/>
                  <w:vAlign w:val="center"/>
                </w:tcPr>
                <w:p w14:paraId="5520E09C">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pacing w:val="0"/>
                      <w:sz w:val="21"/>
                      <w:szCs w:val="21"/>
                      <w:lang w:val="en-US" w:eastAsia="zh-CN"/>
                    </w:rPr>
                  </w:pPr>
                </w:p>
              </w:tc>
              <w:tc>
                <w:tcPr>
                  <w:tcW w:w="385" w:type="pct"/>
                  <w:vMerge w:val="continue"/>
                  <w:tcBorders>
                    <w:tl2br w:val="nil"/>
                    <w:tr2bl w:val="nil"/>
                  </w:tcBorders>
                  <w:noWrap w:val="0"/>
                  <w:vAlign w:val="center"/>
                </w:tcPr>
                <w:p w14:paraId="48A79509">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779" w:type="pct"/>
                  <w:tcBorders>
                    <w:tl2br w:val="nil"/>
                    <w:tr2bl w:val="nil"/>
                  </w:tcBorders>
                  <w:noWrap w:val="0"/>
                  <w:vAlign w:val="center"/>
                </w:tcPr>
                <w:p w14:paraId="242C4296">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下风向4#</w:t>
                  </w:r>
                </w:p>
              </w:tc>
              <w:tc>
                <w:tcPr>
                  <w:tcW w:w="863" w:type="pct"/>
                  <w:tcBorders>
                    <w:tl2br w:val="nil"/>
                    <w:tr2bl w:val="nil"/>
                  </w:tcBorders>
                  <w:noWrap w:val="0"/>
                  <w:vAlign w:val="center"/>
                </w:tcPr>
                <w:p w14:paraId="335D84BB">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0.82</w:t>
                  </w:r>
                </w:p>
              </w:tc>
              <w:tc>
                <w:tcPr>
                  <w:tcW w:w="455" w:type="pct"/>
                  <w:vMerge w:val="continue"/>
                  <w:tcBorders>
                    <w:tl2br w:val="nil"/>
                    <w:tr2bl w:val="nil"/>
                  </w:tcBorders>
                  <w:noWrap w:val="0"/>
                  <w:vAlign w:val="center"/>
                </w:tcPr>
                <w:p w14:paraId="799E42CC">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0AF41B6F">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4DEB5840">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5357EBF8">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60" w:type="pct"/>
                  <w:vMerge w:val="continue"/>
                  <w:tcBorders>
                    <w:tl2br w:val="nil"/>
                    <w:tr2bl w:val="nil"/>
                  </w:tcBorders>
                  <w:noWrap w:val="0"/>
                  <w:vAlign w:val="center"/>
                </w:tcPr>
                <w:p w14:paraId="32E9F830">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r>
            <w:tr w14:paraId="0F43AA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restart"/>
                  <w:tcBorders>
                    <w:tl2br w:val="nil"/>
                    <w:tr2bl w:val="nil"/>
                  </w:tcBorders>
                  <w:noWrap w:val="0"/>
                  <w:vAlign w:val="center"/>
                </w:tcPr>
                <w:p w14:paraId="72E201DF">
                  <w:pPr>
                    <w:pStyle w:val="49"/>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spacing w:val="0"/>
                      <w:sz w:val="21"/>
                      <w:szCs w:val="21"/>
                      <w:lang w:val="en-US" w:eastAsia="zh-CN"/>
                    </w:rPr>
                  </w:pPr>
                  <w:r>
                    <w:rPr>
                      <w:rFonts w:hint="default" w:ascii="Times New Roman" w:hAnsi="Times New Roman" w:cs="Times New Roman"/>
                      <w:color w:val="auto"/>
                      <w:spacing w:val="0"/>
                      <w:sz w:val="21"/>
                      <w:szCs w:val="21"/>
                      <w:lang w:val="en-US" w:eastAsia="zh-CN"/>
                    </w:rPr>
                    <w:t>2026-05-23</w:t>
                  </w:r>
                </w:p>
              </w:tc>
              <w:tc>
                <w:tcPr>
                  <w:tcW w:w="385" w:type="pct"/>
                  <w:vMerge w:val="restart"/>
                  <w:tcBorders>
                    <w:tl2br w:val="nil"/>
                    <w:tr2bl w:val="nil"/>
                  </w:tcBorders>
                  <w:noWrap w:val="0"/>
                  <w:vAlign w:val="center"/>
                </w:tcPr>
                <w:p w14:paraId="56D422FA">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779" w:type="pct"/>
                  <w:tcBorders>
                    <w:tl2br w:val="nil"/>
                    <w:tr2bl w:val="nil"/>
                  </w:tcBorders>
                  <w:noWrap w:val="0"/>
                  <w:vAlign w:val="center"/>
                </w:tcPr>
                <w:p w14:paraId="7509D4DA">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上风向1#</w:t>
                  </w:r>
                </w:p>
              </w:tc>
              <w:tc>
                <w:tcPr>
                  <w:tcW w:w="863" w:type="pct"/>
                  <w:tcBorders>
                    <w:tl2br w:val="nil"/>
                    <w:tr2bl w:val="nil"/>
                  </w:tcBorders>
                  <w:noWrap w:val="0"/>
                  <w:vAlign w:val="center"/>
                </w:tcPr>
                <w:p w14:paraId="724D7709">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0.55</w:t>
                  </w:r>
                </w:p>
              </w:tc>
              <w:tc>
                <w:tcPr>
                  <w:tcW w:w="455" w:type="pct"/>
                  <w:vMerge w:val="restart"/>
                  <w:tcBorders>
                    <w:tl2br w:val="nil"/>
                    <w:tr2bl w:val="nil"/>
                  </w:tcBorders>
                  <w:noWrap w:val="0"/>
                  <w:vAlign w:val="center"/>
                </w:tcPr>
                <w:p w14:paraId="2C5EC86B">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23.5</w:t>
                  </w:r>
                </w:p>
              </w:tc>
              <w:tc>
                <w:tcPr>
                  <w:tcW w:w="455" w:type="pct"/>
                  <w:vMerge w:val="restart"/>
                  <w:tcBorders>
                    <w:tl2br w:val="nil"/>
                    <w:tr2bl w:val="nil"/>
                  </w:tcBorders>
                  <w:noWrap w:val="0"/>
                  <w:vAlign w:val="center"/>
                </w:tcPr>
                <w:p w14:paraId="1188BCF9">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99.6</w:t>
                  </w:r>
                </w:p>
              </w:tc>
              <w:tc>
                <w:tcPr>
                  <w:tcW w:w="455" w:type="pct"/>
                  <w:vMerge w:val="restart"/>
                  <w:tcBorders>
                    <w:tl2br w:val="nil"/>
                    <w:tr2bl w:val="nil"/>
                  </w:tcBorders>
                  <w:noWrap w:val="0"/>
                  <w:vAlign w:val="center"/>
                </w:tcPr>
                <w:p w14:paraId="614791EE">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455" w:type="pct"/>
                  <w:vMerge w:val="restart"/>
                  <w:tcBorders>
                    <w:tl2br w:val="nil"/>
                    <w:tr2bl w:val="nil"/>
                  </w:tcBorders>
                  <w:noWrap w:val="0"/>
                  <w:vAlign w:val="center"/>
                </w:tcPr>
                <w:p w14:paraId="38D7B3AE">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南</w:t>
                  </w:r>
                </w:p>
              </w:tc>
              <w:tc>
                <w:tcPr>
                  <w:tcW w:w="460" w:type="pct"/>
                  <w:vMerge w:val="restart"/>
                  <w:tcBorders>
                    <w:tl2br w:val="nil"/>
                    <w:tr2bl w:val="nil"/>
                  </w:tcBorders>
                  <w:noWrap w:val="0"/>
                  <w:vAlign w:val="center"/>
                </w:tcPr>
                <w:p w14:paraId="41EC5A31">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晴</w:t>
                  </w:r>
                </w:p>
              </w:tc>
            </w:tr>
            <w:tr w14:paraId="1D91C8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continue"/>
                  <w:tcBorders>
                    <w:tl2br w:val="nil"/>
                    <w:tr2bl w:val="nil"/>
                  </w:tcBorders>
                  <w:noWrap w:val="0"/>
                  <w:vAlign w:val="center"/>
                </w:tcPr>
                <w:p w14:paraId="08332880">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85" w:type="pct"/>
                  <w:vMerge w:val="continue"/>
                  <w:tcBorders>
                    <w:tl2br w:val="nil"/>
                    <w:tr2bl w:val="nil"/>
                  </w:tcBorders>
                  <w:noWrap w:val="0"/>
                  <w:vAlign w:val="center"/>
                </w:tcPr>
                <w:p w14:paraId="4AEB1A35">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779" w:type="pct"/>
                  <w:tcBorders>
                    <w:tl2br w:val="nil"/>
                    <w:tr2bl w:val="nil"/>
                  </w:tcBorders>
                  <w:noWrap w:val="0"/>
                  <w:vAlign w:val="center"/>
                </w:tcPr>
                <w:p w14:paraId="747F35C4">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下风向2#</w:t>
                  </w:r>
                </w:p>
              </w:tc>
              <w:tc>
                <w:tcPr>
                  <w:tcW w:w="863" w:type="pct"/>
                  <w:tcBorders>
                    <w:tl2br w:val="nil"/>
                    <w:tr2bl w:val="nil"/>
                  </w:tcBorders>
                  <w:noWrap w:val="0"/>
                  <w:vAlign w:val="center"/>
                </w:tcPr>
                <w:p w14:paraId="5EFC0CDF">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0.86</w:t>
                  </w:r>
                </w:p>
              </w:tc>
              <w:tc>
                <w:tcPr>
                  <w:tcW w:w="455" w:type="pct"/>
                  <w:vMerge w:val="continue"/>
                  <w:tcBorders>
                    <w:tl2br w:val="nil"/>
                    <w:tr2bl w:val="nil"/>
                  </w:tcBorders>
                  <w:noWrap w:val="0"/>
                  <w:vAlign w:val="center"/>
                </w:tcPr>
                <w:p w14:paraId="1FFA2EA9">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0AF488C6">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01FF6740">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1270CD2F">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60" w:type="pct"/>
                  <w:vMerge w:val="continue"/>
                  <w:tcBorders>
                    <w:tl2br w:val="nil"/>
                    <w:tr2bl w:val="nil"/>
                  </w:tcBorders>
                  <w:noWrap w:val="0"/>
                  <w:vAlign w:val="center"/>
                </w:tcPr>
                <w:p w14:paraId="41FDA006">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r>
            <w:tr w14:paraId="2176F5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691" w:type="pct"/>
                  <w:vMerge w:val="continue"/>
                  <w:tcBorders>
                    <w:tl2br w:val="nil"/>
                    <w:tr2bl w:val="nil"/>
                  </w:tcBorders>
                  <w:noWrap w:val="0"/>
                  <w:vAlign w:val="center"/>
                </w:tcPr>
                <w:p w14:paraId="0B7C7026">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85" w:type="pct"/>
                  <w:vMerge w:val="continue"/>
                  <w:tcBorders>
                    <w:tl2br w:val="nil"/>
                    <w:tr2bl w:val="nil"/>
                  </w:tcBorders>
                  <w:noWrap w:val="0"/>
                  <w:vAlign w:val="center"/>
                </w:tcPr>
                <w:p w14:paraId="6BBEEEE1">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779" w:type="pct"/>
                  <w:tcBorders>
                    <w:tl2br w:val="nil"/>
                    <w:tr2bl w:val="nil"/>
                  </w:tcBorders>
                  <w:noWrap w:val="0"/>
                  <w:vAlign w:val="center"/>
                </w:tcPr>
                <w:p w14:paraId="222A3D39">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下风向3#</w:t>
                  </w:r>
                </w:p>
              </w:tc>
              <w:tc>
                <w:tcPr>
                  <w:tcW w:w="863" w:type="pct"/>
                  <w:tcBorders>
                    <w:tl2br w:val="nil"/>
                    <w:tr2bl w:val="nil"/>
                  </w:tcBorders>
                  <w:noWrap w:val="0"/>
                  <w:vAlign w:val="center"/>
                </w:tcPr>
                <w:p w14:paraId="008AE314">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0.89</w:t>
                  </w:r>
                </w:p>
              </w:tc>
              <w:tc>
                <w:tcPr>
                  <w:tcW w:w="455" w:type="pct"/>
                  <w:vMerge w:val="continue"/>
                  <w:tcBorders>
                    <w:tl2br w:val="nil"/>
                    <w:tr2bl w:val="nil"/>
                  </w:tcBorders>
                  <w:noWrap w:val="0"/>
                  <w:vAlign w:val="center"/>
                </w:tcPr>
                <w:p w14:paraId="31C7F742">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69014D4E">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361342AF">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595A3129">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60" w:type="pct"/>
                  <w:vMerge w:val="continue"/>
                  <w:tcBorders>
                    <w:tl2br w:val="nil"/>
                    <w:tr2bl w:val="nil"/>
                  </w:tcBorders>
                  <w:noWrap w:val="0"/>
                  <w:vAlign w:val="center"/>
                </w:tcPr>
                <w:p w14:paraId="1ADA0137">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r>
            <w:tr w14:paraId="39E220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continue"/>
                  <w:tcBorders>
                    <w:tl2br w:val="nil"/>
                    <w:tr2bl w:val="nil"/>
                  </w:tcBorders>
                  <w:noWrap w:val="0"/>
                  <w:vAlign w:val="center"/>
                </w:tcPr>
                <w:p w14:paraId="5327687B">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85" w:type="pct"/>
                  <w:vMerge w:val="continue"/>
                  <w:tcBorders>
                    <w:tl2br w:val="nil"/>
                    <w:tr2bl w:val="nil"/>
                  </w:tcBorders>
                  <w:noWrap w:val="0"/>
                  <w:vAlign w:val="center"/>
                </w:tcPr>
                <w:p w14:paraId="1CF16FE6">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779" w:type="pct"/>
                  <w:tcBorders>
                    <w:tl2br w:val="nil"/>
                    <w:tr2bl w:val="nil"/>
                  </w:tcBorders>
                  <w:noWrap w:val="0"/>
                  <w:vAlign w:val="center"/>
                </w:tcPr>
                <w:p w14:paraId="1610A8CA">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下风向4#</w:t>
                  </w:r>
                </w:p>
              </w:tc>
              <w:tc>
                <w:tcPr>
                  <w:tcW w:w="863" w:type="pct"/>
                  <w:tcBorders>
                    <w:tl2br w:val="nil"/>
                    <w:tr2bl w:val="nil"/>
                  </w:tcBorders>
                  <w:noWrap w:val="0"/>
                  <w:vAlign w:val="center"/>
                </w:tcPr>
                <w:p w14:paraId="6C76BD2D">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0.80</w:t>
                  </w:r>
                </w:p>
              </w:tc>
              <w:tc>
                <w:tcPr>
                  <w:tcW w:w="455" w:type="pct"/>
                  <w:vMerge w:val="continue"/>
                  <w:tcBorders>
                    <w:tl2br w:val="nil"/>
                    <w:tr2bl w:val="nil"/>
                  </w:tcBorders>
                  <w:noWrap w:val="0"/>
                  <w:vAlign w:val="center"/>
                </w:tcPr>
                <w:p w14:paraId="387D3970">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124DA839">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3B67E9C1">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2EC1BC12">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60" w:type="pct"/>
                  <w:vMerge w:val="continue"/>
                  <w:tcBorders>
                    <w:tl2br w:val="nil"/>
                    <w:tr2bl w:val="nil"/>
                  </w:tcBorders>
                  <w:noWrap w:val="0"/>
                  <w:vAlign w:val="center"/>
                </w:tcPr>
                <w:p w14:paraId="01F97C79">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r>
            <w:tr w14:paraId="50E7BA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continue"/>
                  <w:tcBorders>
                    <w:tl2br w:val="nil"/>
                    <w:tr2bl w:val="nil"/>
                  </w:tcBorders>
                  <w:noWrap w:val="0"/>
                  <w:vAlign w:val="center"/>
                </w:tcPr>
                <w:p w14:paraId="04D649BA">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85" w:type="pct"/>
                  <w:vMerge w:val="restart"/>
                  <w:tcBorders>
                    <w:tl2br w:val="nil"/>
                    <w:tr2bl w:val="nil"/>
                  </w:tcBorders>
                  <w:noWrap w:val="0"/>
                  <w:vAlign w:val="center"/>
                </w:tcPr>
                <w:p w14:paraId="5A62326A">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779" w:type="pct"/>
                  <w:tcBorders>
                    <w:tl2br w:val="nil"/>
                    <w:tr2bl w:val="nil"/>
                  </w:tcBorders>
                  <w:noWrap w:val="0"/>
                  <w:vAlign w:val="center"/>
                </w:tcPr>
                <w:p w14:paraId="53D60239">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上风向1#</w:t>
                  </w:r>
                </w:p>
              </w:tc>
              <w:tc>
                <w:tcPr>
                  <w:tcW w:w="863" w:type="pct"/>
                  <w:tcBorders>
                    <w:tl2br w:val="nil"/>
                    <w:tr2bl w:val="nil"/>
                  </w:tcBorders>
                  <w:noWrap w:val="0"/>
                  <w:vAlign w:val="center"/>
                </w:tcPr>
                <w:p w14:paraId="09694453">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0.54</w:t>
                  </w:r>
                </w:p>
              </w:tc>
              <w:tc>
                <w:tcPr>
                  <w:tcW w:w="455" w:type="pct"/>
                  <w:vMerge w:val="restart"/>
                  <w:tcBorders>
                    <w:tl2br w:val="nil"/>
                    <w:tr2bl w:val="nil"/>
                  </w:tcBorders>
                  <w:noWrap w:val="0"/>
                  <w:vAlign w:val="center"/>
                </w:tcPr>
                <w:p w14:paraId="0188796A">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27.8</w:t>
                  </w:r>
                </w:p>
              </w:tc>
              <w:tc>
                <w:tcPr>
                  <w:tcW w:w="455" w:type="pct"/>
                  <w:vMerge w:val="restart"/>
                  <w:tcBorders>
                    <w:tl2br w:val="nil"/>
                    <w:tr2bl w:val="nil"/>
                  </w:tcBorders>
                  <w:noWrap w:val="0"/>
                  <w:vAlign w:val="center"/>
                </w:tcPr>
                <w:p w14:paraId="3266E29B">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99.5</w:t>
                  </w:r>
                </w:p>
              </w:tc>
              <w:tc>
                <w:tcPr>
                  <w:tcW w:w="455" w:type="pct"/>
                  <w:vMerge w:val="restart"/>
                  <w:tcBorders>
                    <w:tl2br w:val="nil"/>
                    <w:tr2bl w:val="nil"/>
                  </w:tcBorders>
                  <w:noWrap w:val="0"/>
                  <w:vAlign w:val="center"/>
                </w:tcPr>
                <w:p w14:paraId="40EBEED2">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c>
                <w:tcPr>
                  <w:tcW w:w="455" w:type="pct"/>
                  <w:vMerge w:val="restart"/>
                  <w:tcBorders>
                    <w:tl2br w:val="nil"/>
                    <w:tr2bl w:val="nil"/>
                  </w:tcBorders>
                  <w:noWrap w:val="0"/>
                  <w:vAlign w:val="center"/>
                </w:tcPr>
                <w:p w14:paraId="6336ABD4">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南</w:t>
                  </w:r>
                </w:p>
              </w:tc>
              <w:tc>
                <w:tcPr>
                  <w:tcW w:w="460" w:type="pct"/>
                  <w:vMerge w:val="restart"/>
                  <w:tcBorders>
                    <w:tl2br w:val="nil"/>
                    <w:tr2bl w:val="nil"/>
                  </w:tcBorders>
                  <w:noWrap w:val="0"/>
                  <w:vAlign w:val="center"/>
                </w:tcPr>
                <w:p w14:paraId="271705B8">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晴</w:t>
                  </w:r>
                </w:p>
              </w:tc>
            </w:tr>
            <w:tr w14:paraId="7D5368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continue"/>
                  <w:tcBorders>
                    <w:tl2br w:val="nil"/>
                    <w:tr2bl w:val="nil"/>
                  </w:tcBorders>
                  <w:noWrap w:val="0"/>
                  <w:vAlign w:val="center"/>
                </w:tcPr>
                <w:p w14:paraId="72E0CA59">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85" w:type="pct"/>
                  <w:vMerge w:val="continue"/>
                  <w:tcBorders>
                    <w:tl2br w:val="nil"/>
                    <w:tr2bl w:val="nil"/>
                  </w:tcBorders>
                  <w:noWrap w:val="0"/>
                  <w:vAlign w:val="center"/>
                </w:tcPr>
                <w:p w14:paraId="54B223EC">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779" w:type="pct"/>
                  <w:tcBorders>
                    <w:tl2br w:val="nil"/>
                    <w:tr2bl w:val="nil"/>
                  </w:tcBorders>
                  <w:noWrap w:val="0"/>
                  <w:vAlign w:val="center"/>
                </w:tcPr>
                <w:p w14:paraId="238914E8">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下风向2#</w:t>
                  </w:r>
                </w:p>
              </w:tc>
              <w:tc>
                <w:tcPr>
                  <w:tcW w:w="863" w:type="pct"/>
                  <w:tcBorders>
                    <w:tl2br w:val="nil"/>
                    <w:tr2bl w:val="nil"/>
                  </w:tcBorders>
                  <w:noWrap w:val="0"/>
                  <w:vAlign w:val="center"/>
                </w:tcPr>
                <w:p w14:paraId="6C023A09">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0.88</w:t>
                  </w:r>
                </w:p>
              </w:tc>
              <w:tc>
                <w:tcPr>
                  <w:tcW w:w="455" w:type="pct"/>
                  <w:vMerge w:val="continue"/>
                  <w:tcBorders>
                    <w:tl2br w:val="nil"/>
                    <w:tr2bl w:val="nil"/>
                  </w:tcBorders>
                  <w:noWrap w:val="0"/>
                  <w:vAlign w:val="center"/>
                </w:tcPr>
                <w:p w14:paraId="69AFF62A">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2639BA47">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32C21FEA">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031E77FB">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60" w:type="pct"/>
                  <w:vMerge w:val="continue"/>
                  <w:tcBorders>
                    <w:tl2br w:val="nil"/>
                    <w:tr2bl w:val="nil"/>
                  </w:tcBorders>
                  <w:noWrap w:val="0"/>
                  <w:vAlign w:val="center"/>
                </w:tcPr>
                <w:p w14:paraId="591AB4E7">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r>
            <w:tr w14:paraId="0183ED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continue"/>
                  <w:tcBorders>
                    <w:tl2br w:val="nil"/>
                    <w:tr2bl w:val="nil"/>
                  </w:tcBorders>
                  <w:noWrap w:val="0"/>
                  <w:vAlign w:val="center"/>
                </w:tcPr>
                <w:p w14:paraId="252188A8">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85" w:type="pct"/>
                  <w:vMerge w:val="continue"/>
                  <w:tcBorders>
                    <w:tl2br w:val="nil"/>
                    <w:tr2bl w:val="nil"/>
                  </w:tcBorders>
                  <w:noWrap w:val="0"/>
                  <w:vAlign w:val="center"/>
                </w:tcPr>
                <w:p w14:paraId="760BD6EE">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779" w:type="pct"/>
                  <w:tcBorders>
                    <w:tl2br w:val="nil"/>
                    <w:tr2bl w:val="nil"/>
                  </w:tcBorders>
                  <w:noWrap w:val="0"/>
                  <w:vAlign w:val="center"/>
                </w:tcPr>
                <w:p w14:paraId="6EA293D2">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下风向3#</w:t>
                  </w:r>
                </w:p>
              </w:tc>
              <w:tc>
                <w:tcPr>
                  <w:tcW w:w="863" w:type="pct"/>
                  <w:tcBorders>
                    <w:tl2br w:val="nil"/>
                    <w:tr2bl w:val="nil"/>
                  </w:tcBorders>
                  <w:noWrap w:val="0"/>
                  <w:vAlign w:val="center"/>
                </w:tcPr>
                <w:p w14:paraId="66E4B349">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0.85</w:t>
                  </w:r>
                </w:p>
              </w:tc>
              <w:tc>
                <w:tcPr>
                  <w:tcW w:w="455" w:type="pct"/>
                  <w:vMerge w:val="continue"/>
                  <w:tcBorders>
                    <w:tl2br w:val="nil"/>
                    <w:tr2bl w:val="nil"/>
                  </w:tcBorders>
                  <w:noWrap w:val="0"/>
                  <w:vAlign w:val="center"/>
                </w:tcPr>
                <w:p w14:paraId="173E6627">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737B723F">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63F75E0E">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3D2733E5">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60" w:type="pct"/>
                  <w:vMerge w:val="continue"/>
                  <w:tcBorders>
                    <w:tl2br w:val="nil"/>
                    <w:tr2bl w:val="nil"/>
                  </w:tcBorders>
                  <w:noWrap w:val="0"/>
                  <w:vAlign w:val="center"/>
                </w:tcPr>
                <w:p w14:paraId="35CF0019">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r>
            <w:tr w14:paraId="597A7F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continue"/>
                  <w:tcBorders>
                    <w:tl2br w:val="nil"/>
                    <w:tr2bl w:val="nil"/>
                  </w:tcBorders>
                  <w:noWrap w:val="0"/>
                  <w:vAlign w:val="center"/>
                </w:tcPr>
                <w:p w14:paraId="3635C08B">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85" w:type="pct"/>
                  <w:vMerge w:val="continue"/>
                  <w:tcBorders>
                    <w:tl2br w:val="nil"/>
                    <w:tr2bl w:val="nil"/>
                  </w:tcBorders>
                  <w:noWrap w:val="0"/>
                  <w:vAlign w:val="center"/>
                </w:tcPr>
                <w:p w14:paraId="5ADF9EEE">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779" w:type="pct"/>
                  <w:tcBorders>
                    <w:tl2br w:val="nil"/>
                    <w:tr2bl w:val="nil"/>
                  </w:tcBorders>
                  <w:noWrap w:val="0"/>
                  <w:vAlign w:val="center"/>
                </w:tcPr>
                <w:p w14:paraId="2C7F26ED">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下风向4#</w:t>
                  </w:r>
                </w:p>
              </w:tc>
              <w:tc>
                <w:tcPr>
                  <w:tcW w:w="863" w:type="pct"/>
                  <w:tcBorders>
                    <w:tl2br w:val="nil"/>
                    <w:tr2bl w:val="nil"/>
                  </w:tcBorders>
                  <w:noWrap w:val="0"/>
                  <w:vAlign w:val="center"/>
                </w:tcPr>
                <w:p w14:paraId="6D857E8E">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0.82</w:t>
                  </w:r>
                </w:p>
              </w:tc>
              <w:tc>
                <w:tcPr>
                  <w:tcW w:w="455" w:type="pct"/>
                  <w:vMerge w:val="continue"/>
                  <w:tcBorders>
                    <w:tl2br w:val="nil"/>
                    <w:tr2bl w:val="nil"/>
                  </w:tcBorders>
                  <w:noWrap w:val="0"/>
                  <w:vAlign w:val="center"/>
                </w:tcPr>
                <w:p w14:paraId="4C478B87">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74BC153D">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16F0875E">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6A315697">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60" w:type="pct"/>
                  <w:vMerge w:val="continue"/>
                  <w:tcBorders>
                    <w:tl2br w:val="nil"/>
                    <w:tr2bl w:val="nil"/>
                  </w:tcBorders>
                  <w:noWrap w:val="0"/>
                  <w:vAlign w:val="center"/>
                </w:tcPr>
                <w:p w14:paraId="020F8A0E">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r>
            <w:tr w14:paraId="23E2D2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continue"/>
                  <w:tcBorders>
                    <w:tl2br w:val="nil"/>
                    <w:tr2bl w:val="nil"/>
                  </w:tcBorders>
                  <w:noWrap w:val="0"/>
                  <w:vAlign w:val="center"/>
                </w:tcPr>
                <w:p w14:paraId="0B1E49E9">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85" w:type="pct"/>
                  <w:vMerge w:val="restart"/>
                  <w:tcBorders>
                    <w:tl2br w:val="nil"/>
                    <w:tr2bl w:val="nil"/>
                  </w:tcBorders>
                  <w:noWrap w:val="0"/>
                  <w:vAlign w:val="center"/>
                </w:tcPr>
                <w:p w14:paraId="6AA60A6E">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779" w:type="pct"/>
                  <w:tcBorders>
                    <w:tl2br w:val="nil"/>
                    <w:tr2bl w:val="nil"/>
                  </w:tcBorders>
                  <w:noWrap w:val="0"/>
                  <w:vAlign w:val="center"/>
                </w:tcPr>
                <w:p w14:paraId="6E9FBFB9">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上风向1#</w:t>
                  </w:r>
                </w:p>
              </w:tc>
              <w:tc>
                <w:tcPr>
                  <w:tcW w:w="863" w:type="pct"/>
                  <w:tcBorders>
                    <w:tl2br w:val="nil"/>
                    <w:tr2bl w:val="nil"/>
                  </w:tcBorders>
                  <w:noWrap w:val="0"/>
                  <w:vAlign w:val="center"/>
                </w:tcPr>
                <w:p w14:paraId="2AFE9E88">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0.52</w:t>
                  </w:r>
                </w:p>
              </w:tc>
              <w:tc>
                <w:tcPr>
                  <w:tcW w:w="455" w:type="pct"/>
                  <w:vMerge w:val="restart"/>
                  <w:tcBorders>
                    <w:tl2br w:val="nil"/>
                    <w:tr2bl w:val="nil"/>
                  </w:tcBorders>
                  <w:noWrap w:val="0"/>
                  <w:vAlign w:val="center"/>
                </w:tcPr>
                <w:p w14:paraId="20331D98">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30.5</w:t>
                  </w:r>
                </w:p>
              </w:tc>
              <w:tc>
                <w:tcPr>
                  <w:tcW w:w="455" w:type="pct"/>
                  <w:vMerge w:val="restart"/>
                  <w:tcBorders>
                    <w:tl2br w:val="nil"/>
                    <w:tr2bl w:val="nil"/>
                  </w:tcBorders>
                  <w:noWrap w:val="0"/>
                  <w:vAlign w:val="center"/>
                </w:tcPr>
                <w:p w14:paraId="2AC87542">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99.4</w:t>
                  </w:r>
                </w:p>
              </w:tc>
              <w:tc>
                <w:tcPr>
                  <w:tcW w:w="455" w:type="pct"/>
                  <w:vMerge w:val="restart"/>
                  <w:tcBorders>
                    <w:tl2br w:val="nil"/>
                    <w:tr2bl w:val="nil"/>
                  </w:tcBorders>
                  <w:noWrap w:val="0"/>
                  <w:vAlign w:val="center"/>
                </w:tcPr>
                <w:p w14:paraId="5EF29A9F">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455" w:type="pct"/>
                  <w:vMerge w:val="restart"/>
                  <w:tcBorders>
                    <w:tl2br w:val="nil"/>
                    <w:tr2bl w:val="nil"/>
                  </w:tcBorders>
                  <w:noWrap w:val="0"/>
                  <w:vAlign w:val="center"/>
                </w:tcPr>
                <w:p w14:paraId="2A5B2437">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南</w:t>
                  </w:r>
                </w:p>
              </w:tc>
              <w:tc>
                <w:tcPr>
                  <w:tcW w:w="460" w:type="pct"/>
                  <w:vMerge w:val="restart"/>
                  <w:tcBorders>
                    <w:tl2br w:val="nil"/>
                    <w:tr2bl w:val="nil"/>
                  </w:tcBorders>
                  <w:noWrap w:val="0"/>
                  <w:vAlign w:val="center"/>
                </w:tcPr>
                <w:p w14:paraId="3C0D3FC7">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晴</w:t>
                  </w:r>
                </w:p>
              </w:tc>
            </w:tr>
            <w:tr w14:paraId="7DCABC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continue"/>
                  <w:tcBorders>
                    <w:tl2br w:val="nil"/>
                    <w:tr2bl w:val="nil"/>
                  </w:tcBorders>
                  <w:noWrap w:val="0"/>
                  <w:vAlign w:val="center"/>
                </w:tcPr>
                <w:p w14:paraId="2A63482A">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85" w:type="pct"/>
                  <w:vMerge w:val="continue"/>
                  <w:tcBorders>
                    <w:tl2br w:val="nil"/>
                    <w:tr2bl w:val="nil"/>
                  </w:tcBorders>
                  <w:noWrap w:val="0"/>
                  <w:vAlign w:val="center"/>
                </w:tcPr>
                <w:p w14:paraId="04945D50">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779" w:type="pct"/>
                  <w:tcBorders>
                    <w:tl2br w:val="nil"/>
                    <w:tr2bl w:val="nil"/>
                  </w:tcBorders>
                  <w:noWrap w:val="0"/>
                  <w:vAlign w:val="center"/>
                </w:tcPr>
                <w:p w14:paraId="54151599">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下风向2#</w:t>
                  </w:r>
                </w:p>
              </w:tc>
              <w:tc>
                <w:tcPr>
                  <w:tcW w:w="863" w:type="pct"/>
                  <w:tcBorders>
                    <w:tl2br w:val="nil"/>
                    <w:tr2bl w:val="nil"/>
                  </w:tcBorders>
                  <w:noWrap w:val="0"/>
                  <w:vAlign w:val="center"/>
                </w:tcPr>
                <w:p w14:paraId="4578D236">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0.91</w:t>
                  </w:r>
                </w:p>
              </w:tc>
              <w:tc>
                <w:tcPr>
                  <w:tcW w:w="455" w:type="pct"/>
                  <w:vMerge w:val="continue"/>
                  <w:tcBorders>
                    <w:tl2br w:val="nil"/>
                    <w:tr2bl w:val="nil"/>
                  </w:tcBorders>
                  <w:noWrap w:val="0"/>
                  <w:vAlign w:val="center"/>
                </w:tcPr>
                <w:p w14:paraId="73FC23A2">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78430395">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35F9985F">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2C653BFA">
                  <w:pPr>
                    <w:pStyle w:val="49"/>
                    <w:keepLines w:val="0"/>
                    <w:pageBreakBefore w:val="0"/>
                    <w:kinsoku/>
                    <w:wordWrap/>
                    <w:overflowPunct/>
                    <w:topLinePunct w:val="0"/>
                    <w:autoSpaceDE/>
                    <w:autoSpaceDN/>
                    <w:bidi w:val="0"/>
                    <w:snapToGrid/>
                    <w:spacing w:after="0" w:line="240" w:lineRule="auto"/>
                    <w:rPr>
                      <w:rFonts w:hint="default" w:ascii="Times New Roman" w:hAnsi="Times New Roman" w:cs="Times New Roman"/>
                      <w:color w:val="auto"/>
                      <w:sz w:val="21"/>
                      <w:szCs w:val="21"/>
                      <w:lang w:val="en-US" w:eastAsia="zh-CN"/>
                    </w:rPr>
                  </w:pPr>
                </w:p>
              </w:tc>
              <w:tc>
                <w:tcPr>
                  <w:tcW w:w="460" w:type="pct"/>
                  <w:vMerge w:val="continue"/>
                  <w:tcBorders>
                    <w:tl2br w:val="nil"/>
                    <w:tr2bl w:val="nil"/>
                  </w:tcBorders>
                  <w:noWrap w:val="0"/>
                  <w:vAlign w:val="center"/>
                </w:tcPr>
                <w:p w14:paraId="407FBEF6">
                  <w:pPr>
                    <w:pStyle w:val="49"/>
                    <w:keepLines w:val="0"/>
                    <w:pageBreakBefore w:val="0"/>
                    <w:kinsoku/>
                    <w:wordWrap/>
                    <w:overflowPunct/>
                    <w:topLinePunct w:val="0"/>
                    <w:autoSpaceDE/>
                    <w:autoSpaceDN/>
                    <w:bidi w:val="0"/>
                    <w:snapToGrid/>
                    <w:spacing w:after="0" w:line="240" w:lineRule="auto"/>
                    <w:rPr>
                      <w:rFonts w:hint="default" w:ascii="Times New Roman" w:hAnsi="Times New Roman" w:cs="Times New Roman"/>
                      <w:color w:val="auto"/>
                      <w:sz w:val="21"/>
                      <w:szCs w:val="21"/>
                      <w:lang w:val="en-US" w:eastAsia="zh-CN"/>
                    </w:rPr>
                  </w:pPr>
                </w:p>
              </w:tc>
            </w:tr>
            <w:tr w14:paraId="233A54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continue"/>
                  <w:tcBorders>
                    <w:tl2br w:val="nil"/>
                    <w:tr2bl w:val="nil"/>
                  </w:tcBorders>
                  <w:noWrap w:val="0"/>
                  <w:vAlign w:val="center"/>
                </w:tcPr>
                <w:p w14:paraId="42741139">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85" w:type="pct"/>
                  <w:vMerge w:val="continue"/>
                  <w:tcBorders>
                    <w:tl2br w:val="nil"/>
                    <w:tr2bl w:val="nil"/>
                  </w:tcBorders>
                  <w:noWrap w:val="0"/>
                  <w:vAlign w:val="center"/>
                </w:tcPr>
                <w:p w14:paraId="516A66B0">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779" w:type="pct"/>
                  <w:tcBorders>
                    <w:tl2br w:val="nil"/>
                    <w:tr2bl w:val="nil"/>
                  </w:tcBorders>
                  <w:noWrap w:val="0"/>
                  <w:vAlign w:val="center"/>
                </w:tcPr>
                <w:p w14:paraId="684CDF89">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下风向3#</w:t>
                  </w:r>
                </w:p>
              </w:tc>
              <w:tc>
                <w:tcPr>
                  <w:tcW w:w="863" w:type="pct"/>
                  <w:tcBorders>
                    <w:tl2br w:val="nil"/>
                    <w:tr2bl w:val="nil"/>
                  </w:tcBorders>
                  <w:noWrap w:val="0"/>
                  <w:vAlign w:val="center"/>
                </w:tcPr>
                <w:p w14:paraId="11809F19">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0.82</w:t>
                  </w:r>
                </w:p>
              </w:tc>
              <w:tc>
                <w:tcPr>
                  <w:tcW w:w="455" w:type="pct"/>
                  <w:vMerge w:val="continue"/>
                  <w:tcBorders>
                    <w:tl2br w:val="nil"/>
                    <w:tr2bl w:val="nil"/>
                  </w:tcBorders>
                  <w:noWrap w:val="0"/>
                  <w:vAlign w:val="center"/>
                </w:tcPr>
                <w:p w14:paraId="0A3D2FFF">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22AC4833">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4AE20FE6">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673789A2">
                  <w:pPr>
                    <w:pStyle w:val="49"/>
                    <w:keepLines w:val="0"/>
                    <w:pageBreakBefore w:val="0"/>
                    <w:kinsoku/>
                    <w:wordWrap/>
                    <w:overflowPunct/>
                    <w:topLinePunct w:val="0"/>
                    <w:autoSpaceDE/>
                    <w:autoSpaceDN/>
                    <w:bidi w:val="0"/>
                    <w:snapToGrid/>
                    <w:spacing w:after="0" w:line="240" w:lineRule="auto"/>
                    <w:rPr>
                      <w:rFonts w:hint="default" w:ascii="Times New Roman" w:hAnsi="Times New Roman" w:cs="Times New Roman"/>
                      <w:color w:val="auto"/>
                      <w:sz w:val="21"/>
                      <w:szCs w:val="21"/>
                      <w:lang w:val="en-US" w:eastAsia="zh-CN"/>
                    </w:rPr>
                  </w:pPr>
                </w:p>
              </w:tc>
              <w:tc>
                <w:tcPr>
                  <w:tcW w:w="460" w:type="pct"/>
                  <w:vMerge w:val="continue"/>
                  <w:tcBorders>
                    <w:tl2br w:val="nil"/>
                    <w:tr2bl w:val="nil"/>
                  </w:tcBorders>
                  <w:noWrap w:val="0"/>
                  <w:vAlign w:val="center"/>
                </w:tcPr>
                <w:p w14:paraId="5EB958F0">
                  <w:pPr>
                    <w:pStyle w:val="49"/>
                    <w:keepLines w:val="0"/>
                    <w:pageBreakBefore w:val="0"/>
                    <w:kinsoku/>
                    <w:wordWrap/>
                    <w:overflowPunct/>
                    <w:topLinePunct w:val="0"/>
                    <w:autoSpaceDE/>
                    <w:autoSpaceDN/>
                    <w:bidi w:val="0"/>
                    <w:snapToGrid/>
                    <w:spacing w:after="0" w:line="240" w:lineRule="auto"/>
                    <w:rPr>
                      <w:rFonts w:hint="default" w:ascii="Times New Roman" w:hAnsi="Times New Roman" w:cs="Times New Roman"/>
                      <w:color w:val="auto"/>
                      <w:sz w:val="21"/>
                      <w:szCs w:val="21"/>
                      <w:lang w:val="en-US" w:eastAsia="zh-CN"/>
                    </w:rPr>
                  </w:pPr>
                </w:p>
              </w:tc>
            </w:tr>
            <w:tr w14:paraId="71F4D4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pct"/>
                  <w:vMerge w:val="continue"/>
                  <w:tcBorders>
                    <w:tl2br w:val="nil"/>
                    <w:tr2bl w:val="nil"/>
                  </w:tcBorders>
                  <w:noWrap w:val="0"/>
                  <w:vAlign w:val="center"/>
                </w:tcPr>
                <w:p w14:paraId="1148973B">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385" w:type="pct"/>
                  <w:vMerge w:val="continue"/>
                  <w:tcBorders>
                    <w:tl2br w:val="nil"/>
                    <w:tr2bl w:val="nil"/>
                  </w:tcBorders>
                  <w:noWrap w:val="0"/>
                  <w:vAlign w:val="center"/>
                </w:tcPr>
                <w:p w14:paraId="417F01BD">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779" w:type="pct"/>
                  <w:tcBorders>
                    <w:tl2br w:val="nil"/>
                    <w:tr2bl w:val="nil"/>
                  </w:tcBorders>
                  <w:noWrap w:val="0"/>
                  <w:vAlign w:val="center"/>
                </w:tcPr>
                <w:p w14:paraId="244E3B54">
                  <w:pPr>
                    <w:keepLines w:val="0"/>
                    <w:pageBreakBefore w:val="0"/>
                    <w:widowControl/>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下风向4#</w:t>
                  </w:r>
                </w:p>
              </w:tc>
              <w:tc>
                <w:tcPr>
                  <w:tcW w:w="863" w:type="pct"/>
                  <w:tcBorders>
                    <w:tl2br w:val="nil"/>
                    <w:tr2bl w:val="nil"/>
                  </w:tcBorders>
                  <w:noWrap w:val="0"/>
                  <w:vAlign w:val="center"/>
                </w:tcPr>
                <w:p w14:paraId="336B6140">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0.85</w:t>
                  </w:r>
                </w:p>
              </w:tc>
              <w:tc>
                <w:tcPr>
                  <w:tcW w:w="455" w:type="pct"/>
                  <w:vMerge w:val="continue"/>
                  <w:tcBorders>
                    <w:tl2br w:val="nil"/>
                    <w:tr2bl w:val="nil"/>
                  </w:tcBorders>
                  <w:noWrap w:val="0"/>
                  <w:vAlign w:val="center"/>
                </w:tcPr>
                <w:p w14:paraId="3484E1C9">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480D2B89">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362BC441">
                  <w:pPr>
                    <w:pStyle w:val="49"/>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sz w:val="21"/>
                      <w:szCs w:val="21"/>
                      <w:lang w:val="en-US" w:eastAsia="zh-CN"/>
                    </w:rPr>
                  </w:pPr>
                </w:p>
              </w:tc>
              <w:tc>
                <w:tcPr>
                  <w:tcW w:w="455" w:type="pct"/>
                  <w:vMerge w:val="continue"/>
                  <w:tcBorders>
                    <w:tl2br w:val="nil"/>
                    <w:tr2bl w:val="nil"/>
                  </w:tcBorders>
                  <w:noWrap w:val="0"/>
                  <w:vAlign w:val="center"/>
                </w:tcPr>
                <w:p w14:paraId="3302B708">
                  <w:pPr>
                    <w:pStyle w:val="49"/>
                    <w:keepLines w:val="0"/>
                    <w:pageBreakBefore w:val="0"/>
                    <w:kinsoku/>
                    <w:wordWrap/>
                    <w:overflowPunct/>
                    <w:topLinePunct w:val="0"/>
                    <w:autoSpaceDE/>
                    <w:autoSpaceDN/>
                    <w:bidi w:val="0"/>
                    <w:snapToGrid/>
                    <w:spacing w:after="0" w:line="240" w:lineRule="auto"/>
                    <w:rPr>
                      <w:rFonts w:hint="default" w:ascii="Times New Roman" w:hAnsi="Times New Roman" w:cs="Times New Roman"/>
                      <w:color w:val="auto"/>
                      <w:sz w:val="21"/>
                      <w:szCs w:val="21"/>
                      <w:lang w:val="en-US" w:eastAsia="zh-CN"/>
                    </w:rPr>
                  </w:pPr>
                </w:p>
              </w:tc>
              <w:tc>
                <w:tcPr>
                  <w:tcW w:w="460" w:type="pct"/>
                  <w:vMerge w:val="continue"/>
                  <w:tcBorders>
                    <w:tl2br w:val="nil"/>
                    <w:tr2bl w:val="nil"/>
                  </w:tcBorders>
                  <w:noWrap w:val="0"/>
                  <w:vAlign w:val="center"/>
                </w:tcPr>
                <w:p w14:paraId="5589E291">
                  <w:pPr>
                    <w:pStyle w:val="49"/>
                    <w:keepLines w:val="0"/>
                    <w:pageBreakBefore w:val="0"/>
                    <w:kinsoku/>
                    <w:wordWrap/>
                    <w:overflowPunct/>
                    <w:topLinePunct w:val="0"/>
                    <w:autoSpaceDE/>
                    <w:autoSpaceDN/>
                    <w:bidi w:val="0"/>
                    <w:snapToGrid/>
                    <w:spacing w:after="0" w:line="240" w:lineRule="auto"/>
                    <w:rPr>
                      <w:rFonts w:hint="default" w:ascii="Times New Roman" w:hAnsi="Times New Roman" w:cs="Times New Roman"/>
                      <w:color w:val="auto"/>
                      <w:sz w:val="21"/>
                      <w:szCs w:val="21"/>
                      <w:lang w:val="en-US" w:eastAsia="zh-CN"/>
                    </w:rPr>
                  </w:pPr>
                </w:p>
              </w:tc>
            </w:tr>
          </w:tbl>
          <w:p w14:paraId="1B423811">
            <w:pPr>
              <w:spacing w:after="0" w:line="440" w:lineRule="exact"/>
              <w:ind w:firstLine="480" w:firstLineChars="200"/>
              <w:jc w:val="both"/>
              <w:textAlignment w:val="baseline"/>
              <w:rPr>
                <w:rFonts w:hint="eastAsia" w:eastAsia="宋体"/>
                <w:bCs/>
                <w:color w:val="auto"/>
                <w:sz w:val="24"/>
                <w:szCs w:val="24"/>
              </w:rPr>
            </w:pPr>
            <w:r>
              <w:rPr>
                <w:rFonts w:eastAsia="黑体"/>
                <w:color w:val="auto"/>
                <w:sz w:val="24"/>
                <w:szCs w:val="21"/>
              </w:rPr>
              <w:t>表1</w:t>
            </w:r>
            <w:r>
              <w:rPr>
                <w:rFonts w:hint="eastAsia" w:eastAsia="黑体"/>
                <w:color w:val="auto"/>
                <w:sz w:val="24"/>
                <w:szCs w:val="21"/>
              </w:rPr>
              <w:t>8</w:t>
            </w:r>
            <w:r>
              <w:rPr>
                <w:rFonts w:eastAsia="黑体"/>
                <w:color w:val="auto"/>
                <w:sz w:val="24"/>
                <w:szCs w:val="21"/>
              </w:rPr>
              <w:t xml:space="preserve">        </w:t>
            </w:r>
            <w:r>
              <w:rPr>
                <w:rFonts w:hint="eastAsia" w:eastAsia="黑体"/>
                <w:color w:val="auto"/>
                <w:sz w:val="24"/>
                <w:szCs w:val="21"/>
              </w:rPr>
              <w:t xml:space="preserve">    </w:t>
            </w:r>
            <w:r>
              <w:rPr>
                <w:rFonts w:eastAsia="黑体"/>
                <w:color w:val="auto"/>
                <w:sz w:val="24"/>
                <w:szCs w:val="21"/>
              </w:rPr>
              <w:t xml:space="preserve"> 废气无组织检测结果</w:t>
            </w:r>
            <w:r>
              <w:rPr>
                <w:rFonts w:hint="eastAsia" w:eastAsia="黑体"/>
                <w:color w:val="auto"/>
                <w:sz w:val="24"/>
                <w:szCs w:val="21"/>
                <w:lang w:eastAsia="zh-CN"/>
              </w:rPr>
              <w:t>（</w:t>
            </w:r>
            <w:r>
              <w:rPr>
                <w:rFonts w:hint="eastAsia" w:eastAsia="黑体"/>
                <w:color w:val="auto"/>
                <w:sz w:val="24"/>
                <w:szCs w:val="21"/>
                <w:lang w:val="en-US" w:eastAsia="zh-CN"/>
              </w:rPr>
              <w:t>2）</w:t>
            </w:r>
          </w:p>
          <w:tbl>
            <w:tblPr>
              <w:tblStyle w:val="18"/>
              <w:tblW w:w="5021"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694"/>
              <w:gridCol w:w="1672"/>
              <w:gridCol w:w="1337"/>
              <w:gridCol w:w="689"/>
              <w:gridCol w:w="706"/>
              <w:gridCol w:w="681"/>
              <w:gridCol w:w="681"/>
              <w:gridCol w:w="685"/>
            </w:tblGrid>
            <w:tr w14:paraId="1E99F6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pct"/>
                  <w:vMerge w:val="restart"/>
                  <w:tcBorders>
                    <w:tl2br w:val="nil"/>
                    <w:tr2bl w:val="nil"/>
                  </w:tcBorders>
                  <w:noWrap w:val="0"/>
                  <w:vAlign w:val="center"/>
                </w:tcPr>
                <w:p w14:paraId="3F765FB2">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采样日期</w:t>
                  </w:r>
                </w:p>
              </w:tc>
              <w:tc>
                <w:tcPr>
                  <w:tcW w:w="419" w:type="pct"/>
                  <w:vMerge w:val="restart"/>
                  <w:tcBorders>
                    <w:tl2br w:val="nil"/>
                    <w:tr2bl w:val="nil"/>
                  </w:tcBorders>
                  <w:noWrap w:val="0"/>
                  <w:vAlign w:val="center"/>
                </w:tcPr>
                <w:p w14:paraId="0FB272EE">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频次</w:t>
                  </w:r>
                </w:p>
              </w:tc>
              <w:tc>
                <w:tcPr>
                  <w:tcW w:w="1005" w:type="pct"/>
                  <w:vMerge w:val="restart"/>
                  <w:tcBorders>
                    <w:tl2br w:val="nil"/>
                    <w:tr2bl w:val="nil"/>
                  </w:tcBorders>
                  <w:noWrap w:val="0"/>
                  <w:vAlign w:val="center"/>
                </w:tcPr>
                <w:p w14:paraId="4269552A">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采样点位</w:t>
                  </w:r>
                </w:p>
              </w:tc>
              <w:tc>
                <w:tcPr>
                  <w:tcW w:w="804" w:type="pct"/>
                  <w:vMerge w:val="restart"/>
                  <w:tcBorders>
                    <w:tl2br w:val="nil"/>
                    <w:tr2bl w:val="nil"/>
                  </w:tcBorders>
                  <w:noWrap w:val="0"/>
                  <w:vAlign w:val="center"/>
                </w:tcPr>
                <w:p w14:paraId="355DA270">
                  <w:pPr>
                    <w:pStyle w:val="49"/>
                    <w:keepLines w:val="0"/>
                    <w:pageBreakBefore w:val="0"/>
                    <w:kinsoku/>
                    <w:wordWrap/>
                    <w:overflowPunct/>
                    <w:topLinePunct w:val="0"/>
                    <w:autoSpaceDE/>
                    <w:autoSpaceDN/>
                    <w:bidi w:val="0"/>
                    <w:spacing w:after="0" w:line="240" w:lineRule="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非甲烷总烃</w:t>
                  </w:r>
                  <w:r>
                    <w:rPr>
                      <w:rFonts w:hint="default" w:ascii="Times New Roman" w:hAnsi="Times New Roman" w:eastAsia="宋体" w:cs="Times New Roman"/>
                      <w:b/>
                      <w:bCs/>
                      <w:color w:val="auto"/>
                      <w:sz w:val="21"/>
                      <w:szCs w:val="21"/>
                      <w:highlight w:val="none"/>
                      <w:lang w:val="en-US" w:eastAsia="zh-CN"/>
                    </w:rPr>
                    <w:t>(mg/m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2057" w:type="pct"/>
                  <w:gridSpan w:val="5"/>
                  <w:tcBorders>
                    <w:tl2br w:val="nil"/>
                    <w:tr2bl w:val="nil"/>
                  </w:tcBorders>
                  <w:noWrap w:val="0"/>
                  <w:vAlign w:val="center"/>
                </w:tcPr>
                <w:p w14:paraId="5A924D41">
                  <w:pPr>
                    <w:pStyle w:val="49"/>
                    <w:keepLines w:val="0"/>
                    <w:pageBreakBefore w:val="0"/>
                    <w:kinsoku/>
                    <w:wordWrap/>
                    <w:overflowPunct/>
                    <w:topLinePunct w:val="0"/>
                    <w:autoSpaceDE/>
                    <w:autoSpaceDN/>
                    <w:bidi w:val="0"/>
                    <w:spacing w:after="0" w:line="240" w:lineRule="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气象参数</w:t>
                  </w:r>
                </w:p>
              </w:tc>
            </w:tr>
            <w:tr w14:paraId="029810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pct"/>
                  <w:vMerge w:val="continue"/>
                  <w:tcBorders>
                    <w:tl2br w:val="nil"/>
                    <w:tr2bl w:val="nil"/>
                  </w:tcBorders>
                  <w:noWrap w:val="0"/>
                  <w:vAlign w:val="center"/>
                </w:tcPr>
                <w:p w14:paraId="011DF147">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auto"/>
                      <w:sz w:val="21"/>
                      <w:szCs w:val="21"/>
                      <w:lang w:val="en-US" w:eastAsia="zh-CN"/>
                    </w:rPr>
                  </w:pPr>
                </w:p>
              </w:tc>
              <w:tc>
                <w:tcPr>
                  <w:tcW w:w="419" w:type="pct"/>
                  <w:vMerge w:val="continue"/>
                  <w:tcBorders>
                    <w:tl2br w:val="nil"/>
                    <w:tr2bl w:val="nil"/>
                  </w:tcBorders>
                  <w:noWrap w:val="0"/>
                  <w:vAlign w:val="center"/>
                </w:tcPr>
                <w:p w14:paraId="7EEDA5B6">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auto"/>
                      <w:sz w:val="21"/>
                      <w:szCs w:val="21"/>
                      <w:highlight w:val="none"/>
                      <w:lang w:val="en-US" w:eastAsia="zh-CN"/>
                    </w:rPr>
                  </w:pPr>
                </w:p>
              </w:tc>
              <w:tc>
                <w:tcPr>
                  <w:tcW w:w="1005" w:type="pct"/>
                  <w:vMerge w:val="continue"/>
                  <w:tcBorders>
                    <w:tl2br w:val="nil"/>
                    <w:tr2bl w:val="nil"/>
                  </w:tcBorders>
                  <w:noWrap w:val="0"/>
                  <w:vAlign w:val="center"/>
                </w:tcPr>
                <w:p w14:paraId="594D3B0C">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auto"/>
                      <w:sz w:val="21"/>
                      <w:szCs w:val="21"/>
                      <w:lang w:val="en-US" w:eastAsia="zh-CN"/>
                    </w:rPr>
                  </w:pPr>
                </w:p>
              </w:tc>
              <w:tc>
                <w:tcPr>
                  <w:tcW w:w="804" w:type="pct"/>
                  <w:vMerge w:val="continue"/>
                  <w:tcBorders>
                    <w:tl2br w:val="nil"/>
                    <w:tr2bl w:val="nil"/>
                  </w:tcBorders>
                  <w:noWrap w:val="0"/>
                  <w:vAlign w:val="center"/>
                </w:tcPr>
                <w:p w14:paraId="1BEC0798">
                  <w:pPr>
                    <w:pStyle w:val="49"/>
                    <w:keepLines w:val="0"/>
                    <w:pageBreakBefore w:val="0"/>
                    <w:kinsoku/>
                    <w:wordWrap/>
                    <w:overflowPunct/>
                    <w:topLinePunct w:val="0"/>
                    <w:autoSpaceDE/>
                    <w:autoSpaceDN/>
                    <w:bidi w:val="0"/>
                    <w:spacing w:after="0" w:line="240" w:lineRule="auto"/>
                    <w:rPr>
                      <w:rFonts w:hint="default" w:ascii="Times New Roman" w:hAnsi="Times New Roman" w:eastAsia="宋体" w:cs="Times New Roman"/>
                      <w:b/>
                      <w:bCs/>
                      <w:color w:val="auto"/>
                      <w:sz w:val="21"/>
                      <w:szCs w:val="21"/>
                      <w:lang w:val="en-US" w:eastAsia="zh-CN"/>
                    </w:rPr>
                  </w:pPr>
                </w:p>
              </w:tc>
              <w:tc>
                <w:tcPr>
                  <w:tcW w:w="411" w:type="pct"/>
                  <w:tcBorders>
                    <w:tl2br w:val="nil"/>
                    <w:tr2bl w:val="nil"/>
                  </w:tcBorders>
                  <w:noWrap w:val="0"/>
                  <w:vAlign w:val="center"/>
                </w:tcPr>
                <w:p w14:paraId="6A702D4B">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气温</w:t>
                  </w:r>
                </w:p>
                <w:p w14:paraId="7162C252">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w:t>
                  </w:r>
                </w:p>
              </w:tc>
              <w:tc>
                <w:tcPr>
                  <w:tcW w:w="411" w:type="pct"/>
                  <w:tcBorders>
                    <w:tl2br w:val="nil"/>
                    <w:tr2bl w:val="nil"/>
                  </w:tcBorders>
                  <w:noWrap w:val="0"/>
                  <w:vAlign w:val="center"/>
                </w:tcPr>
                <w:p w14:paraId="3AD4D5CF">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气压</w:t>
                  </w:r>
                </w:p>
                <w:p w14:paraId="7BC6FCAB">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(kPa)</w:t>
                  </w:r>
                </w:p>
              </w:tc>
              <w:tc>
                <w:tcPr>
                  <w:tcW w:w="411" w:type="pct"/>
                  <w:tcBorders>
                    <w:tl2br w:val="nil"/>
                    <w:tr2bl w:val="nil"/>
                  </w:tcBorders>
                  <w:noWrap w:val="0"/>
                  <w:vAlign w:val="center"/>
                </w:tcPr>
                <w:p w14:paraId="56C7CB55">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风速</w:t>
                  </w:r>
                </w:p>
                <w:p w14:paraId="17B19703">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(m/s)</w:t>
                  </w:r>
                </w:p>
              </w:tc>
              <w:tc>
                <w:tcPr>
                  <w:tcW w:w="411" w:type="pct"/>
                  <w:tcBorders>
                    <w:tl2br w:val="nil"/>
                    <w:tr2bl w:val="nil"/>
                  </w:tcBorders>
                  <w:noWrap w:val="0"/>
                  <w:vAlign w:val="center"/>
                </w:tcPr>
                <w:p w14:paraId="1BDE83F4">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风向</w:t>
                  </w:r>
                </w:p>
              </w:tc>
              <w:tc>
                <w:tcPr>
                  <w:tcW w:w="413" w:type="pct"/>
                  <w:tcBorders>
                    <w:tl2br w:val="nil"/>
                    <w:tr2bl w:val="nil"/>
                  </w:tcBorders>
                  <w:noWrap w:val="0"/>
                  <w:vAlign w:val="center"/>
                </w:tcPr>
                <w:p w14:paraId="44EA484F">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天气</w:t>
                  </w:r>
                </w:p>
              </w:tc>
            </w:tr>
            <w:tr w14:paraId="3E217E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pct"/>
                  <w:vMerge w:val="restart"/>
                  <w:tcBorders>
                    <w:tl2br w:val="nil"/>
                    <w:tr2bl w:val="nil"/>
                  </w:tcBorders>
                  <w:noWrap w:val="0"/>
                  <w:vAlign w:val="center"/>
                </w:tcPr>
                <w:p w14:paraId="612A383C">
                  <w:pPr>
                    <w:pStyle w:val="49"/>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0"/>
                      <w:sz w:val="21"/>
                      <w:szCs w:val="21"/>
                      <w:lang w:val="en-US" w:eastAsia="zh-CN"/>
                    </w:rPr>
                    <w:t>2026-05-22</w:t>
                  </w:r>
                </w:p>
              </w:tc>
              <w:tc>
                <w:tcPr>
                  <w:tcW w:w="419" w:type="pct"/>
                  <w:vMerge w:val="restart"/>
                  <w:tcBorders>
                    <w:tl2br w:val="nil"/>
                    <w:tr2bl w:val="nil"/>
                  </w:tcBorders>
                  <w:noWrap w:val="0"/>
                  <w:vAlign w:val="center"/>
                </w:tcPr>
                <w:p w14:paraId="3DF75347">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005" w:type="pct"/>
                  <w:tcBorders>
                    <w:tl2br w:val="nil"/>
                    <w:tr2bl w:val="nil"/>
                  </w:tcBorders>
                  <w:noWrap w:val="0"/>
                  <w:vAlign w:val="center"/>
                </w:tcPr>
                <w:p w14:paraId="7B0B0603">
                  <w:pPr>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厂区内监控点处1h平均浓度</w:t>
                  </w:r>
                </w:p>
              </w:tc>
              <w:tc>
                <w:tcPr>
                  <w:tcW w:w="804" w:type="pct"/>
                  <w:tcBorders>
                    <w:tl2br w:val="nil"/>
                    <w:tr2bl w:val="nil"/>
                  </w:tcBorders>
                  <w:noWrap w:val="0"/>
                  <w:vAlign w:val="center"/>
                </w:tcPr>
                <w:p w14:paraId="6DA938BD">
                  <w:pPr>
                    <w:pStyle w:val="49"/>
                    <w:keepLines w:val="0"/>
                    <w:pageBreakBefore w:val="0"/>
                    <w:kinsoku/>
                    <w:wordWrap/>
                    <w:overflowPunct/>
                    <w:topLinePunct w:val="0"/>
                    <w:autoSpaceDE/>
                    <w:autoSpaceDN/>
                    <w:bidi w:val="0"/>
                    <w:spacing w:after="0"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1.11</w:t>
                  </w:r>
                </w:p>
              </w:tc>
              <w:tc>
                <w:tcPr>
                  <w:tcW w:w="411" w:type="pct"/>
                  <w:vMerge w:val="restart"/>
                  <w:tcBorders>
                    <w:tl2br w:val="nil"/>
                    <w:tr2bl w:val="nil"/>
                  </w:tcBorders>
                  <w:noWrap w:val="0"/>
                  <w:vAlign w:val="center"/>
                </w:tcPr>
                <w:p w14:paraId="551F361E">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24.3</w:t>
                  </w:r>
                </w:p>
              </w:tc>
              <w:tc>
                <w:tcPr>
                  <w:tcW w:w="411" w:type="pct"/>
                  <w:vMerge w:val="restart"/>
                  <w:tcBorders>
                    <w:tl2br w:val="nil"/>
                    <w:tr2bl w:val="nil"/>
                  </w:tcBorders>
                  <w:noWrap w:val="0"/>
                  <w:vAlign w:val="center"/>
                </w:tcPr>
                <w:p w14:paraId="4616F32A">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99.6</w:t>
                  </w:r>
                </w:p>
              </w:tc>
              <w:tc>
                <w:tcPr>
                  <w:tcW w:w="411" w:type="pct"/>
                  <w:vMerge w:val="restart"/>
                  <w:tcBorders>
                    <w:tl2br w:val="nil"/>
                    <w:tr2bl w:val="nil"/>
                  </w:tcBorders>
                  <w:noWrap w:val="0"/>
                  <w:vAlign w:val="center"/>
                </w:tcPr>
                <w:p w14:paraId="08AF2486">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720" w:type="dxa"/>
                  <w:vMerge w:val="restart"/>
                  <w:tcBorders>
                    <w:tl2br w:val="nil"/>
                    <w:tr2bl w:val="nil"/>
                  </w:tcBorders>
                  <w:noWrap w:val="0"/>
                  <w:vAlign w:val="center"/>
                </w:tcPr>
                <w:p w14:paraId="15CA3693">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w:t>
                  </w:r>
                </w:p>
              </w:tc>
              <w:tc>
                <w:tcPr>
                  <w:tcW w:w="724" w:type="dxa"/>
                  <w:vMerge w:val="restart"/>
                  <w:tcBorders>
                    <w:tl2br w:val="nil"/>
                    <w:tr2bl w:val="nil"/>
                  </w:tcBorders>
                  <w:noWrap w:val="0"/>
                  <w:vAlign w:val="center"/>
                </w:tcPr>
                <w:p w14:paraId="54E26D27">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阴</w:t>
                  </w:r>
                </w:p>
              </w:tc>
            </w:tr>
            <w:tr w14:paraId="71DD9A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pct"/>
                  <w:vMerge w:val="continue"/>
                  <w:tcBorders>
                    <w:tl2br w:val="nil"/>
                    <w:tr2bl w:val="nil"/>
                  </w:tcBorders>
                  <w:noWrap w:val="0"/>
                  <w:vAlign w:val="center"/>
                </w:tcPr>
                <w:p w14:paraId="3246D2E3">
                  <w:pPr>
                    <w:pStyle w:val="49"/>
                    <w:keepNext w:val="0"/>
                    <w:keepLines w:val="0"/>
                    <w:pageBreakBefore w:val="0"/>
                    <w:kinsoku/>
                    <w:wordWrap/>
                    <w:overflowPunct/>
                    <w:topLinePunct w:val="0"/>
                    <w:autoSpaceDE/>
                    <w:autoSpaceDN/>
                    <w:bidi w:val="0"/>
                    <w:spacing w:after="0" w:line="240" w:lineRule="auto"/>
                    <w:rPr>
                      <w:rFonts w:hint="default" w:ascii="Times New Roman" w:hAnsi="Times New Roman" w:cs="Times New Roman"/>
                      <w:color w:val="auto"/>
                      <w:spacing w:val="-11"/>
                      <w:sz w:val="21"/>
                      <w:szCs w:val="21"/>
                      <w:lang w:val="en-US" w:eastAsia="zh-CN"/>
                    </w:rPr>
                  </w:pPr>
                </w:p>
              </w:tc>
              <w:tc>
                <w:tcPr>
                  <w:tcW w:w="419" w:type="pct"/>
                  <w:vMerge w:val="continue"/>
                  <w:tcBorders>
                    <w:tl2br w:val="nil"/>
                    <w:tr2bl w:val="nil"/>
                  </w:tcBorders>
                  <w:noWrap w:val="0"/>
                  <w:vAlign w:val="center"/>
                </w:tcPr>
                <w:p w14:paraId="532A6EBA">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005" w:type="pct"/>
                  <w:tcBorders>
                    <w:tl2br w:val="nil"/>
                    <w:tr2bl w:val="nil"/>
                  </w:tcBorders>
                  <w:noWrap w:val="0"/>
                  <w:vAlign w:val="center"/>
                </w:tcPr>
                <w:p w14:paraId="2D384F83">
                  <w:pPr>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val="en-US" w:eastAsia="zh-CN"/>
                    </w:rPr>
                    <w:t>监控点处任意一次平均浓度</w:t>
                  </w:r>
                </w:p>
              </w:tc>
              <w:tc>
                <w:tcPr>
                  <w:tcW w:w="804" w:type="pct"/>
                  <w:tcBorders>
                    <w:tl2br w:val="nil"/>
                    <w:tr2bl w:val="nil"/>
                  </w:tcBorders>
                  <w:noWrap w:val="0"/>
                  <w:vAlign w:val="center"/>
                </w:tcPr>
                <w:p w14:paraId="28BE2E35">
                  <w:pPr>
                    <w:pStyle w:val="49"/>
                    <w:keepLines w:val="0"/>
                    <w:pageBreakBefore w:val="0"/>
                    <w:kinsoku/>
                    <w:wordWrap/>
                    <w:overflowPunct/>
                    <w:topLinePunct w:val="0"/>
                    <w:autoSpaceDE/>
                    <w:autoSpaceDN/>
                    <w:bidi w:val="0"/>
                    <w:spacing w:after="0"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1.20</w:t>
                  </w:r>
                </w:p>
              </w:tc>
              <w:tc>
                <w:tcPr>
                  <w:tcW w:w="411" w:type="pct"/>
                  <w:vMerge w:val="continue"/>
                  <w:tcBorders>
                    <w:tl2br w:val="nil"/>
                    <w:tr2bl w:val="nil"/>
                  </w:tcBorders>
                  <w:noWrap w:val="0"/>
                  <w:vAlign w:val="center"/>
                </w:tcPr>
                <w:p w14:paraId="01ACD661">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1" w:type="pct"/>
                  <w:vMerge w:val="continue"/>
                  <w:tcBorders>
                    <w:tl2br w:val="nil"/>
                    <w:tr2bl w:val="nil"/>
                  </w:tcBorders>
                  <w:noWrap w:val="0"/>
                  <w:vAlign w:val="center"/>
                </w:tcPr>
                <w:p w14:paraId="48E0F230">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1" w:type="pct"/>
                  <w:vMerge w:val="continue"/>
                  <w:tcBorders>
                    <w:tl2br w:val="nil"/>
                    <w:tr2bl w:val="nil"/>
                  </w:tcBorders>
                  <w:noWrap w:val="0"/>
                  <w:vAlign w:val="center"/>
                </w:tcPr>
                <w:p w14:paraId="43EA9BA0">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1" w:type="pct"/>
                  <w:vMerge w:val="continue"/>
                  <w:tcBorders>
                    <w:tl2br w:val="nil"/>
                    <w:tr2bl w:val="nil"/>
                  </w:tcBorders>
                  <w:noWrap w:val="0"/>
                  <w:vAlign w:val="center"/>
                </w:tcPr>
                <w:p w14:paraId="11A5267F">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3" w:type="pct"/>
                  <w:vMerge w:val="continue"/>
                  <w:tcBorders>
                    <w:tl2br w:val="nil"/>
                    <w:tr2bl w:val="nil"/>
                  </w:tcBorders>
                  <w:noWrap w:val="0"/>
                  <w:vAlign w:val="center"/>
                </w:tcPr>
                <w:p w14:paraId="238DB364">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r>
            <w:tr w14:paraId="24E6BF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pct"/>
                  <w:vMerge w:val="continue"/>
                  <w:tcBorders>
                    <w:tl2br w:val="nil"/>
                    <w:tr2bl w:val="nil"/>
                  </w:tcBorders>
                  <w:noWrap w:val="0"/>
                  <w:vAlign w:val="center"/>
                </w:tcPr>
                <w:p w14:paraId="6928BCBB">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9" w:type="pct"/>
                  <w:vMerge w:val="restart"/>
                  <w:tcBorders>
                    <w:tl2br w:val="nil"/>
                    <w:tr2bl w:val="nil"/>
                  </w:tcBorders>
                  <w:noWrap w:val="0"/>
                  <w:vAlign w:val="center"/>
                </w:tcPr>
                <w:p w14:paraId="3223BF65">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005" w:type="pct"/>
                  <w:tcBorders>
                    <w:tl2br w:val="nil"/>
                    <w:tr2bl w:val="nil"/>
                  </w:tcBorders>
                  <w:noWrap w:val="0"/>
                  <w:vAlign w:val="center"/>
                </w:tcPr>
                <w:p w14:paraId="140EE462">
                  <w:pPr>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厂区内监控点处1h平均浓度</w:t>
                  </w:r>
                </w:p>
              </w:tc>
              <w:tc>
                <w:tcPr>
                  <w:tcW w:w="804" w:type="pct"/>
                  <w:tcBorders>
                    <w:tl2br w:val="nil"/>
                    <w:tr2bl w:val="nil"/>
                  </w:tcBorders>
                  <w:noWrap w:val="0"/>
                  <w:vAlign w:val="center"/>
                </w:tcPr>
                <w:p w14:paraId="033324BF">
                  <w:pPr>
                    <w:pStyle w:val="49"/>
                    <w:keepLines w:val="0"/>
                    <w:pageBreakBefore w:val="0"/>
                    <w:kinsoku/>
                    <w:wordWrap/>
                    <w:overflowPunct/>
                    <w:topLinePunct w:val="0"/>
                    <w:autoSpaceDE/>
                    <w:autoSpaceDN/>
                    <w:bidi w:val="0"/>
                    <w:spacing w:after="0"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1.10</w:t>
                  </w:r>
                </w:p>
              </w:tc>
              <w:tc>
                <w:tcPr>
                  <w:tcW w:w="411" w:type="pct"/>
                  <w:vMerge w:val="restart"/>
                  <w:tcBorders>
                    <w:tl2br w:val="nil"/>
                    <w:tr2bl w:val="nil"/>
                  </w:tcBorders>
                  <w:noWrap w:val="0"/>
                  <w:vAlign w:val="center"/>
                </w:tcPr>
                <w:p w14:paraId="18466734">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29.5</w:t>
                  </w:r>
                </w:p>
              </w:tc>
              <w:tc>
                <w:tcPr>
                  <w:tcW w:w="411" w:type="pct"/>
                  <w:vMerge w:val="restart"/>
                  <w:tcBorders>
                    <w:tl2br w:val="nil"/>
                    <w:tr2bl w:val="nil"/>
                  </w:tcBorders>
                  <w:noWrap w:val="0"/>
                  <w:vAlign w:val="center"/>
                </w:tcPr>
                <w:p w14:paraId="4645CCBE">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99.5</w:t>
                  </w:r>
                </w:p>
              </w:tc>
              <w:tc>
                <w:tcPr>
                  <w:tcW w:w="411" w:type="pct"/>
                  <w:vMerge w:val="restart"/>
                  <w:tcBorders>
                    <w:tl2br w:val="nil"/>
                    <w:tr2bl w:val="nil"/>
                  </w:tcBorders>
                  <w:noWrap w:val="0"/>
                  <w:vAlign w:val="center"/>
                </w:tcPr>
                <w:p w14:paraId="7219B4A8">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p>
              </w:tc>
              <w:tc>
                <w:tcPr>
                  <w:tcW w:w="720" w:type="dxa"/>
                  <w:vMerge w:val="restart"/>
                  <w:tcBorders>
                    <w:tl2br w:val="nil"/>
                    <w:tr2bl w:val="nil"/>
                  </w:tcBorders>
                  <w:noWrap w:val="0"/>
                  <w:vAlign w:val="center"/>
                </w:tcPr>
                <w:p w14:paraId="53FC8930">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w:t>
                  </w:r>
                </w:p>
              </w:tc>
              <w:tc>
                <w:tcPr>
                  <w:tcW w:w="724" w:type="dxa"/>
                  <w:vMerge w:val="restart"/>
                  <w:tcBorders>
                    <w:tl2br w:val="nil"/>
                    <w:tr2bl w:val="nil"/>
                  </w:tcBorders>
                  <w:noWrap w:val="0"/>
                  <w:vAlign w:val="center"/>
                </w:tcPr>
                <w:p w14:paraId="0E9B2DF0">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阴</w:t>
                  </w:r>
                </w:p>
              </w:tc>
            </w:tr>
            <w:tr w14:paraId="21AE13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pct"/>
                  <w:vMerge w:val="continue"/>
                  <w:tcBorders>
                    <w:tl2br w:val="nil"/>
                    <w:tr2bl w:val="nil"/>
                  </w:tcBorders>
                  <w:noWrap w:val="0"/>
                  <w:vAlign w:val="center"/>
                </w:tcPr>
                <w:p w14:paraId="023A3E57">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9" w:type="pct"/>
                  <w:vMerge w:val="continue"/>
                  <w:tcBorders>
                    <w:tl2br w:val="nil"/>
                    <w:tr2bl w:val="nil"/>
                  </w:tcBorders>
                  <w:noWrap w:val="0"/>
                  <w:vAlign w:val="center"/>
                </w:tcPr>
                <w:p w14:paraId="1C4DF765">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005" w:type="pct"/>
                  <w:tcBorders>
                    <w:tl2br w:val="nil"/>
                    <w:tr2bl w:val="nil"/>
                  </w:tcBorders>
                  <w:noWrap w:val="0"/>
                  <w:vAlign w:val="center"/>
                </w:tcPr>
                <w:p w14:paraId="6F85FC4C">
                  <w:pPr>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val="en-US" w:eastAsia="zh-CN"/>
                    </w:rPr>
                    <w:t>监控点处任意一次平均浓度</w:t>
                  </w:r>
                </w:p>
              </w:tc>
              <w:tc>
                <w:tcPr>
                  <w:tcW w:w="804" w:type="pct"/>
                  <w:tcBorders>
                    <w:tl2br w:val="nil"/>
                    <w:tr2bl w:val="nil"/>
                  </w:tcBorders>
                  <w:noWrap w:val="0"/>
                  <w:vAlign w:val="center"/>
                </w:tcPr>
                <w:p w14:paraId="1092207B">
                  <w:pPr>
                    <w:pStyle w:val="49"/>
                    <w:keepLines w:val="0"/>
                    <w:pageBreakBefore w:val="0"/>
                    <w:kinsoku/>
                    <w:wordWrap/>
                    <w:overflowPunct/>
                    <w:topLinePunct w:val="0"/>
                    <w:autoSpaceDE/>
                    <w:autoSpaceDN/>
                    <w:bidi w:val="0"/>
                    <w:spacing w:after="0"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1.28</w:t>
                  </w:r>
                </w:p>
              </w:tc>
              <w:tc>
                <w:tcPr>
                  <w:tcW w:w="411" w:type="pct"/>
                  <w:vMerge w:val="continue"/>
                  <w:tcBorders>
                    <w:tl2br w:val="nil"/>
                    <w:tr2bl w:val="nil"/>
                  </w:tcBorders>
                  <w:noWrap w:val="0"/>
                  <w:vAlign w:val="center"/>
                </w:tcPr>
                <w:p w14:paraId="614F28D1">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1" w:type="pct"/>
                  <w:vMerge w:val="continue"/>
                  <w:tcBorders>
                    <w:tl2br w:val="nil"/>
                    <w:tr2bl w:val="nil"/>
                  </w:tcBorders>
                  <w:noWrap w:val="0"/>
                  <w:vAlign w:val="center"/>
                </w:tcPr>
                <w:p w14:paraId="1963F867">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1" w:type="pct"/>
                  <w:vMerge w:val="continue"/>
                  <w:tcBorders>
                    <w:tl2br w:val="nil"/>
                    <w:tr2bl w:val="nil"/>
                  </w:tcBorders>
                  <w:noWrap w:val="0"/>
                  <w:vAlign w:val="center"/>
                </w:tcPr>
                <w:p w14:paraId="0D9156F4">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1" w:type="pct"/>
                  <w:vMerge w:val="continue"/>
                  <w:tcBorders>
                    <w:tl2br w:val="nil"/>
                    <w:tr2bl w:val="nil"/>
                  </w:tcBorders>
                  <w:noWrap w:val="0"/>
                  <w:vAlign w:val="center"/>
                </w:tcPr>
                <w:p w14:paraId="022665EC">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3" w:type="pct"/>
                  <w:vMerge w:val="continue"/>
                  <w:tcBorders>
                    <w:tl2br w:val="nil"/>
                    <w:tr2bl w:val="nil"/>
                  </w:tcBorders>
                  <w:noWrap w:val="0"/>
                  <w:vAlign w:val="center"/>
                </w:tcPr>
                <w:p w14:paraId="4AAB81C9">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r>
            <w:tr w14:paraId="76261C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pct"/>
                  <w:vMerge w:val="continue"/>
                  <w:tcBorders>
                    <w:tl2br w:val="nil"/>
                    <w:tr2bl w:val="nil"/>
                  </w:tcBorders>
                  <w:noWrap w:val="0"/>
                  <w:vAlign w:val="center"/>
                </w:tcPr>
                <w:p w14:paraId="1130211F">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9" w:type="pct"/>
                  <w:vMerge w:val="restart"/>
                  <w:tcBorders>
                    <w:tl2br w:val="nil"/>
                    <w:tr2bl w:val="nil"/>
                  </w:tcBorders>
                  <w:noWrap w:val="0"/>
                  <w:vAlign w:val="center"/>
                </w:tcPr>
                <w:p w14:paraId="734C24D3">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005" w:type="pct"/>
                  <w:tcBorders>
                    <w:tl2br w:val="nil"/>
                    <w:tr2bl w:val="nil"/>
                  </w:tcBorders>
                  <w:noWrap w:val="0"/>
                  <w:vAlign w:val="center"/>
                </w:tcPr>
                <w:p w14:paraId="35ADCA3F">
                  <w:pPr>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厂区内监控点处1h平均浓度</w:t>
                  </w:r>
                </w:p>
              </w:tc>
              <w:tc>
                <w:tcPr>
                  <w:tcW w:w="804" w:type="pct"/>
                  <w:tcBorders>
                    <w:tl2br w:val="nil"/>
                    <w:tr2bl w:val="nil"/>
                  </w:tcBorders>
                  <w:noWrap w:val="0"/>
                  <w:vAlign w:val="center"/>
                </w:tcPr>
                <w:p w14:paraId="34A0F321">
                  <w:pPr>
                    <w:pStyle w:val="49"/>
                    <w:keepLines w:val="0"/>
                    <w:pageBreakBefore w:val="0"/>
                    <w:kinsoku/>
                    <w:wordWrap/>
                    <w:overflowPunct/>
                    <w:topLinePunct w:val="0"/>
                    <w:autoSpaceDE/>
                    <w:autoSpaceDN/>
                    <w:bidi w:val="0"/>
                    <w:spacing w:after="0"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1.13</w:t>
                  </w:r>
                </w:p>
              </w:tc>
              <w:tc>
                <w:tcPr>
                  <w:tcW w:w="411" w:type="pct"/>
                  <w:vMerge w:val="restart"/>
                  <w:tcBorders>
                    <w:tl2br w:val="nil"/>
                    <w:tr2bl w:val="nil"/>
                  </w:tcBorders>
                  <w:noWrap w:val="0"/>
                  <w:vAlign w:val="center"/>
                </w:tcPr>
                <w:p w14:paraId="01280BA7">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31.58</w:t>
                  </w:r>
                </w:p>
              </w:tc>
              <w:tc>
                <w:tcPr>
                  <w:tcW w:w="411" w:type="pct"/>
                  <w:vMerge w:val="restart"/>
                  <w:tcBorders>
                    <w:tl2br w:val="nil"/>
                    <w:tr2bl w:val="nil"/>
                  </w:tcBorders>
                  <w:noWrap w:val="0"/>
                  <w:vAlign w:val="center"/>
                </w:tcPr>
                <w:p w14:paraId="6483E5D7">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99.4</w:t>
                  </w:r>
                </w:p>
              </w:tc>
              <w:tc>
                <w:tcPr>
                  <w:tcW w:w="411" w:type="pct"/>
                  <w:vMerge w:val="restart"/>
                  <w:tcBorders>
                    <w:tl2br w:val="nil"/>
                    <w:tr2bl w:val="nil"/>
                  </w:tcBorders>
                  <w:noWrap w:val="0"/>
                  <w:vAlign w:val="center"/>
                </w:tcPr>
                <w:p w14:paraId="12521216">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w:t>
                  </w:r>
                </w:p>
              </w:tc>
              <w:tc>
                <w:tcPr>
                  <w:tcW w:w="720" w:type="dxa"/>
                  <w:vMerge w:val="restart"/>
                  <w:tcBorders>
                    <w:tl2br w:val="nil"/>
                    <w:tr2bl w:val="nil"/>
                  </w:tcBorders>
                  <w:noWrap w:val="0"/>
                  <w:vAlign w:val="center"/>
                </w:tcPr>
                <w:p w14:paraId="279412CE">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东</w:t>
                  </w:r>
                </w:p>
              </w:tc>
              <w:tc>
                <w:tcPr>
                  <w:tcW w:w="724" w:type="dxa"/>
                  <w:vMerge w:val="restart"/>
                  <w:tcBorders>
                    <w:tl2br w:val="nil"/>
                    <w:tr2bl w:val="nil"/>
                  </w:tcBorders>
                  <w:noWrap w:val="0"/>
                  <w:vAlign w:val="center"/>
                </w:tcPr>
                <w:p w14:paraId="43FC2CAC">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阴</w:t>
                  </w:r>
                </w:p>
              </w:tc>
            </w:tr>
            <w:tr w14:paraId="425C4E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pct"/>
                  <w:vMerge w:val="continue"/>
                  <w:tcBorders>
                    <w:tl2br w:val="nil"/>
                    <w:tr2bl w:val="nil"/>
                  </w:tcBorders>
                  <w:noWrap w:val="0"/>
                  <w:vAlign w:val="center"/>
                </w:tcPr>
                <w:p w14:paraId="73347CED">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9" w:type="pct"/>
                  <w:vMerge w:val="continue"/>
                  <w:tcBorders>
                    <w:tl2br w:val="nil"/>
                    <w:tr2bl w:val="nil"/>
                  </w:tcBorders>
                  <w:noWrap w:val="0"/>
                  <w:vAlign w:val="center"/>
                </w:tcPr>
                <w:p w14:paraId="37A56E88">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005" w:type="pct"/>
                  <w:tcBorders>
                    <w:tl2br w:val="nil"/>
                    <w:tr2bl w:val="nil"/>
                  </w:tcBorders>
                  <w:noWrap w:val="0"/>
                  <w:vAlign w:val="center"/>
                </w:tcPr>
                <w:p w14:paraId="576FC77F">
                  <w:pPr>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val="en-US" w:eastAsia="zh-CN"/>
                    </w:rPr>
                    <w:t>监控点处任意一次平均浓度</w:t>
                  </w:r>
                </w:p>
              </w:tc>
              <w:tc>
                <w:tcPr>
                  <w:tcW w:w="804" w:type="pct"/>
                  <w:tcBorders>
                    <w:tl2br w:val="nil"/>
                    <w:tr2bl w:val="nil"/>
                  </w:tcBorders>
                  <w:noWrap w:val="0"/>
                  <w:vAlign w:val="center"/>
                </w:tcPr>
                <w:p w14:paraId="048D68A3">
                  <w:pPr>
                    <w:pStyle w:val="49"/>
                    <w:keepLines w:val="0"/>
                    <w:pageBreakBefore w:val="0"/>
                    <w:kinsoku/>
                    <w:wordWrap/>
                    <w:overflowPunct/>
                    <w:topLinePunct w:val="0"/>
                    <w:autoSpaceDE/>
                    <w:autoSpaceDN/>
                    <w:bidi w:val="0"/>
                    <w:spacing w:after="0"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1.21</w:t>
                  </w:r>
                </w:p>
              </w:tc>
              <w:tc>
                <w:tcPr>
                  <w:tcW w:w="411" w:type="pct"/>
                  <w:vMerge w:val="continue"/>
                  <w:tcBorders>
                    <w:tl2br w:val="nil"/>
                    <w:tr2bl w:val="nil"/>
                  </w:tcBorders>
                  <w:noWrap w:val="0"/>
                  <w:vAlign w:val="center"/>
                </w:tcPr>
                <w:p w14:paraId="04127B51">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1" w:type="pct"/>
                  <w:vMerge w:val="continue"/>
                  <w:tcBorders>
                    <w:tl2br w:val="nil"/>
                    <w:tr2bl w:val="nil"/>
                  </w:tcBorders>
                  <w:noWrap w:val="0"/>
                  <w:vAlign w:val="center"/>
                </w:tcPr>
                <w:p w14:paraId="698C3DB9">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1" w:type="pct"/>
                  <w:vMerge w:val="continue"/>
                  <w:tcBorders>
                    <w:tl2br w:val="nil"/>
                    <w:tr2bl w:val="nil"/>
                  </w:tcBorders>
                  <w:noWrap w:val="0"/>
                  <w:vAlign w:val="center"/>
                </w:tcPr>
                <w:p w14:paraId="7E9FC33C">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1" w:type="pct"/>
                  <w:vMerge w:val="continue"/>
                  <w:tcBorders>
                    <w:tl2br w:val="nil"/>
                    <w:tr2bl w:val="nil"/>
                  </w:tcBorders>
                  <w:noWrap w:val="0"/>
                  <w:vAlign w:val="center"/>
                </w:tcPr>
                <w:p w14:paraId="569118F2">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3" w:type="pct"/>
                  <w:vMerge w:val="continue"/>
                  <w:tcBorders>
                    <w:tl2br w:val="nil"/>
                    <w:tr2bl w:val="nil"/>
                  </w:tcBorders>
                  <w:noWrap w:val="0"/>
                  <w:vAlign w:val="center"/>
                </w:tcPr>
                <w:p w14:paraId="00C2F52A">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r>
            <w:tr w14:paraId="357BB8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pct"/>
                  <w:vMerge w:val="restart"/>
                  <w:tcBorders>
                    <w:tl2br w:val="nil"/>
                    <w:tr2bl w:val="nil"/>
                  </w:tcBorders>
                  <w:noWrap w:val="0"/>
                  <w:vAlign w:val="center"/>
                </w:tcPr>
                <w:p w14:paraId="52122F86">
                  <w:pPr>
                    <w:pStyle w:val="49"/>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0"/>
                      <w:sz w:val="21"/>
                      <w:szCs w:val="21"/>
                      <w:lang w:val="en-US" w:eastAsia="zh-CN"/>
                    </w:rPr>
                    <w:t>2026-05-23</w:t>
                  </w:r>
                </w:p>
              </w:tc>
              <w:tc>
                <w:tcPr>
                  <w:tcW w:w="419" w:type="pct"/>
                  <w:vMerge w:val="restart"/>
                  <w:tcBorders>
                    <w:tl2br w:val="nil"/>
                    <w:tr2bl w:val="nil"/>
                  </w:tcBorders>
                  <w:noWrap w:val="0"/>
                  <w:vAlign w:val="center"/>
                </w:tcPr>
                <w:p w14:paraId="38E8FB01">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005" w:type="pct"/>
                  <w:tcBorders>
                    <w:tl2br w:val="nil"/>
                    <w:tr2bl w:val="nil"/>
                  </w:tcBorders>
                  <w:noWrap w:val="0"/>
                  <w:vAlign w:val="center"/>
                </w:tcPr>
                <w:p w14:paraId="6D28A84E">
                  <w:pPr>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厂区内监控点处1h平均浓度</w:t>
                  </w:r>
                </w:p>
              </w:tc>
              <w:tc>
                <w:tcPr>
                  <w:tcW w:w="804" w:type="pct"/>
                  <w:tcBorders>
                    <w:tl2br w:val="nil"/>
                    <w:tr2bl w:val="nil"/>
                  </w:tcBorders>
                  <w:noWrap w:val="0"/>
                  <w:vAlign w:val="center"/>
                </w:tcPr>
                <w:p w14:paraId="18DB523E">
                  <w:pPr>
                    <w:pStyle w:val="49"/>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1.16</w:t>
                  </w:r>
                </w:p>
              </w:tc>
              <w:tc>
                <w:tcPr>
                  <w:tcW w:w="411" w:type="pct"/>
                  <w:vMerge w:val="restart"/>
                  <w:tcBorders>
                    <w:tl2br w:val="nil"/>
                    <w:tr2bl w:val="nil"/>
                  </w:tcBorders>
                  <w:noWrap w:val="0"/>
                  <w:vAlign w:val="center"/>
                </w:tcPr>
                <w:p w14:paraId="6A9543A8">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25.9</w:t>
                  </w:r>
                </w:p>
              </w:tc>
              <w:tc>
                <w:tcPr>
                  <w:tcW w:w="411" w:type="pct"/>
                  <w:vMerge w:val="restart"/>
                  <w:tcBorders>
                    <w:tl2br w:val="nil"/>
                    <w:tr2bl w:val="nil"/>
                  </w:tcBorders>
                  <w:noWrap w:val="0"/>
                  <w:vAlign w:val="center"/>
                </w:tcPr>
                <w:p w14:paraId="41E05B60">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99.6</w:t>
                  </w:r>
                </w:p>
              </w:tc>
              <w:tc>
                <w:tcPr>
                  <w:tcW w:w="411" w:type="pct"/>
                  <w:vMerge w:val="restart"/>
                  <w:tcBorders>
                    <w:tl2br w:val="nil"/>
                    <w:tr2bl w:val="nil"/>
                  </w:tcBorders>
                  <w:noWrap w:val="0"/>
                  <w:vAlign w:val="center"/>
                </w:tcPr>
                <w:p w14:paraId="0FD703AB">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p>
              </w:tc>
              <w:tc>
                <w:tcPr>
                  <w:tcW w:w="720" w:type="dxa"/>
                  <w:vMerge w:val="restart"/>
                  <w:tcBorders>
                    <w:tl2br w:val="nil"/>
                    <w:tr2bl w:val="nil"/>
                  </w:tcBorders>
                  <w:noWrap w:val="0"/>
                  <w:vAlign w:val="center"/>
                </w:tcPr>
                <w:p w14:paraId="7A7FF117">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南</w:t>
                  </w:r>
                </w:p>
              </w:tc>
              <w:tc>
                <w:tcPr>
                  <w:tcW w:w="724" w:type="dxa"/>
                  <w:vMerge w:val="restart"/>
                  <w:tcBorders>
                    <w:tl2br w:val="nil"/>
                    <w:tr2bl w:val="nil"/>
                  </w:tcBorders>
                  <w:noWrap w:val="0"/>
                  <w:vAlign w:val="center"/>
                </w:tcPr>
                <w:p w14:paraId="49E18370">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晴</w:t>
                  </w:r>
                </w:p>
              </w:tc>
            </w:tr>
            <w:tr w14:paraId="0D20F2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pct"/>
                  <w:vMerge w:val="continue"/>
                  <w:tcBorders>
                    <w:tl2br w:val="nil"/>
                    <w:tr2bl w:val="nil"/>
                  </w:tcBorders>
                  <w:noWrap w:val="0"/>
                  <w:vAlign w:val="center"/>
                </w:tcPr>
                <w:p w14:paraId="416775AC">
                  <w:pPr>
                    <w:pStyle w:val="49"/>
                    <w:keepNext w:val="0"/>
                    <w:keepLines w:val="0"/>
                    <w:pageBreakBefore w:val="0"/>
                    <w:kinsoku/>
                    <w:wordWrap/>
                    <w:overflowPunct/>
                    <w:topLinePunct w:val="0"/>
                    <w:autoSpaceDE/>
                    <w:autoSpaceDN/>
                    <w:bidi w:val="0"/>
                    <w:spacing w:after="0" w:line="240" w:lineRule="auto"/>
                    <w:rPr>
                      <w:rFonts w:hint="default" w:ascii="Times New Roman" w:hAnsi="Times New Roman" w:cs="Times New Roman"/>
                      <w:color w:val="auto"/>
                      <w:spacing w:val="-11"/>
                      <w:sz w:val="21"/>
                      <w:szCs w:val="21"/>
                      <w:lang w:val="en-US" w:eastAsia="zh-CN"/>
                    </w:rPr>
                  </w:pPr>
                </w:p>
              </w:tc>
              <w:tc>
                <w:tcPr>
                  <w:tcW w:w="419" w:type="pct"/>
                  <w:vMerge w:val="continue"/>
                  <w:tcBorders>
                    <w:tl2br w:val="nil"/>
                    <w:tr2bl w:val="nil"/>
                  </w:tcBorders>
                  <w:noWrap w:val="0"/>
                  <w:vAlign w:val="center"/>
                </w:tcPr>
                <w:p w14:paraId="65819269">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005" w:type="pct"/>
                  <w:tcBorders>
                    <w:tl2br w:val="nil"/>
                    <w:tr2bl w:val="nil"/>
                  </w:tcBorders>
                  <w:noWrap w:val="0"/>
                  <w:vAlign w:val="center"/>
                </w:tcPr>
                <w:p w14:paraId="002894F0">
                  <w:pPr>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val="en-US" w:eastAsia="zh-CN"/>
                    </w:rPr>
                    <w:t>监控点处任意一次平均浓度</w:t>
                  </w:r>
                </w:p>
              </w:tc>
              <w:tc>
                <w:tcPr>
                  <w:tcW w:w="804" w:type="pct"/>
                  <w:tcBorders>
                    <w:tl2br w:val="nil"/>
                    <w:tr2bl w:val="nil"/>
                  </w:tcBorders>
                  <w:noWrap w:val="0"/>
                  <w:vAlign w:val="center"/>
                </w:tcPr>
                <w:p w14:paraId="2FBCEE52">
                  <w:pPr>
                    <w:pStyle w:val="49"/>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1.28</w:t>
                  </w:r>
                </w:p>
              </w:tc>
              <w:tc>
                <w:tcPr>
                  <w:tcW w:w="411" w:type="pct"/>
                  <w:vMerge w:val="continue"/>
                  <w:tcBorders>
                    <w:tl2br w:val="nil"/>
                    <w:tr2bl w:val="nil"/>
                  </w:tcBorders>
                  <w:noWrap w:val="0"/>
                  <w:vAlign w:val="center"/>
                </w:tcPr>
                <w:p w14:paraId="217877D9">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1" w:type="pct"/>
                  <w:vMerge w:val="continue"/>
                  <w:tcBorders>
                    <w:tl2br w:val="nil"/>
                    <w:tr2bl w:val="nil"/>
                  </w:tcBorders>
                  <w:noWrap w:val="0"/>
                  <w:vAlign w:val="center"/>
                </w:tcPr>
                <w:p w14:paraId="3E959AA2">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1" w:type="pct"/>
                  <w:vMerge w:val="continue"/>
                  <w:tcBorders>
                    <w:tl2br w:val="nil"/>
                    <w:tr2bl w:val="nil"/>
                  </w:tcBorders>
                  <w:noWrap w:val="0"/>
                  <w:vAlign w:val="center"/>
                </w:tcPr>
                <w:p w14:paraId="39F50A77">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1" w:type="pct"/>
                  <w:vMerge w:val="continue"/>
                  <w:tcBorders>
                    <w:tl2br w:val="nil"/>
                    <w:tr2bl w:val="nil"/>
                  </w:tcBorders>
                  <w:noWrap w:val="0"/>
                  <w:vAlign w:val="center"/>
                </w:tcPr>
                <w:p w14:paraId="15B0D8FF">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p>
              </w:tc>
              <w:tc>
                <w:tcPr>
                  <w:tcW w:w="413" w:type="pct"/>
                  <w:vMerge w:val="continue"/>
                  <w:tcBorders>
                    <w:tl2br w:val="nil"/>
                    <w:tr2bl w:val="nil"/>
                  </w:tcBorders>
                  <w:noWrap w:val="0"/>
                  <w:vAlign w:val="center"/>
                </w:tcPr>
                <w:p w14:paraId="495C1965">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p>
              </w:tc>
            </w:tr>
            <w:tr w14:paraId="716CF2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pct"/>
                  <w:vMerge w:val="continue"/>
                  <w:tcBorders>
                    <w:tl2br w:val="nil"/>
                    <w:tr2bl w:val="nil"/>
                  </w:tcBorders>
                  <w:noWrap w:val="0"/>
                  <w:vAlign w:val="center"/>
                </w:tcPr>
                <w:p w14:paraId="5F8E03A3">
                  <w:pPr>
                    <w:pStyle w:val="49"/>
                    <w:keepNext w:val="0"/>
                    <w:keepLines w:val="0"/>
                    <w:pageBreakBefore w:val="0"/>
                    <w:kinsoku/>
                    <w:wordWrap/>
                    <w:overflowPunct/>
                    <w:topLinePunct w:val="0"/>
                    <w:autoSpaceDE/>
                    <w:autoSpaceDN/>
                    <w:bidi w:val="0"/>
                    <w:spacing w:after="0" w:line="240" w:lineRule="auto"/>
                    <w:rPr>
                      <w:rFonts w:hint="default" w:ascii="Times New Roman" w:hAnsi="Times New Roman" w:cs="Times New Roman"/>
                      <w:color w:val="auto"/>
                      <w:spacing w:val="-11"/>
                      <w:sz w:val="21"/>
                      <w:szCs w:val="21"/>
                      <w:lang w:val="en-US" w:eastAsia="zh-CN"/>
                    </w:rPr>
                  </w:pPr>
                </w:p>
              </w:tc>
              <w:tc>
                <w:tcPr>
                  <w:tcW w:w="419" w:type="pct"/>
                  <w:vMerge w:val="restart"/>
                  <w:tcBorders>
                    <w:tl2br w:val="nil"/>
                    <w:tr2bl w:val="nil"/>
                  </w:tcBorders>
                  <w:noWrap w:val="0"/>
                  <w:vAlign w:val="center"/>
                </w:tcPr>
                <w:p w14:paraId="5911F237">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005" w:type="pct"/>
                  <w:tcBorders>
                    <w:tl2br w:val="nil"/>
                    <w:tr2bl w:val="nil"/>
                  </w:tcBorders>
                  <w:noWrap w:val="0"/>
                  <w:vAlign w:val="center"/>
                </w:tcPr>
                <w:p w14:paraId="6D019766">
                  <w:pPr>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val="en-US" w:eastAsia="zh-CN"/>
                    </w:rPr>
                    <w:t>厂区内监控点处1h平均浓度</w:t>
                  </w:r>
                </w:p>
              </w:tc>
              <w:tc>
                <w:tcPr>
                  <w:tcW w:w="804" w:type="pct"/>
                  <w:tcBorders>
                    <w:tl2br w:val="nil"/>
                    <w:tr2bl w:val="nil"/>
                  </w:tcBorders>
                  <w:noWrap w:val="0"/>
                  <w:vAlign w:val="center"/>
                </w:tcPr>
                <w:p w14:paraId="46E75F73">
                  <w:pPr>
                    <w:pStyle w:val="49"/>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1.19</w:t>
                  </w:r>
                </w:p>
              </w:tc>
              <w:tc>
                <w:tcPr>
                  <w:tcW w:w="411" w:type="pct"/>
                  <w:vMerge w:val="restart"/>
                  <w:tcBorders>
                    <w:tl2br w:val="nil"/>
                    <w:tr2bl w:val="nil"/>
                  </w:tcBorders>
                  <w:noWrap w:val="0"/>
                  <w:vAlign w:val="center"/>
                </w:tcPr>
                <w:p w14:paraId="6A2093D3">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29.2</w:t>
                  </w:r>
                </w:p>
              </w:tc>
              <w:tc>
                <w:tcPr>
                  <w:tcW w:w="411" w:type="pct"/>
                  <w:vMerge w:val="restart"/>
                  <w:tcBorders>
                    <w:tl2br w:val="nil"/>
                    <w:tr2bl w:val="nil"/>
                  </w:tcBorders>
                  <w:noWrap w:val="0"/>
                  <w:vAlign w:val="center"/>
                </w:tcPr>
                <w:p w14:paraId="09214110">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99.5</w:t>
                  </w:r>
                </w:p>
              </w:tc>
              <w:tc>
                <w:tcPr>
                  <w:tcW w:w="411" w:type="pct"/>
                  <w:vMerge w:val="restart"/>
                  <w:tcBorders>
                    <w:tl2br w:val="nil"/>
                    <w:tr2bl w:val="nil"/>
                  </w:tcBorders>
                  <w:noWrap w:val="0"/>
                  <w:vAlign w:val="center"/>
                </w:tcPr>
                <w:p w14:paraId="1A1ED72F">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720" w:type="dxa"/>
                  <w:vMerge w:val="restart"/>
                  <w:tcBorders>
                    <w:tl2br w:val="nil"/>
                    <w:tr2bl w:val="nil"/>
                  </w:tcBorders>
                  <w:noWrap w:val="0"/>
                  <w:vAlign w:val="center"/>
                </w:tcPr>
                <w:p w14:paraId="4FF15918">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南</w:t>
                  </w:r>
                </w:p>
              </w:tc>
              <w:tc>
                <w:tcPr>
                  <w:tcW w:w="724" w:type="dxa"/>
                  <w:vMerge w:val="restart"/>
                  <w:tcBorders>
                    <w:tl2br w:val="nil"/>
                    <w:tr2bl w:val="nil"/>
                  </w:tcBorders>
                  <w:noWrap w:val="0"/>
                  <w:vAlign w:val="center"/>
                </w:tcPr>
                <w:p w14:paraId="551FC111">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晴</w:t>
                  </w:r>
                </w:p>
              </w:tc>
            </w:tr>
            <w:tr w14:paraId="1EBB3F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pct"/>
                  <w:vMerge w:val="continue"/>
                  <w:tcBorders>
                    <w:tl2br w:val="nil"/>
                    <w:tr2bl w:val="nil"/>
                  </w:tcBorders>
                  <w:noWrap w:val="0"/>
                  <w:vAlign w:val="center"/>
                </w:tcPr>
                <w:p w14:paraId="4E162278">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9" w:type="pct"/>
                  <w:vMerge w:val="continue"/>
                  <w:tcBorders>
                    <w:tl2br w:val="nil"/>
                    <w:tr2bl w:val="nil"/>
                  </w:tcBorders>
                  <w:noWrap w:val="0"/>
                  <w:vAlign w:val="center"/>
                </w:tcPr>
                <w:p w14:paraId="2D4611CC">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005" w:type="pct"/>
                  <w:tcBorders>
                    <w:tl2br w:val="nil"/>
                    <w:tr2bl w:val="nil"/>
                  </w:tcBorders>
                  <w:noWrap w:val="0"/>
                  <w:vAlign w:val="center"/>
                </w:tcPr>
                <w:p w14:paraId="1F9D149E">
                  <w:pPr>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监控点处任意一次平均浓度</w:t>
                  </w:r>
                </w:p>
              </w:tc>
              <w:tc>
                <w:tcPr>
                  <w:tcW w:w="804" w:type="pct"/>
                  <w:tcBorders>
                    <w:tl2br w:val="nil"/>
                    <w:tr2bl w:val="nil"/>
                  </w:tcBorders>
                  <w:noWrap w:val="0"/>
                  <w:vAlign w:val="center"/>
                </w:tcPr>
                <w:p w14:paraId="748E5B29">
                  <w:pPr>
                    <w:pStyle w:val="49"/>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1.25</w:t>
                  </w:r>
                </w:p>
              </w:tc>
              <w:tc>
                <w:tcPr>
                  <w:tcW w:w="411" w:type="pct"/>
                  <w:vMerge w:val="continue"/>
                  <w:tcBorders>
                    <w:tl2br w:val="nil"/>
                    <w:tr2bl w:val="nil"/>
                  </w:tcBorders>
                  <w:noWrap w:val="0"/>
                  <w:vAlign w:val="center"/>
                </w:tcPr>
                <w:p w14:paraId="63781394">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1" w:type="pct"/>
                  <w:vMerge w:val="continue"/>
                  <w:tcBorders>
                    <w:tl2br w:val="nil"/>
                    <w:tr2bl w:val="nil"/>
                  </w:tcBorders>
                  <w:noWrap w:val="0"/>
                  <w:vAlign w:val="center"/>
                </w:tcPr>
                <w:p w14:paraId="65803F01">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1" w:type="pct"/>
                  <w:vMerge w:val="continue"/>
                  <w:tcBorders>
                    <w:tl2br w:val="nil"/>
                    <w:tr2bl w:val="nil"/>
                  </w:tcBorders>
                  <w:noWrap w:val="0"/>
                  <w:vAlign w:val="center"/>
                </w:tcPr>
                <w:p w14:paraId="0686220D">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1" w:type="pct"/>
                  <w:vMerge w:val="continue"/>
                  <w:tcBorders>
                    <w:tl2br w:val="nil"/>
                    <w:tr2bl w:val="nil"/>
                  </w:tcBorders>
                  <w:noWrap w:val="0"/>
                  <w:vAlign w:val="center"/>
                </w:tcPr>
                <w:p w14:paraId="56928245">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p>
              </w:tc>
              <w:tc>
                <w:tcPr>
                  <w:tcW w:w="413" w:type="pct"/>
                  <w:vMerge w:val="continue"/>
                  <w:tcBorders>
                    <w:tl2br w:val="nil"/>
                    <w:tr2bl w:val="nil"/>
                  </w:tcBorders>
                  <w:noWrap w:val="0"/>
                  <w:vAlign w:val="center"/>
                </w:tcPr>
                <w:p w14:paraId="3AB324AE">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p>
              </w:tc>
            </w:tr>
            <w:tr w14:paraId="147E2C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pct"/>
                  <w:vMerge w:val="continue"/>
                  <w:tcBorders>
                    <w:tl2br w:val="nil"/>
                    <w:tr2bl w:val="nil"/>
                  </w:tcBorders>
                  <w:noWrap w:val="0"/>
                  <w:vAlign w:val="center"/>
                </w:tcPr>
                <w:p w14:paraId="1BCEE961">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9" w:type="pct"/>
                  <w:vMerge w:val="restart"/>
                  <w:tcBorders>
                    <w:tl2br w:val="nil"/>
                    <w:tr2bl w:val="nil"/>
                  </w:tcBorders>
                  <w:noWrap w:val="0"/>
                  <w:vAlign w:val="center"/>
                </w:tcPr>
                <w:p w14:paraId="598F76D7">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005" w:type="pct"/>
                  <w:tcBorders>
                    <w:tl2br w:val="nil"/>
                    <w:tr2bl w:val="nil"/>
                  </w:tcBorders>
                  <w:noWrap w:val="0"/>
                  <w:vAlign w:val="center"/>
                </w:tcPr>
                <w:p w14:paraId="7F3FF0FA">
                  <w:pPr>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厂区内监控点处1h平均浓度</w:t>
                  </w:r>
                </w:p>
              </w:tc>
              <w:tc>
                <w:tcPr>
                  <w:tcW w:w="804" w:type="pct"/>
                  <w:tcBorders>
                    <w:tl2br w:val="nil"/>
                    <w:tr2bl w:val="nil"/>
                  </w:tcBorders>
                  <w:noWrap w:val="0"/>
                  <w:vAlign w:val="center"/>
                </w:tcPr>
                <w:p w14:paraId="2CD41480">
                  <w:pPr>
                    <w:pStyle w:val="49"/>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1.13</w:t>
                  </w:r>
                </w:p>
              </w:tc>
              <w:tc>
                <w:tcPr>
                  <w:tcW w:w="411" w:type="pct"/>
                  <w:vMerge w:val="restart"/>
                  <w:tcBorders>
                    <w:tl2br w:val="nil"/>
                    <w:tr2bl w:val="nil"/>
                  </w:tcBorders>
                  <w:noWrap w:val="0"/>
                  <w:vAlign w:val="center"/>
                </w:tcPr>
                <w:p w14:paraId="242C717C">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31.6</w:t>
                  </w:r>
                </w:p>
              </w:tc>
              <w:tc>
                <w:tcPr>
                  <w:tcW w:w="411" w:type="pct"/>
                  <w:vMerge w:val="restart"/>
                  <w:tcBorders>
                    <w:tl2br w:val="nil"/>
                    <w:tr2bl w:val="nil"/>
                  </w:tcBorders>
                  <w:noWrap w:val="0"/>
                  <w:vAlign w:val="center"/>
                </w:tcPr>
                <w:p w14:paraId="067CE7C5">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99.4</w:t>
                  </w:r>
                </w:p>
              </w:tc>
              <w:tc>
                <w:tcPr>
                  <w:tcW w:w="411" w:type="pct"/>
                  <w:vMerge w:val="restart"/>
                  <w:tcBorders>
                    <w:tl2br w:val="nil"/>
                    <w:tr2bl w:val="nil"/>
                  </w:tcBorders>
                  <w:noWrap w:val="0"/>
                  <w:vAlign w:val="center"/>
                </w:tcPr>
                <w:p w14:paraId="31FAD3D6">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c>
                <w:tcPr>
                  <w:tcW w:w="720" w:type="dxa"/>
                  <w:vMerge w:val="restart"/>
                  <w:tcBorders>
                    <w:tl2br w:val="nil"/>
                    <w:tr2bl w:val="nil"/>
                  </w:tcBorders>
                  <w:noWrap w:val="0"/>
                  <w:vAlign w:val="center"/>
                </w:tcPr>
                <w:p w14:paraId="308C9763">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南</w:t>
                  </w:r>
                </w:p>
              </w:tc>
              <w:tc>
                <w:tcPr>
                  <w:tcW w:w="724" w:type="dxa"/>
                  <w:vMerge w:val="restart"/>
                  <w:tcBorders>
                    <w:tl2br w:val="nil"/>
                    <w:tr2bl w:val="nil"/>
                  </w:tcBorders>
                  <w:noWrap w:val="0"/>
                  <w:vAlign w:val="center"/>
                </w:tcPr>
                <w:p w14:paraId="7BFC7D98">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晴</w:t>
                  </w:r>
                </w:p>
              </w:tc>
            </w:tr>
            <w:tr w14:paraId="1C5F80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pct"/>
                  <w:vMerge w:val="continue"/>
                  <w:tcBorders>
                    <w:tl2br w:val="nil"/>
                    <w:tr2bl w:val="nil"/>
                  </w:tcBorders>
                  <w:noWrap w:val="0"/>
                  <w:vAlign w:val="center"/>
                </w:tcPr>
                <w:p w14:paraId="20F0E5C5">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9" w:type="pct"/>
                  <w:vMerge w:val="continue"/>
                  <w:tcBorders>
                    <w:tl2br w:val="nil"/>
                    <w:tr2bl w:val="nil"/>
                  </w:tcBorders>
                  <w:noWrap w:val="0"/>
                  <w:vAlign w:val="center"/>
                </w:tcPr>
                <w:p w14:paraId="030F1B19">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005" w:type="pct"/>
                  <w:tcBorders>
                    <w:tl2br w:val="nil"/>
                    <w:tr2bl w:val="nil"/>
                  </w:tcBorders>
                  <w:noWrap w:val="0"/>
                  <w:vAlign w:val="center"/>
                </w:tcPr>
                <w:p w14:paraId="1F688A76">
                  <w:pPr>
                    <w:keepLines w:val="0"/>
                    <w:pageBreakBefore w:val="0"/>
                    <w:kinsoku/>
                    <w:wordWrap/>
                    <w:overflowPunct/>
                    <w:topLinePunct w:val="0"/>
                    <w:autoSpaceDE/>
                    <w:autoSpaceDN/>
                    <w:bidi w:val="0"/>
                    <w:spacing w:after="0"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val="en-US" w:eastAsia="zh-CN"/>
                    </w:rPr>
                    <w:t>监控点处任意一次平均浓度</w:t>
                  </w:r>
                </w:p>
              </w:tc>
              <w:tc>
                <w:tcPr>
                  <w:tcW w:w="804" w:type="pct"/>
                  <w:tcBorders>
                    <w:tl2br w:val="nil"/>
                    <w:tr2bl w:val="nil"/>
                  </w:tcBorders>
                  <w:noWrap w:val="0"/>
                  <w:vAlign w:val="center"/>
                </w:tcPr>
                <w:p w14:paraId="185D1979">
                  <w:pPr>
                    <w:pStyle w:val="49"/>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1.24</w:t>
                  </w:r>
                </w:p>
              </w:tc>
              <w:tc>
                <w:tcPr>
                  <w:tcW w:w="411" w:type="pct"/>
                  <w:vMerge w:val="continue"/>
                  <w:tcBorders>
                    <w:tl2br w:val="nil"/>
                    <w:tr2bl w:val="nil"/>
                  </w:tcBorders>
                  <w:noWrap w:val="0"/>
                  <w:vAlign w:val="center"/>
                </w:tcPr>
                <w:p w14:paraId="11DDD4C7">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1" w:type="pct"/>
                  <w:vMerge w:val="continue"/>
                  <w:tcBorders>
                    <w:tl2br w:val="nil"/>
                    <w:tr2bl w:val="nil"/>
                  </w:tcBorders>
                  <w:noWrap w:val="0"/>
                  <w:vAlign w:val="center"/>
                </w:tcPr>
                <w:p w14:paraId="5A058EF6">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1" w:type="pct"/>
                  <w:vMerge w:val="continue"/>
                  <w:tcBorders>
                    <w:tl2br w:val="nil"/>
                    <w:tr2bl w:val="nil"/>
                  </w:tcBorders>
                  <w:noWrap w:val="0"/>
                  <w:vAlign w:val="center"/>
                </w:tcPr>
                <w:p w14:paraId="06C5D7E9">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1" w:type="pct"/>
                  <w:vMerge w:val="continue"/>
                  <w:tcBorders>
                    <w:tl2br w:val="nil"/>
                    <w:tr2bl w:val="nil"/>
                  </w:tcBorders>
                  <w:noWrap w:val="0"/>
                  <w:vAlign w:val="center"/>
                </w:tcPr>
                <w:p w14:paraId="6A7F4A02">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p>
              </w:tc>
              <w:tc>
                <w:tcPr>
                  <w:tcW w:w="413" w:type="pct"/>
                  <w:vMerge w:val="continue"/>
                  <w:tcBorders>
                    <w:tl2br w:val="nil"/>
                    <w:tr2bl w:val="nil"/>
                  </w:tcBorders>
                  <w:noWrap w:val="0"/>
                  <w:vAlign w:val="center"/>
                </w:tcPr>
                <w:p w14:paraId="097CB6B8">
                  <w:pPr>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p>
              </w:tc>
            </w:tr>
          </w:tbl>
          <w:p w14:paraId="3C90B1B4">
            <w:pPr>
              <w:spacing w:after="0" w:line="460" w:lineRule="exact"/>
              <w:ind w:firstLine="480" w:firstLineChars="200"/>
              <w:jc w:val="both"/>
              <w:textAlignment w:val="baseline"/>
              <w:rPr>
                <w:rFonts w:hint="default" w:ascii="Times New Roman" w:hAnsi="Times New Roman" w:eastAsia="宋体" w:cs="Times New Roman"/>
                <w:bCs/>
                <w:color w:val="auto"/>
                <w:sz w:val="24"/>
                <w:szCs w:val="24"/>
                <w:lang w:val="en-US"/>
              </w:rPr>
            </w:pPr>
            <w:r>
              <w:rPr>
                <w:rFonts w:hint="default" w:ascii="Times New Roman" w:hAnsi="Times New Roman" w:eastAsia="宋体" w:cs="Times New Roman"/>
                <w:bCs/>
                <w:color w:val="auto"/>
                <w:sz w:val="24"/>
                <w:szCs w:val="24"/>
              </w:rPr>
              <w:t>由监测数据可知，本项目非甲烷总烃厂界上风向、下风向厂界外浓度限值排放浓度值范围为：</w:t>
            </w:r>
            <w:r>
              <w:rPr>
                <w:rFonts w:hint="default" w:ascii="Times New Roman" w:hAnsi="Times New Roman" w:eastAsia="宋体" w:cs="Times New Roman"/>
                <w:bCs/>
                <w:color w:val="auto"/>
                <w:kern w:val="2"/>
                <w:sz w:val="24"/>
                <w:szCs w:val="24"/>
              </w:rPr>
              <w:t>0.</w:t>
            </w:r>
            <w:r>
              <w:rPr>
                <w:rFonts w:hint="default" w:ascii="Times New Roman" w:hAnsi="Times New Roman" w:eastAsia="宋体" w:cs="Times New Roman"/>
                <w:bCs/>
                <w:color w:val="auto"/>
                <w:kern w:val="2"/>
                <w:sz w:val="24"/>
                <w:szCs w:val="24"/>
                <w:lang w:val="en-US" w:eastAsia="zh-CN"/>
              </w:rPr>
              <w:t>49</w:t>
            </w:r>
            <w:r>
              <w:rPr>
                <w:rFonts w:hint="default" w:ascii="Times New Roman" w:hAnsi="Times New Roman" w:eastAsia="宋体" w:cs="Times New Roman"/>
                <w:bCs/>
                <w:color w:val="auto"/>
                <w:kern w:val="2"/>
                <w:sz w:val="24"/>
                <w:szCs w:val="24"/>
              </w:rPr>
              <w:t>~0.</w:t>
            </w:r>
            <w:r>
              <w:rPr>
                <w:rFonts w:hint="default" w:ascii="Times New Roman" w:hAnsi="Times New Roman" w:eastAsia="宋体" w:cs="Times New Roman"/>
                <w:bCs/>
                <w:color w:val="auto"/>
                <w:kern w:val="2"/>
                <w:sz w:val="24"/>
                <w:szCs w:val="24"/>
                <w:lang w:val="en-US" w:eastAsia="zh-CN"/>
              </w:rPr>
              <w:t>91</w:t>
            </w:r>
            <w:r>
              <w:rPr>
                <w:rFonts w:hint="default" w:ascii="Times New Roman" w:hAnsi="Times New Roman" w:eastAsia="宋体" w:cs="Times New Roman"/>
                <w:bCs/>
                <w:color w:val="auto"/>
                <w:kern w:val="2"/>
                <w:sz w:val="24"/>
                <w:szCs w:val="24"/>
              </w:rPr>
              <w:t>mg/m</w:t>
            </w:r>
            <w:r>
              <w:rPr>
                <w:rFonts w:hint="default" w:ascii="Times New Roman" w:hAnsi="Times New Roman" w:eastAsia="宋体" w:cs="Times New Roman"/>
                <w:bCs/>
                <w:color w:val="auto"/>
                <w:kern w:val="2"/>
                <w:sz w:val="24"/>
                <w:szCs w:val="24"/>
                <w:vertAlign w:val="superscript"/>
              </w:rPr>
              <w:t>3</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color w:val="auto"/>
                <w:sz w:val="24"/>
                <w:szCs w:val="24"/>
                <w:highlight w:val="none"/>
                <w:lang w:val="en-US" w:eastAsia="zh-CN"/>
              </w:rPr>
              <w:t>厂区内监控点处1h平均浓度范围为：</w:t>
            </w:r>
            <w:r>
              <w:rPr>
                <w:rFonts w:hint="default" w:ascii="Times New Roman" w:hAnsi="Times New Roman" w:eastAsia="宋体" w:cs="Times New Roman"/>
                <w:bCs/>
                <w:color w:val="auto"/>
                <w:kern w:val="2"/>
                <w:sz w:val="24"/>
                <w:szCs w:val="24"/>
                <w:lang w:val="en-US" w:eastAsia="zh-CN"/>
              </w:rPr>
              <w:t>1.1</w:t>
            </w:r>
            <w:r>
              <w:rPr>
                <w:rFonts w:hint="default" w:ascii="Times New Roman" w:hAnsi="Times New Roman" w:eastAsia="宋体" w:cs="Times New Roman"/>
                <w:bCs/>
                <w:color w:val="auto"/>
                <w:kern w:val="2"/>
                <w:sz w:val="24"/>
                <w:szCs w:val="24"/>
              </w:rPr>
              <w:t>~</w:t>
            </w:r>
            <w:r>
              <w:rPr>
                <w:rFonts w:hint="default" w:ascii="Times New Roman" w:hAnsi="Times New Roman" w:eastAsia="宋体" w:cs="Times New Roman"/>
                <w:bCs/>
                <w:color w:val="auto"/>
                <w:kern w:val="2"/>
                <w:sz w:val="24"/>
                <w:szCs w:val="24"/>
                <w:lang w:val="en-US" w:eastAsia="zh-CN"/>
              </w:rPr>
              <w:t>1.19</w:t>
            </w:r>
            <w:r>
              <w:rPr>
                <w:rFonts w:hint="default" w:ascii="Times New Roman" w:hAnsi="Times New Roman" w:eastAsia="宋体" w:cs="Times New Roman"/>
                <w:bCs/>
                <w:color w:val="auto"/>
                <w:kern w:val="2"/>
                <w:sz w:val="24"/>
                <w:szCs w:val="24"/>
              </w:rPr>
              <w:t xml:space="preserve"> mg/m</w:t>
            </w:r>
            <w:r>
              <w:rPr>
                <w:rFonts w:hint="default" w:ascii="Times New Roman" w:hAnsi="Times New Roman" w:eastAsia="宋体" w:cs="Times New Roman"/>
                <w:bCs/>
                <w:color w:val="auto"/>
                <w:kern w:val="2"/>
                <w:sz w:val="24"/>
                <w:szCs w:val="24"/>
                <w:vertAlign w:val="superscript"/>
              </w:rPr>
              <w:t>3</w:t>
            </w:r>
            <w:r>
              <w:rPr>
                <w:rFonts w:hint="default" w:ascii="Times New Roman" w:hAnsi="Times New Roman" w:eastAsia="宋体" w:cs="Times New Roman"/>
                <w:bCs/>
                <w:color w:val="auto"/>
                <w:sz w:val="24"/>
                <w:szCs w:val="24"/>
              </w:rPr>
              <w:t>，监控点处任意一次平均浓度</w:t>
            </w:r>
            <w:r>
              <w:rPr>
                <w:rFonts w:hint="default" w:ascii="Times New Roman" w:hAnsi="Times New Roman" w:eastAsia="宋体" w:cs="Times New Roman"/>
                <w:bCs/>
                <w:color w:val="auto"/>
                <w:sz w:val="24"/>
                <w:szCs w:val="24"/>
                <w:lang w:val="en-US" w:eastAsia="zh-CN"/>
              </w:rPr>
              <w:t>范围为：</w:t>
            </w:r>
            <w:r>
              <w:rPr>
                <w:rFonts w:hint="default" w:ascii="Times New Roman" w:hAnsi="Times New Roman" w:eastAsia="宋体" w:cs="Times New Roman"/>
                <w:bCs/>
                <w:color w:val="auto"/>
                <w:kern w:val="2"/>
                <w:sz w:val="24"/>
                <w:szCs w:val="24"/>
                <w:highlight w:val="none"/>
                <w:lang w:val="en-US" w:eastAsia="zh-CN"/>
              </w:rPr>
              <w:t>1.2</w:t>
            </w:r>
            <w:r>
              <w:rPr>
                <w:rFonts w:hint="default" w:ascii="Times New Roman" w:hAnsi="Times New Roman" w:eastAsia="宋体" w:cs="Times New Roman"/>
                <w:bCs/>
                <w:color w:val="auto"/>
                <w:kern w:val="2"/>
                <w:sz w:val="24"/>
                <w:szCs w:val="24"/>
                <w:highlight w:val="none"/>
              </w:rPr>
              <w:t>~</w:t>
            </w:r>
            <w:r>
              <w:rPr>
                <w:rFonts w:hint="default" w:ascii="Times New Roman" w:hAnsi="Times New Roman" w:eastAsia="宋体" w:cs="Times New Roman"/>
                <w:bCs/>
                <w:color w:val="auto"/>
                <w:kern w:val="2"/>
                <w:sz w:val="24"/>
                <w:szCs w:val="24"/>
                <w:highlight w:val="none"/>
                <w:lang w:val="en-US" w:eastAsia="zh-CN"/>
              </w:rPr>
              <w:t>1.28</w:t>
            </w:r>
            <w:r>
              <w:rPr>
                <w:rFonts w:hint="default" w:ascii="Times New Roman" w:hAnsi="Times New Roman" w:eastAsia="宋体" w:cs="Times New Roman"/>
                <w:bCs/>
                <w:color w:val="auto"/>
                <w:kern w:val="2"/>
                <w:sz w:val="24"/>
                <w:szCs w:val="24"/>
                <w:highlight w:val="none"/>
              </w:rPr>
              <w:t>mg/m</w:t>
            </w:r>
            <w:r>
              <w:rPr>
                <w:rFonts w:hint="default" w:ascii="Times New Roman" w:hAnsi="Times New Roman" w:eastAsia="宋体" w:cs="Times New Roman"/>
                <w:bCs/>
                <w:color w:val="auto"/>
                <w:kern w:val="2"/>
                <w:sz w:val="24"/>
                <w:szCs w:val="24"/>
                <w:highlight w:val="none"/>
                <w:vertAlign w:val="superscript"/>
              </w:rPr>
              <w:t>3</w:t>
            </w:r>
            <w:r>
              <w:rPr>
                <w:rFonts w:hint="default" w:ascii="Times New Roman" w:hAnsi="Times New Roman" w:eastAsia="宋体" w:cs="Times New Roman"/>
                <w:bCs/>
                <w:color w:val="auto"/>
                <w:sz w:val="24"/>
                <w:szCs w:val="24"/>
                <w:highlight w:val="none"/>
              </w:rPr>
              <w:t>，能够满足《合成树脂工业污染物排放标准》（GB31572-2015）</w:t>
            </w:r>
            <w:r>
              <w:rPr>
                <w:rFonts w:hint="default" w:ascii="Times New Roman" w:hAnsi="Times New Roman" w:eastAsia="宋体" w:cs="Times New Roman"/>
                <w:color w:val="auto"/>
                <w:sz w:val="24"/>
                <w:szCs w:val="24"/>
                <w:highlight w:val="none"/>
              </w:rPr>
              <w:t>（含2024年修改单）</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bCs/>
                <w:color w:val="auto"/>
                <w:sz w:val="24"/>
                <w:szCs w:val="24"/>
                <w:highlight w:val="none"/>
              </w:rPr>
              <w:t>企业边界大气污染物非甲烷总烃4.0mg/m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的</w:t>
            </w:r>
            <w:r>
              <w:rPr>
                <w:rFonts w:hint="default" w:ascii="Times New Roman" w:hAnsi="Times New Roman" w:eastAsia="宋体" w:cs="Times New Roman"/>
                <w:bCs/>
                <w:color w:val="auto"/>
                <w:sz w:val="24"/>
                <w:szCs w:val="24"/>
                <w:highlight w:val="none"/>
                <w:lang w:eastAsia="zh-CN"/>
              </w:rPr>
              <w:t>限值</w:t>
            </w:r>
            <w:r>
              <w:rPr>
                <w:rFonts w:hint="default" w:ascii="Times New Roman" w:hAnsi="Times New Roman" w:eastAsia="宋体" w:cs="Times New Roman"/>
                <w:bCs/>
                <w:color w:val="auto"/>
                <w:sz w:val="24"/>
                <w:szCs w:val="24"/>
                <w:highlight w:val="none"/>
              </w:rPr>
              <w:t>要求，同时能够满足《关于全省开展工业企业挥发性有机物专项治理工作中排放建议值的</w:t>
            </w:r>
            <w:r>
              <w:rPr>
                <w:rFonts w:hint="default" w:ascii="Times New Roman" w:hAnsi="Times New Roman" w:eastAsia="宋体" w:cs="Times New Roman"/>
                <w:bCs/>
                <w:color w:val="auto"/>
                <w:sz w:val="24"/>
                <w:szCs w:val="24"/>
              </w:rPr>
              <w:t>通知》（豫环攻坚办[2017]162号）中非甲烷总烃厂界外浓度限值排放2.0mg/m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的限</w:t>
            </w:r>
            <w:r>
              <w:rPr>
                <w:rFonts w:hint="default" w:ascii="Times New Roman" w:hAnsi="Times New Roman" w:eastAsia="宋体" w:cs="Times New Roman"/>
                <w:bCs/>
                <w:color w:val="auto"/>
                <w:sz w:val="24"/>
                <w:szCs w:val="24"/>
                <w:lang w:val="en-US" w:eastAsia="zh-CN"/>
              </w:rPr>
              <w:t>值</w:t>
            </w:r>
            <w:r>
              <w:rPr>
                <w:rFonts w:hint="default" w:ascii="Times New Roman" w:hAnsi="Times New Roman" w:eastAsia="宋体" w:cs="Times New Roman"/>
                <w:bCs/>
                <w:color w:val="auto"/>
                <w:sz w:val="24"/>
                <w:szCs w:val="24"/>
              </w:rPr>
              <w:t>要求。</w:t>
            </w:r>
            <w:r>
              <w:rPr>
                <w:rFonts w:hint="default" w:ascii="Times New Roman" w:hAnsi="Times New Roman" w:eastAsia="宋体" w:cs="Times New Roman"/>
                <w:bCs/>
                <w:color w:val="auto"/>
                <w:sz w:val="24"/>
                <w:szCs w:val="24"/>
                <w:lang w:val="en-US" w:eastAsia="zh-CN"/>
              </w:rPr>
              <w:t>还</w:t>
            </w:r>
            <w:r>
              <w:rPr>
                <w:rFonts w:hint="default" w:ascii="Times New Roman" w:hAnsi="Times New Roman" w:eastAsia="宋体" w:cs="Times New Roman"/>
                <w:b w:val="0"/>
                <w:bCs w:val="0"/>
                <w:color w:val="auto"/>
                <w:sz w:val="24"/>
                <w:szCs w:val="24"/>
                <w:highlight w:val="none"/>
                <w:u w:val="none"/>
                <w:lang w:val="en-US" w:eastAsia="zh-CN"/>
              </w:rPr>
              <w:t>满足《挥发性有机物无组织排放控制标准》（GB 37822-2019）中非甲烷总烃厂区内监控点处1h平均浓度值6mg/m</w:t>
            </w:r>
            <w:r>
              <w:rPr>
                <w:rFonts w:hint="default" w:ascii="Times New Roman" w:hAnsi="Times New Roman" w:eastAsia="宋体" w:cs="Times New Roman"/>
                <w:b w:val="0"/>
                <w:bCs w:val="0"/>
                <w:color w:val="auto"/>
                <w:sz w:val="24"/>
                <w:szCs w:val="24"/>
                <w:highlight w:val="none"/>
                <w:u w:val="none"/>
                <w:vertAlign w:val="superscript"/>
                <w:lang w:val="en-US" w:eastAsia="zh-CN"/>
              </w:rPr>
              <w:t>3</w:t>
            </w:r>
            <w:r>
              <w:rPr>
                <w:rFonts w:hint="default" w:ascii="Times New Roman" w:hAnsi="Times New Roman" w:eastAsia="宋体" w:cs="Times New Roman"/>
                <w:b w:val="0"/>
                <w:bCs w:val="0"/>
                <w:color w:val="auto"/>
                <w:sz w:val="24"/>
                <w:szCs w:val="24"/>
                <w:highlight w:val="none"/>
                <w:u w:val="none"/>
                <w:lang w:val="en-US" w:eastAsia="zh-CN"/>
              </w:rPr>
              <w:t>、监控点处任意一次平均浓度值20mg/m</w:t>
            </w:r>
            <w:r>
              <w:rPr>
                <w:rFonts w:hint="default" w:ascii="Times New Roman" w:hAnsi="Times New Roman" w:eastAsia="宋体" w:cs="Times New Roman"/>
                <w:b w:val="0"/>
                <w:bCs w:val="0"/>
                <w:color w:val="auto"/>
                <w:sz w:val="24"/>
                <w:szCs w:val="24"/>
                <w:highlight w:val="none"/>
                <w:u w:val="none"/>
                <w:vertAlign w:val="superscript"/>
                <w:lang w:val="en-US" w:eastAsia="zh-CN"/>
              </w:rPr>
              <w:t>3</w:t>
            </w:r>
            <w:r>
              <w:rPr>
                <w:rFonts w:hint="eastAsia" w:ascii="Times New Roman" w:hAnsi="Times New Roman" w:eastAsia="宋体" w:cs="Times New Roman"/>
                <w:b w:val="0"/>
                <w:bCs w:val="0"/>
                <w:color w:val="auto"/>
                <w:sz w:val="24"/>
                <w:szCs w:val="24"/>
                <w:highlight w:val="none"/>
                <w:u w:val="none"/>
                <w:lang w:val="en-US" w:eastAsia="zh-CN"/>
              </w:rPr>
              <w:t>的限值要求。</w:t>
            </w:r>
          </w:p>
          <w:bookmarkEnd w:id="19"/>
          <w:p w14:paraId="686B614C">
            <w:pPr>
              <w:spacing w:after="0" w:line="520" w:lineRule="exact"/>
              <w:ind w:firstLine="482" w:firstLineChars="200"/>
              <w:jc w:val="both"/>
              <w:rPr>
                <w:rFonts w:eastAsia="宋体"/>
                <w:b/>
                <w:bCs/>
                <w:color w:val="auto"/>
                <w:sz w:val="24"/>
                <w:szCs w:val="24"/>
              </w:rPr>
            </w:pPr>
            <w:r>
              <w:rPr>
                <w:rFonts w:hint="eastAsia" w:eastAsia="宋体"/>
                <w:b/>
                <w:bCs/>
                <w:color w:val="auto"/>
                <w:sz w:val="24"/>
                <w:szCs w:val="24"/>
              </w:rPr>
              <w:t>（</w:t>
            </w:r>
            <w:r>
              <w:rPr>
                <w:rFonts w:hint="eastAsia" w:eastAsia="宋体"/>
                <w:b/>
                <w:bCs/>
                <w:color w:val="auto"/>
                <w:sz w:val="24"/>
                <w:szCs w:val="24"/>
                <w:lang w:val="en-US" w:eastAsia="zh-CN"/>
              </w:rPr>
              <w:t>3</w:t>
            </w:r>
            <w:r>
              <w:rPr>
                <w:rFonts w:hint="eastAsia" w:eastAsia="宋体"/>
                <w:b/>
                <w:bCs/>
                <w:color w:val="auto"/>
                <w:sz w:val="24"/>
                <w:szCs w:val="24"/>
              </w:rPr>
              <w:t>）</w:t>
            </w:r>
            <w:r>
              <w:rPr>
                <w:rFonts w:eastAsia="宋体"/>
                <w:b/>
                <w:bCs/>
                <w:color w:val="auto"/>
                <w:sz w:val="24"/>
                <w:szCs w:val="24"/>
              </w:rPr>
              <w:t>噪声</w:t>
            </w:r>
            <w:bookmarkEnd w:id="15"/>
            <w:bookmarkEnd w:id="16"/>
          </w:p>
          <w:p w14:paraId="7A8080D0">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项目噪声监测结果见下表。</w:t>
            </w:r>
          </w:p>
          <w:p w14:paraId="2EDAB475">
            <w:pPr>
              <w:spacing w:after="0" w:line="520" w:lineRule="exact"/>
              <w:ind w:firstLine="480" w:firstLineChars="200"/>
              <w:jc w:val="both"/>
              <w:textAlignment w:val="baseline"/>
              <w:rPr>
                <w:rFonts w:eastAsia="黑体"/>
                <w:color w:val="auto"/>
                <w:sz w:val="24"/>
                <w:szCs w:val="21"/>
              </w:rPr>
            </w:pPr>
            <w:r>
              <w:rPr>
                <w:rFonts w:eastAsia="黑体"/>
                <w:color w:val="auto"/>
                <w:sz w:val="24"/>
                <w:szCs w:val="21"/>
              </w:rPr>
              <w:t>表</w:t>
            </w:r>
            <w:r>
              <w:rPr>
                <w:rFonts w:hint="eastAsia" w:eastAsia="黑体"/>
                <w:color w:val="auto"/>
                <w:sz w:val="24"/>
                <w:szCs w:val="21"/>
              </w:rPr>
              <w:t>19</w:t>
            </w:r>
            <w:r>
              <w:rPr>
                <w:rFonts w:eastAsia="黑体"/>
                <w:color w:val="auto"/>
                <w:sz w:val="24"/>
                <w:szCs w:val="21"/>
              </w:rPr>
              <w:t xml:space="preserve">                 噪声检测结果表</w:t>
            </w:r>
          </w:p>
          <w:tbl>
            <w:tblPr>
              <w:tblStyle w:val="18"/>
              <w:tblW w:w="511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2"/>
              <w:gridCol w:w="2478"/>
              <w:gridCol w:w="2177"/>
              <w:gridCol w:w="2180"/>
            </w:tblGrid>
            <w:tr w14:paraId="0C64F7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78" w:type="pct"/>
                  <w:vMerge w:val="restart"/>
                  <w:tcBorders>
                    <w:tl2br w:val="nil"/>
                    <w:tr2bl w:val="nil"/>
                  </w:tcBorders>
                  <w:noWrap w:val="0"/>
                  <w:vAlign w:val="center"/>
                </w:tcPr>
                <w:p w14:paraId="65E4B698">
                  <w:pPr>
                    <w:keepNext w:val="0"/>
                    <w:keepLines w:val="0"/>
                    <w:pageBreakBefore w:val="0"/>
                    <w:widowControl/>
                    <w:kinsoku/>
                    <w:wordWrap/>
                    <w:overflowPunct/>
                    <w:topLinePunct w:val="0"/>
                    <w:bidi w:val="0"/>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检测日期</w:t>
                  </w:r>
                </w:p>
              </w:tc>
              <w:tc>
                <w:tcPr>
                  <w:tcW w:w="1458" w:type="pct"/>
                  <w:vMerge w:val="restart"/>
                  <w:tcBorders>
                    <w:tl2br w:val="nil"/>
                    <w:tr2bl w:val="nil"/>
                  </w:tcBorders>
                  <w:noWrap w:val="0"/>
                  <w:vAlign w:val="center"/>
                </w:tcPr>
                <w:p w14:paraId="08ED019A">
                  <w:pPr>
                    <w:keepNext w:val="0"/>
                    <w:keepLines w:val="0"/>
                    <w:pageBreakBefore w:val="0"/>
                    <w:widowControl/>
                    <w:kinsoku/>
                    <w:wordWrap/>
                    <w:overflowPunct/>
                    <w:topLinePunct w:val="0"/>
                    <w:bidi w:val="0"/>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检测点位</w:t>
                  </w:r>
                </w:p>
              </w:tc>
              <w:tc>
                <w:tcPr>
                  <w:tcW w:w="2563" w:type="pct"/>
                  <w:gridSpan w:val="2"/>
                  <w:tcBorders>
                    <w:tl2br w:val="nil"/>
                    <w:tr2bl w:val="nil"/>
                  </w:tcBorders>
                  <w:noWrap w:val="0"/>
                  <w:vAlign w:val="center"/>
                </w:tcPr>
                <w:p w14:paraId="71BC0227">
                  <w:pPr>
                    <w:keepNext w:val="0"/>
                    <w:keepLines w:val="0"/>
                    <w:pageBreakBefore w:val="0"/>
                    <w:widowControl/>
                    <w:kinsoku/>
                    <w:wordWrap/>
                    <w:overflowPunct/>
                    <w:topLinePunct w:val="0"/>
                    <w:bidi w:val="0"/>
                    <w:spacing w:after="0" w:line="240" w:lineRule="auto"/>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等效连续A声级dB（A）</w:t>
                  </w:r>
                </w:p>
              </w:tc>
            </w:tr>
            <w:tr w14:paraId="1B13C5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pct"/>
                  <w:vMerge w:val="continue"/>
                  <w:tcBorders>
                    <w:tl2br w:val="nil"/>
                    <w:tr2bl w:val="nil"/>
                  </w:tcBorders>
                  <w:noWrap w:val="0"/>
                  <w:vAlign w:val="center"/>
                </w:tcPr>
                <w:p w14:paraId="5BD65422">
                  <w:pPr>
                    <w:keepNext w:val="0"/>
                    <w:keepLines w:val="0"/>
                    <w:pageBreakBefore w:val="0"/>
                    <w:widowControl/>
                    <w:kinsoku/>
                    <w:wordWrap/>
                    <w:overflowPunct/>
                    <w:topLinePunct w:val="0"/>
                    <w:bidi w:val="0"/>
                    <w:spacing w:after="0" w:line="240" w:lineRule="auto"/>
                    <w:jc w:val="center"/>
                    <w:textAlignment w:val="center"/>
                    <w:rPr>
                      <w:rFonts w:hint="default" w:ascii="Times New Roman" w:hAnsi="Times New Roman" w:eastAsia="宋体" w:cs="Times New Roman"/>
                      <w:b/>
                      <w:bCs/>
                      <w:color w:val="auto"/>
                      <w:sz w:val="21"/>
                      <w:szCs w:val="21"/>
                      <w:lang w:val="en-US" w:eastAsia="zh-CN"/>
                    </w:rPr>
                  </w:pPr>
                </w:p>
              </w:tc>
              <w:tc>
                <w:tcPr>
                  <w:tcW w:w="1458" w:type="pct"/>
                  <w:vMerge w:val="continue"/>
                  <w:tcBorders>
                    <w:tl2br w:val="nil"/>
                    <w:tr2bl w:val="nil"/>
                  </w:tcBorders>
                  <w:noWrap w:val="0"/>
                  <w:vAlign w:val="center"/>
                </w:tcPr>
                <w:p w14:paraId="10E4691E">
                  <w:pPr>
                    <w:keepNext w:val="0"/>
                    <w:keepLines w:val="0"/>
                    <w:pageBreakBefore w:val="0"/>
                    <w:widowControl/>
                    <w:kinsoku/>
                    <w:wordWrap/>
                    <w:overflowPunct/>
                    <w:topLinePunct w:val="0"/>
                    <w:bidi w:val="0"/>
                    <w:spacing w:after="0" w:line="240" w:lineRule="auto"/>
                    <w:jc w:val="center"/>
                    <w:textAlignment w:val="center"/>
                    <w:rPr>
                      <w:rFonts w:hint="default" w:ascii="Times New Roman" w:hAnsi="Times New Roman" w:eastAsia="宋体" w:cs="Times New Roman"/>
                      <w:b/>
                      <w:bCs/>
                      <w:color w:val="auto"/>
                      <w:sz w:val="21"/>
                      <w:szCs w:val="21"/>
                      <w:lang w:val="en-US" w:eastAsia="zh-CN"/>
                    </w:rPr>
                  </w:pPr>
                </w:p>
              </w:tc>
              <w:tc>
                <w:tcPr>
                  <w:tcW w:w="1281" w:type="pct"/>
                  <w:tcBorders>
                    <w:tl2br w:val="nil"/>
                    <w:tr2bl w:val="nil"/>
                  </w:tcBorders>
                  <w:noWrap w:val="0"/>
                  <w:vAlign w:val="center"/>
                </w:tcPr>
                <w:p w14:paraId="6F0BDBC0">
                  <w:pPr>
                    <w:keepNext w:val="0"/>
                    <w:keepLines w:val="0"/>
                    <w:pageBreakBefore w:val="0"/>
                    <w:widowControl/>
                    <w:kinsoku/>
                    <w:wordWrap/>
                    <w:overflowPunct/>
                    <w:topLinePunct w:val="0"/>
                    <w:bidi w:val="0"/>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昼间</w:t>
                  </w:r>
                </w:p>
              </w:tc>
              <w:tc>
                <w:tcPr>
                  <w:tcW w:w="1281" w:type="pct"/>
                  <w:tcBorders>
                    <w:tl2br w:val="nil"/>
                    <w:tr2bl w:val="nil"/>
                  </w:tcBorders>
                  <w:noWrap w:val="0"/>
                  <w:vAlign w:val="center"/>
                </w:tcPr>
                <w:p w14:paraId="6CEEDBF9">
                  <w:pPr>
                    <w:keepNext w:val="0"/>
                    <w:keepLines w:val="0"/>
                    <w:pageBreakBefore w:val="0"/>
                    <w:widowControl/>
                    <w:kinsoku/>
                    <w:wordWrap/>
                    <w:overflowPunct/>
                    <w:topLinePunct w:val="0"/>
                    <w:bidi w:val="0"/>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夜间</w:t>
                  </w:r>
                </w:p>
              </w:tc>
            </w:tr>
            <w:tr w14:paraId="686A57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78" w:type="pct"/>
                  <w:vMerge w:val="restart"/>
                  <w:tcBorders>
                    <w:tl2br w:val="nil"/>
                    <w:tr2bl w:val="nil"/>
                  </w:tcBorders>
                  <w:noWrap w:val="0"/>
                  <w:vAlign w:val="center"/>
                </w:tcPr>
                <w:p w14:paraId="2A08BDB8">
                  <w:pPr>
                    <w:pStyle w:val="49"/>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spacing w:val="0"/>
                      <w:sz w:val="21"/>
                      <w:szCs w:val="21"/>
                      <w:lang w:val="en-US" w:eastAsia="zh-CN"/>
                    </w:rPr>
                  </w:pPr>
                  <w:r>
                    <w:rPr>
                      <w:rFonts w:hint="default" w:ascii="Times New Roman" w:hAnsi="Times New Roman" w:cs="Times New Roman"/>
                      <w:color w:val="auto"/>
                      <w:spacing w:val="0"/>
                      <w:sz w:val="21"/>
                      <w:szCs w:val="21"/>
                      <w:lang w:val="en-US" w:eastAsia="zh-CN"/>
                    </w:rPr>
                    <w:t>2026-05-22</w:t>
                  </w:r>
                </w:p>
              </w:tc>
              <w:tc>
                <w:tcPr>
                  <w:tcW w:w="1458" w:type="pct"/>
                  <w:tcBorders>
                    <w:tl2br w:val="nil"/>
                    <w:tr2bl w:val="nil"/>
                  </w:tcBorders>
                  <w:noWrap w:val="0"/>
                  <w:vAlign w:val="center"/>
                </w:tcPr>
                <w:p w14:paraId="3E0D0D00">
                  <w:pPr>
                    <w:keepNext w:val="0"/>
                    <w:keepLines w:val="0"/>
                    <w:pageBreakBefore w:val="0"/>
                    <w:widowControl/>
                    <w:kinsoku/>
                    <w:wordWrap/>
                    <w:overflowPunct/>
                    <w:topLinePunct w:val="0"/>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东厂界外1m</w:t>
                  </w:r>
                </w:p>
              </w:tc>
              <w:tc>
                <w:tcPr>
                  <w:tcW w:w="1281" w:type="pct"/>
                  <w:tcBorders>
                    <w:tl2br w:val="nil"/>
                    <w:tr2bl w:val="nil"/>
                  </w:tcBorders>
                  <w:noWrap w:val="0"/>
                  <w:vAlign w:val="center"/>
                </w:tcPr>
                <w:p w14:paraId="6DD2C429">
                  <w:pPr>
                    <w:keepNext w:val="0"/>
                    <w:keepLines w:val="0"/>
                    <w:pageBreakBefore w:val="0"/>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w:t>
                  </w:r>
                </w:p>
              </w:tc>
              <w:tc>
                <w:tcPr>
                  <w:tcW w:w="1281" w:type="pct"/>
                  <w:tcBorders>
                    <w:tl2br w:val="nil"/>
                    <w:tr2bl w:val="nil"/>
                  </w:tcBorders>
                  <w:noWrap w:val="0"/>
                  <w:vAlign w:val="center"/>
                </w:tcPr>
                <w:p w14:paraId="20018780">
                  <w:pPr>
                    <w:keepNext w:val="0"/>
                    <w:keepLines w:val="0"/>
                    <w:pageBreakBefore w:val="0"/>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w:t>
                  </w:r>
                </w:p>
              </w:tc>
            </w:tr>
            <w:tr w14:paraId="4160F0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78" w:type="pct"/>
                  <w:vMerge w:val="continue"/>
                  <w:tcBorders>
                    <w:tl2br w:val="nil"/>
                    <w:tr2bl w:val="nil"/>
                  </w:tcBorders>
                  <w:noWrap w:val="0"/>
                  <w:vAlign w:val="center"/>
                </w:tcPr>
                <w:p w14:paraId="6468069D">
                  <w:pPr>
                    <w:pStyle w:val="49"/>
                    <w:keepNext w:val="0"/>
                    <w:keepLines w:val="0"/>
                    <w:pageBreakBefore w:val="0"/>
                    <w:kinsoku/>
                    <w:wordWrap/>
                    <w:overflowPunct/>
                    <w:topLinePunct w:val="0"/>
                    <w:autoSpaceDE/>
                    <w:autoSpaceDN/>
                    <w:bidi w:val="0"/>
                    <w:snapToGrid/>
                    <w:spacing w:after="0" w:line="240" w:lineRule="auto"/>
                    <w:rPr>
                      <w:rFonts w:hint="default" w:ascii="Times New Roman" w:hAnsi="Times New Roman" w:cs="Times New Roman"/>
                      <w:color w:val="auto"/>
                      <w:spacing w:val="0"/>
                      <w:sz w:val="21"/>
                      <w:szCs w:val="21"/>
                      <w:lang w:val="en-US" w:eastAsia="zh-CN"/>
                    </w:rPr>
                  </w:pPr>
                </w:p>
              </w:tc>
              <w:tc>
                <w:tcPr>
                  <w:tcW w:w="1458" w:type="pct"/>
                  <w:tcBorders>
                    <w:tl2br w:val="nil"/>
                    <w:tr2bl w:val="nil"/>
                  </w:tcBorders>
                  <w:noWrap w:val="0"/>
                  <w:vAlign w:val="center"/>
                </w:tcPr>
                <w:p w14:paraId="7D9D6D89">
                  <w:pPr>
                    <w:keepNext w:val="0"/>
                    <w:keepLines w:val="0"/>
                    <w:pageBreakBefore w:val="0"/>
                    <w:widowControl/>
                    <w:kinsoku/>
                    <w:wordWrap/>
                    <w:overflowPunct/>
                    <w:topLinePunct w:val="0"/>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南厂界外1m</w:t>
                  </w:r>
                </w:p>
              </w:tc>
              <w:tc>
                <w:tcPr>
                  <w:tcW w:w="1281" w:type="pct"/>
                  <w:tcBorders>
                    <w:tl2br w:val="nil"/>
                    <w:tr2bl w:val="nil"/>
                  </w:tcBorders>
                  <w:noWrap w:val="0"/>
                  <w:vAlign w:val="center"/>
                </w:tcPr>
                <w:p w14:paraId="38909D0B">
                  <w:pPr>
                    <w:keepNext w:val="0"/>
                    <w:keepLines w:val="0"/>
                    <w:pageBreakBefore w:val="0"/>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52</w:t>
                  </w:r>
                </w:p>
              </w:tc>
              <w:tc>
                <w:tcPr>
                  <w:tcW w:w="1281" w:type="pct"/>
                  <w:tcBorders>
                    <w:tl2br w:val="nil"/>
                    <w:tr2bl w:val="nil"/>
                  </w:tcBorders>
                  <w:noWrap w:val="0"/>
                  <w:vAlign w:val="center"/>
                </w:tcPr>
                <w:p w14:paraId="5E6D6050">
                  <w:pPr>
                    <w:keepNext w:val="0"/>
                    <w:keepLines w:val="0"/>
                    <w:pageBreakBefore w:val="0"/>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41</w:t>
                  </w:r>
                </w:p>
              </w:tc>
            </w:tr>
            <w:tr w14:paraId="3F43B6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78" w:type="pct"/>
                  <w:vMerge w:val="continue"/>
                  <w:tcBorders>
                    <w:tl2br w:val="nil"/>
                    <w:tr2bl w:val="nil"/>
                  </w:tcBorders>
                  <w:noWrap w:val="0"/>
                  <w:vAlign w:val="center"/>
                </w:tcPr>
                <w:p w14:paraId="3EF9D935">
                  <w:pPr>
                    <w:pStyle w:val="49"/>
                    <w:keepNext w:val="0"/>
                    <w:keepLines w:val="0"/>
                    <w:pageBreakBefore w:val="0"/>
                    <w:kinsoku/>
                    <w:wordWrap/>
                    <w:overflowPunct/>
                    <w:topLinePunct w:val="0"/>
                    <w:autoSpaceDE/>
                    <w:autoSpaceDN/>
                    <w:bidi w:val="0"/>
                    <w:snapToGrid/>
                    <w:spacing w:after="0" w:line="240" w:lineRule="auto"/>
                    <w:rPr>
                      <w:rFonts w:hint="default" w:ascii="Times New Roman" w:hAnsi="Times New Roman" w:cs="Times New Roman"/>
                      <w:color w:val="auto"/>
                      <w:spacing w:val="0"/>
                      <w:sz w:val="21"/>
                      <w:szCs w:val="21"/>
                      <w:lang w:val="en-US" w:eastAsia="zh-CN"/>
                    </w:rPr>
                  </w:pPr>
                </w:p>
              </w:tc>
              <w:tc>
                <w:tcPr>
                  <w:tcW w:w="1458" w:type="pct"/>
                  <w:tcBorders>
                    <w:tl2br w:val="nil"/>
                    <w:tr2bl w:val="nil"/>
                  </w:tcBorders>
                  <w:noWrap w:val="0"/>
                  <w:vAlign w:val="center"/>
                </w:tcPr>
                <w:p w14:paraId="14BE987E">
                  <w:pPr>
                    <w:keepNext w:val="0"/>
                    <w:keepLines w:val="0"/>
                    <w:pageBreakBefore w:val="0"/>
                    <w:widowControl/>
                    <w:kinsoku/>
                    <w:wordWrap/>
                    <w:overflowPunct/>
                    <w:topLinePunct w:val="0"/>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西厂界外1m</w:t>
                  </w:r>
                </w:p>
              </w:tc>
              <w:tc>
                <w:tcPr>
                  <w:tcW w:w="1281" w:type="pct"/>
                  <w:tcBorders>
                    <w:tl2br w:val="nil"/>
                    <w:tr2bl w:val="nil"/>
                  </w:tcBorders>
                  <w:noWrap w:val="0"/>
                  <w:vAlign w:val="center"/>
                </w:tcPr>
                <w:p w14:paraId="2D8F5031">
                  <w:pPr>
                    <w:keepNext w:val="0"/>
                    <w:keepLines w:val="0"/>
                    <w:pageBreakBefore w:val="0"/>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w:t>
                  </w:r>
                </w:p>
              </w:tc>
              <w:tc>
                <w:tcPr>
                  <w:tcW w:w="1281" w:type="pct"/>
                  <w:tcBorders>
                    <w:tl2br w:val="nil"/>
                    <w:tr2bl w:val="nil"/>
                  </w:tcBorders>
                  <w:noWrap w:val="0"/>
                  <w:vAlign w:val="center"/>
                </w:tcPr>
                <w:p w14:paraId="6C888831">
                  <w:pPr>
                    <w:keepNext w:val="0"/>
                    <w:keepLines w:val="0"/>
                    <w:pageBreakBefore w:val="0"/>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w:t>
                  </w:r>
                </w:p>
              </w:tc>
            </w:tr>
            <w:tr w14:paraId="15FB50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78" w:type="pct"/>
                  <w:vMerge w:val="continue"/>
                  <w:tcBorders>
                    <w:tl2br w:val="nil"/>
                    <w:tr2bl w:val="nil"/>
                  </w:tcBorders>
                  <w:noWrap w:val="0"/>
                  <w:vAlign w:val="center"/>
                </w:tcPr>
                <w:p w14:paraId="5E96A5D6">
                  <w:pPr>
                    <w:pStyle w:val="49"/>
                    <w:keepNext w:val="0"/>
                    <w:keepLines w:val="0"/>
                    <w:pageBreakBefore w:val="0"/>
                    <w:kinsoku/>
                    <w:wordWrap/>
                    <w:overflowPunct/>
                    <w:topLinePunct w:val="0"/>
                    <w:autoSpaceDE/>
                    <w:autoSpaceDN/>
                    <w:bidi w:val="0"/>
                    <w:snapToGrid/>
                    <w:spacing w:after="0" w:line="240" w:lineRule="auto"/>
                    <w:rPr>
                      <w:rFonts w:hint="default" w:ascii="Times New Roman" w:hAnsi="Times New Roman" w:cs="Times New Roman"/>
                      <w:color w:val="auto"/>
                      <w:spacing w:val="0"/>
                      <w:sz w:val="21"/>
                      <w:szCs w:val="21"/>
                      <w:lang w:val="en-US" w:eastAsia="zh-CN"/>
                    </w:rPr>
                  </w:pPr>
                </w:p>
              </w:tc>
              <w:tc>
                <w:tcPr>
                  <w:tcW w:w="1458" w:type="pct"/>
                  <w:tcBorders>
                    <w:tl2br w:val="nil"/>
                    <w:tr2bl w:val="nil"/>
                  </w:tcBorders>
                  <w:noWrap w:val="0"/>
                  <w:vAlign w:val="center"/>
                </w:tcPr>
                <w:p w14:paraId="048326D5">
                  <w:pPr>
                    <w:keepNext w:val="0"/>
                    <w:keepLines w:val="0"/>
                    <w:pageBreakBefore w:val="0"/>
                    <w:widowControl/>
                    <w:kinsoku/>
                    <w:wordWrap/>
                    <w:overflowPunct/>
                    <w:topLinePunct w:val="0"/>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北厂界外1m</w:t>
                  </w:r>
                </w:p>
              </w:tc>
              <w:tc>
                <w:tcPr>
                  <w:tcW w:w="1281" w:type="pct"/>
                  <w:tcBorders>
                    <w:tl2br w:val="nil"/>
                    <w:tr2bl w:val="nil"/>
                  </w:tcBorders>
                  <w:noWrap w:val="0"/>
                  <w:vAlign w:val="center"/>
                </w:tcPr>
                <w:p w14:paraId="52BB83F3">
                  <w:pPr>
                    <w:keepNext w:val="0"/>
                    <w:keepLines w:val="0"/>
                    <w:pageBreakBefore w:val="0"/>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w:t>
                  </w:r>
                </w:p>
              </w:tc>
              <w:tc>
                <w:tcPr>
                  <w:tcW w:w="1281" w:type="pct"/>
                  <w:tcBorders>
                    <w:tl2br w:val="nil"/>
                    <w:tr2bl w:val="nil"/>
                  </w:tcBorders>
                  <w:noWrap w:val="0"/>
                  <w:vAlign w:val="center"/>
                </w:tcPr>
                <w:p w14:paraId="69F57F85">
                  <w:pPr>
                    <w:keepNext w:val="0"/>
                    <w:keepLines w:val="0"/>
                    <w:pageBreakBefore w:val="0"/>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w:t>
                  </w:r>
                </w:p>
              </w:tc>
            </w:tr>
            <w:tr w14:paraId="56F582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78" w:type="pct"/>
                  <w:vMerge w:val="restart"/>
                  <w:tcBorders>
                    <w:tl2br w:val="nil"/>
                    <w:tr2bl w:val="nil"/>
                  </w:tcBorders>
                  <w:noWrap w:val="0"/>
                  <w:vAlign w:val="center"/>
                </w:tcPr>
                <w:p w14:paraId="1AA0DA66">
                  <w:pPr>
                    <w:pStyle w:val="49"/>
                    <w:keepNext w:val="0"/>
                    <w:keepLines w:val="0"/>
                    <w:pageBreakBefore w:val="0"/>
                    <w:kinsoku/>
                    <w:wordWrap/>
                    <w:overflowPunct/>
                    <w:topLinePunct w:val="0"/>
                    <w:autoSpaceDE/>
                    <w:autoSpaceDN/>
                    <w:bidi w:val="0"/>
                    <w:spacing w:after="0" w:line="240" w:lineRule="auto"/>
                    <w:rPr>
                      <w:rFonts w:hint="default" w:ascii="Times New Roman" w:hAnsi="Times New Roman" w:eastAsia="宋体" w:cs="Times New Roman"/>
                      <w:color w:val="auto"/>
                      <w:spacing w:val="0"/>
                      <w:sz w:val="21"/>
                      <w:szCs w:val="21"/>
                      <w:lang w:val="en-US" w:eastAsia="zh-CN"/>
                    </w:rPr>
                  </w:pPr>
                  <w:r>
                    <w:rPr>
                      <w:rFonts w:hint="default" w:ascii="Times New Roman" w:hAnsi="Times New Roman" w:cs="Times New Roman"/>
                      <w:color w:val="auto"/>
                      <w:spacing w:val="0"/>
                      <w:sz w:val="21"/>
                      <w:szCs w:val="21"/>
                      <w:lang w:val="en-US" w:eastAsia="zh-CN"/>
                    </w:rPr>
                    <w:t>2026-05-23</w:t>
                  </w:r>
                </w:p>
              </w:tc>
              <w:tc>
                <w:tcPr>
                  <w:tcW w:w="1458" w:type="pct"/>
                  <w:tcBorders>
                    <w:tl2br w:val="nil"/>
                    <w:tr2bl w:val="nil"/>
                  </w:tcBorders>
                  <w:noWrap w:val="0"/>
                  <w:vAlign w:val="center"/>
                </w:tcPr>
                <w:p w14:paraId="0FFBD84D">
                  <w:pPr>
                    <w:keepNext w:val="0"/>
                    <w:keepLines w:val="0"/>
                    <w:pageBreakBefore w:val="0"/>
                    <w:widowControl/>
                    <w:kinsoku/>
                    <w:wordWrap/>
                    <w:overflowPunct/>
                    <w:topLinePunct w:val="0"/>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东厂界外1m</w:t>
                  </w:r>
                </w:p>
              </w:tc>
              <w:tc>
                <w:tcPr>
                  <w:tcW w:w="1281" w:type="pct"/>
                  <w:tcBorders>
                    <w:tl2br w:val="nil"/>
                    <w:tr2bl w:val="nil"/>
                  </w:tcBorders>
                  <w:noWrap w:val="0"/>
                  <w:vAlign w:val="center"/>
                </w:tcPr>
                <w:p w14:paraId="5389DB8E">
                  <w:pPr>
                    <w:keepNext w:val="0"/>
                    <w:keepLines w:val="0"/>
                    <w:pageBreakBefore w:val="0"/>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w:t>
                  </w:r>
                </w:p>
              </w:tc>
              <w:tc>
                <w:tcPr>
                  <w:tcW w:w="1281" w:type="pct"/>
                  <w:tcBorders>
                    <w:tl2br w:val="nil"/>
                    <w:tr2bl w:val="nil"/>
                  </w:tcBorders>
                  <w:noWrap w:val="0"/>
                  <w:vAlign w:val="center"/>
                </w:tcPr>
                <w:p w14:paraId="4231F215">
                  <w:pPr>
                    <w:keepNext w:val="0"/>
                    <w:keepLines w:val="0"/>
                    <w:pageBreakBefore w:val="0"/>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w:t>
                  </w:r>
                </w:p>
              </w:tc>
            </w:tr>
            <w:tr w14:paraId="57B687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78" w:type="pct"/>
                  <w:vMerge w:val="continue"/>
                  <w:tcBorders>
                    <w:tl2br w:val="nil"/>
                    <w:tr2bl w:val="nil"/>
                  </w:tcBorders>
                  <w:noWrap w:val="0"/>
                  <w:vAlign w:val="center"/>
                </w:tcPr>
                <w:p w14:paraId="0F75462A">
                  <w:pPr>
                    <w:pStyle w:val="49"/>
                    <w:keepNext w:val="0"/>
                    <w:keepLines w:val="0"/>
                    <w:pageBreakBefore w:val="0"/>
                    <w:kinsoku/>
                    <w:wordWrap/>
                    <w:overflowPunct/>
                    <w:topLinePunct w:val="0"/>
                    <w:autoSpaceDE/>
                    <w:autoSpaceDN/>
                    <w:bidi w:val="0"/>
                    <w:snapToGrid/>
                    <w:spacing w:after="0" w:line="240" w:lineRule="auto"/>
                    <w:rPr>
                      <w:rFonts w:hint="default" w:ascii="Times New Roman" w:hAnsi="Times New Roman" w:cs="Times New Roman"/>
                      <w:color w:val="auto"/>
                      <w:spacing w:val="-11"/>
                      <w:sz w:val="21"/>
                      <w:szCs w:val="21"/>
                      <w:lang w:val="en-US" w:eastAsia="zh-CN"/>
                    </w:rPr>
                  </w:pPr>
                </w:p>
              </w:tc>
              <w:tc>
                <w:tcPr>
                  <w:tcW w:w="1458" w:type="pct"/>
                  <w:tcBorders>
                    <w:tl2br w:val="nil"/>
                    <w:tr2bl w:val="nil"/>
                  </w:tcBorders>
                  <w:noWrap w:val="0"/>
                  <w:vAlign w:val="center"/>
                </w:tcPr>
                <w:p w14:paraId="69E834D7">
                  <w:pPr>
                    <w:keepNext w:val="0"/>
                    <w:keepLines w:val="0"/>
                    <w:pageBreakBefore w:val="0"/>
                    <w:widowControl/>
                    <w:kinsoku/>
                    <w:wordWrap/>
                    <w:overflowPunct/>
                    <w:topLinePunct w:val="0"/>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南厂界外1m</w:t>
                  </w:r>
                </w:p>
              </w:tc>
              <w:tc>
                <w:tcPr>
                  <w:tcW w:w="1281" w:type="pct"/>
                  <w:tcBorders>
                    <w:tl2br w:val="nil"/>
                    <w:tr2bl w:val="nil"/>
                  </w:tcBorders>
                  <w:noWrap w:val="0"/>
                  <w:vAlign w:val="center"/>
                </w:tcPr>
                <w:p w14:paraId="300CF80C">
                  <w:pPr>
                    <w:keepNext w:val="0"/>
                    <w:keepLines w:val="0"/>
                    <w:pageBreakBefore w:val="0"/>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52</w:t>
                  </w:r>
                </w:p>
              </w:tc>
              <w:tc>
                <w:tcPr>
                  <w:tcW w:w="1281" w:type="pct"/>
                  <w:tcBorders>
                    <w:tl2br w:val="nil"/>
                    <w:tr2bl w:val="nil"/>
                  </w:tcBorders>
                  <w:noWrap w:val="0"/>
                  <w:vAlign w:val="center"/>
                </w:tcPr>
                <w:p w14:paraId="34F092B5">
                  <w:pPr>
                    <w:keepNext w:val="0"/>
                    <w:keepLines w:val="0"/>
                    <w:pageBreakBefore w:val="0"/>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41</w:t>
                  </w:r>
                </w:p>
              </w:tc>
            </w:tr>
            <w:tr w14:paraId="76156E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78" w:type="pct"/>
                  <w:vMerge w:val="continue"/>
                  <w:tcBorders>
                    <w:tl2br w:val="nil"/>
                    <w:tr2bl w:val="nil"/>
                  </w:tcBorders>
                  <w:noWrap w:val="0"/>
                  <w:vAlign w:val="center"/>
                </w:tcPr>
                <w:p w14:paraId="4A957546">
                  <w:pPr>
                    <w:pStyle w:val="49"/>
                    <w:keepNext w:val="0"/>
                    <w:keepLines w:val="0"/>
                    <w:pageBreakBefore w:val="0"/>
                    <w:kinsoku/>
                    <w:wordWrap/>
                    <w:overflowPunct/>
                    <w:topLinePunct w:val="0"/>
                    <w:autoSpaceDE/>
                    <w:autoSpaceDN/>
                    <w:bidi w:val="0"/>
                    <w:snapToGrid/>
                    <w:spacing w:after="0" w:line="240" w:lineRule="auto"/>
                    <w:rPr>
                      <w:rFonts w:hint="default" w:ascii="Times New Roman" w:hAnsi="Times New Roman" w:cs="Times New Roman"/>
                      <w:color w:val="auto"/>
                      <w:spacing w:val="-11"/>
                      <w:sz w:val="21"/>
                      <w:szCs w:val="21"/>
                      <w:lang w:val="en-US" w:eastAsia="zh-CN"/>
                    </w:rPr>
                  </w:pPr>
                </w:p>
              </w:tc>
              <w:tc>
                <w:tcPr>
                  <w:tcW w:w="1458" w:type="pct"/>
                  <w:tcBorders>
                    <w:tl2br w:val="nil"/>
                    <w:tr2bl w:val="nil"/>
                  </w:tcBorders>
                  <w:noWrap w:val="0"/>
                  <w:vAlign w:val="center"/>
                </w:tcPr>
                <w:p w14:paraId="16EB15BA">
                  <w:pPr>
                    <w:keepNext w:val="0"/>
                    <w:keepLines w:val="0"/>
                    <w:pageBreakBefore w:val="0"/>
                    <w:widowControl/>
                    <w:kinsoku/>
                    <w:wordWrap/>
                    <w:overflowPunct/>
                    <w:topLinePunct w:val="0"/>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西厂界外1m</w:t>
                  </w:r>
                </w:p>
              </w:tc>
              <w:tc>
                <w:tcPr>
                  <w:tcW w:w="1281" w:type="pct"/>
                  <w:tcBorders>
                    <w:tl2br w:val="nil"/>
                    <w:tr2bl w:val="nil"/>
                  </w:tcBorders>
                  <w:noWrap w:val="0"/>
                  <w:vAlign w:val="center"/>
                </w:tcPr>
                <w:p w14:paraId="73ECB823">
                  <w:pPr>
                    <w:keepNext w:val="0"/>
                    <w:keepLines w:val="0"/>
                    <w:pageBreakBefore w:val="0"/>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w:t>
                  </w:r>
                </w:p>
              </w:tc>
              <w:tc>
                <w:tcPr>
                  <w:tcW w:w="1281" w:type="pct"/>
                  <w:tcBorders>
                    <w:tl2br w:val="nil"/>
                    <w:tr2bl w:val="nil"/>
                  </w:tcBorders>
                  <w:noWrap w:val="0"/>
                  <w:vAlign w:val="center"/>
                </w:tcPr>
                <w:p w14:paraId="0A9880F2">
                  <w:pPr>
                    <w:keepNext w:val="0"/>
                    <w:keepLines w:val="0"/>
                    <w:pageBreakBefore w:val="0"/>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w:t>
                  </w:r>
                </w:p>
              </w:tc>
            </w:tr>
            <w:tr w14:paraId="6E4334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78" w:type="pct"/>
                  <w:vMerge w:val="continue"/>
                  <w:tcBorders>
                    <w:tl2br w:val="nil"/>
                    <w:tr2bl w:val="nil"/>
                  </w:tcBorders>
                  <w:noWrap w:val="0"/>
                  <w:vAlign w:val="center"/>
                </w:tcPr>
                <w:p w14:paraId="0ECE5987">
                  <w:pPr>
                    <w:pStyle w:val="49"/>
                    <w:keepNext w:val="0"/>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auto"/>
                      <w:sz w:val="21"/>
                      <w:szCs w:val="21"/>
                      <w:lang w:val="en-US" w:eastAsia="zh-CN"/>
                    </w:rPr>
                  </w:pPr>
                </w:p>
              </w:tc>
              <w:tc>
                <w:tcPr>
                  <w:tcW w:w="1458" w:type="pct"/>
                  <w:tcBorders>
                    <w:tl2br w:val="nil"/>
                    <w:tr2bl w:val="nil"/>
                  </w:tcBorders>
                  <w:noWrap w:val="0"/>
                  <w:vAlign w:val="center"/>
                </w:tcPr>
                <w:p w14:paraId="1E3AF62B">
                  <w:pPr>
                    <w:keepNext w:val="0"/>
                    <w:keepLines w:val="0"/>
                    <w:pageBreakBefore w:val="0"/>
                    <w:widowControl/>
                    <w:kinsoku/>
                    <w:wordWrap/>
                    <w:overflowPunct/>
                    <w:topLinePunct w:val="0"/>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北厂界外1m</w:t>
                  </w:r>
                </w:p>
              </w:tc>
              <w:tc>
                <w:tcPr>
                  <w:tcW w:w="1281" w:type="pct"/>
                  <w:tcBorders>
                    <w:tl2br w:val="nil"/>
                    <w:tr2bl w:val="nil"/>
                  </w:tcBorders>
                  <w:noWrap w:val="0"/>
                  <w:vAlign w:val="center"/>
                </w:tcPr>
                <w:p w14:paraId="6377C816">
                  <w:pPr>
                    <w:keepNext w:val="0"/>
                    <w:keepLines w:val="0"/>
                    <w:pageBreakBefore w:val="0"/>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w:t>
                  </w:r>
                </w:p>
              </w:tc>
              <w:tc>
                <w:tcPr>
                  <w:tcW w:w="1281" w:type="pct"/>
                  <w:tcBorders>
                    <w:tl2br w:val="nil"/>
                    <w:tr2bl w:val="nil"/>
                  </w:tcBorders>
                  <w:noWrap w:val="0"/>
                  <w:vAlign w:val="center"/>
                </w:tcPr>
                <w:p w14:paraId="7C0D487B">
                  <w:pPr>
                    <w:keepNext w:val="0"/>
                    <w:keepLines w:val="0"/>
                    <w:pageBreakBefore w:val="0"/>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w:t>
                  </w:r>
                </w:p>
              </w:tc>
            </w:tr>
            <w:tr w14:paraId="2BA4D9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36" w:type="pct"/>
                  <w:gridSpan w:val="2"/>
                  <w:tcBorders>
                    <w:tl2br w:val="nil"/>
                    <w:tr2bl w:val="nil"/>
                  </w:tcBorders>
                  <w:noWrap w:val="0"/>
                  <w:vAlign w:val="center"/>
                </w:tcPr>
                <w:p w14:paraId="71C9B9E9">
                  <w:pPr>
                    <w:keepNext w:val="0"/>
                    <w:keepLines w:val="0"/>
                    <w:pageBreakBefore w:val="0"/>
                    <w:widowControl/>
                    <w:kinsoku/>
                    <w:wordWrap/>
                    <w:overflowPunct/>
                    <w:topLinePunct w:val="0"/>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排放标准</w:t>
                  </w:r>
                </w:p>
              </w:tc>
              <w:tc>
                <w:tcPr>
                  <w:tcW w:w="1281" w:type="pct"/>
                  <w:tcBorders>
                    <w:tl2br w:val="nil"/>
                    <w:tr2bl w:val="nil"/>
                  </w:tcBorders>
                  <w:noWrap w:val="0"/>
                  <w:vAlign w:val="center"/>
                </w:tcPr>
                <w:p w14:paraId="7EA9C9CD">
                  <w:pPr>
                    <w:keepNext w:val="0"/>
                    <w:keepLines w:val="0"/>
                    <w:pageBreakBefore w:val="0"/>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60</w:t>
                  </w:r>
                </w:p>
              </w:tc>
              <w:tc>
                <w:tcPr>
                  <w:tcW w:w="1281" w:type="pct"/>
                  <w:tcBorders>
                    <w:tl2br w:val="nil"/>
                    <w:tr2bl w:val="nil"/>
                  </w:tcBorders>
                  <w:noWrap w:val="0"/>
                  <w:vAlign w:val="center"/>
                </w:tcPr>
                <w:p w14:paraId="1B201EAE">
                  <w:pPr>
                    <w:keepNext w:val="0"/>
                    <w:keepLines w:val="0"/>
                    <w:pageBreakBefore w:val="0"/>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r>
            <w:tr w14:paraId="48B854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36" w:type="pct"/>
                  <w:gridSpan w:val="2"/>
                  <w:tcBorders>
                    <w:tl2br w:val="nil"/>
                    <w:tr2bl w:val="nil"/>
                  </w:tcBorders>
                  <w:noWrap w:val="0"/>
                  <w:vAlign w:val="center"/>
                </w:tcPr>
                <w:p w14:paraId="1C869CB5">
                  <w:pPr>
                    <w:keepNext w:val="0"/>
                    <w:keepLines w:val="0"/>
                    <w:pageBreakBefore w:val="0"/>
                    <w:widowControl/>
                    <w:kinsoku/>
                    <w:wordWrap/>
                    <w:overflowPunct/>
                    <w:topLinePunct w:val="0"/>
                    <w:bidi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单项判定</w:t>
                  </w:r>
                </w:p>
              </w:tc>
              <w:tc>
                <w:tcPr>
                  <w:tcW w:w="1281" w:type="pct"/>
                  <w:tcBorders>
                    <w:tl2br w:val="nil"/>
                    <w:tr2bl w:val="nil"/>
                  </w:tcBorders>
                  <w:noWrap w:val="0"/>
                  <w:vAlign w:val="center"/>
                </w:tcPr>
                <w:p w14:paraId="326B4CB9">
                  <w:pPr>
                    <w:keepNext w:val="0"/>
                    <w:keepLines w:val="0"/>
                    <w:pageBreakBefore w:val="0"/>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达标</w:t>
                  </w:r>
                </w:p>
              </w:tc>
              <w:tc>
                <w:tcPr>
                  <w:tcW w:w="1281" w:type="pct"/>
                  <w:tcBorders>
                    <w:tl2br w:val="nil"/>
                    <w:tr2bl w:val="nil"/>
                  </w:tcBorders>
                  <w:noWrap w:val="0"/>
                  <w:vAlign w:val="center"/>
                </w:tcPr>
                <w:p w14:paraId="4918CAB1">
                  <w:pPr>
                    <w:keepNext w:val="0"/>
                    <w:keepLines w:val="0"/>
                    <w:pageBreakBefore w:val="0"/>
                    <w:kinsoku/>
                    <w:wordWrap/>
                    <w:overflowPunct/>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14:paraId="62E226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5" w:hRule="exact"/>
                <w:jc w:val="center"/>
              </w:trPr>
              <w:tc>
                <w:tcPr>
                  <w:tcW w:w="5000" w:type="pct"/>
                  <w:gridSpan w:val="4"/>
                  <w:tcBorders>
                    <w:tl2br w:val="nil"/>
                    <w:tr2bl w:val="nil"/>
                  </w:tcBorders>
                  <w:noWrap w:val="0"/>
                  <w:vAlign w:val="center"/>
                </w:tcPr>
                <w:p w14:paraId="0EDEC88D">
                  <w:pPr>
                    <w:keepNext w:val="0"/>
                    <w:keepLines w:val="0"/>
                    <w:pageBreakBefore w:val="0"/>
                    <w:widowControl/>
                    <w:suppressLineNumbers w:val="0"/>
                    <w:kinsoku/>
                    <w:wordWrap/>
                    <w:overflowPunct/>
                    <w:topLinePunct w:val="0"/>
                    <w:bidi w:val="0"/>
                    <w:spacing w:after="0" w:line="240" w:lineRule="auto"/>
                    <w:jc w:val="left"/>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备注：</w:t>
                  </w:r>
                </w:p>
                <w:p w14:paraId="1812E56E">
                  <w:pPr>
                    <w:keepNext w:val="0"/>
                    <w:keepLines w:val="0"/>
                    <w:pageBreakBefore w:val="0"/>
                    <w:widowControl/>
                    <w:suppressLineNumbers w:val="0"/>
                    <w:kinsoku/>
                    <w:wordWrap/>
                    <w:overflowPunct/>
                    <w:topLinePunct w:val="0"/>
                    <w:bidi w:val="0"/>
                    <w:spacing w:after="0" w:line="240" w:lineRule="auto"/>
                    <w:jc w:val="left"/>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1、2026-05-22昼间阴，东风，风速2.6m/s，夜间阴，东风，风速2.4m/s；2026-05-23昼间晴，南风，风速2.3m/s，夜间晴，南风，风速2.5m/s；</w:t>
                  </w:r>
                </w:p>
                <w:p w14:paraId="6E67F86E">
                  <w:pPr>
                    <w:keepNext w:val="0"/>
                    <w:keepLines w:val="0"/>
                    <w:pageBreakBefore w:val="0"/>
                    <w:widowControl/>
                    <w:suppressLineNumbers w:val="0"/>
                    <w:kinsoku/>
                    <w:wordWrap/>
                    <w:overflowPunct/>
                    <w:topLinePunct w:val="0"/>
                    <w:bidi w:val="0"/>
                    <w:spacing w:after="0" w:line="240" w:lineRule="auto"/>
                    <w:jc w:val="left"/>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highlight w:val="none"/>
                      <w:lang w:val="en-US" w:eastAsia="zh-CN" w:bidi="ar"/>
                    </w:rPr>
                    <w:t>2、根据《环境噪声监测技术规范 噪声测量值修正》(HJ706-2014)中6.1:对于只需判定噪声源是否达标的情况，若噪声测量值低于相应噪声源排放标准的限值可以不进行背景噪声的测量及修正。</w:t>
                  </w:r>
                </w:p>
              </w:tc>
            </w:tr>
          </w:tbl>
          <w:p w14:paraId="332FA4A7">
            <w:pPr>
              <w:spacing w:after="0" w:line="460" w:lineRule="exact"/>
              <w:ind w:firstLine="480" w:firstLineChars="200"/>
              <w:jc w:val="both"/>
              <w:textAlignment w:val="baseline"/>
              <w:rPr>
                <w:rFonts w:eastAsia="黑体"/>
                <w:color w:val="auto"/>
                <w:sz w:val="24"/>
                <w:szCs w:val="24"/>
                <w:highlight w:val="yellow"/>
              </w:rPr>
            </w:pPr>
            <w:r>
              <w:rPr>
                <w:rFonts w:eastAsia="宋体"/>
                <w:bCs/>
                <w:color w:val="auto"/>
                <w:kern w:val="2"/>
                <w:sz w:val="24"/>
                <w:szCs w:val="24"/>
              </w:rPr>
              <w:t>由监测结果可知，验收监测期间，本项目</w:t>
            </w:r>
            <w:bookmarkStart w:id="20" w:name="_Hlk153387260"/>
            <w:r>
              <w:rPr>
                <w:rFonts w:eastAsia="宋体"/>
                <w:bCs/>
                <w:color w:val="auto"/>
                <w:kern w:val="2"/>
                <w:sz w:val="24"/>
                <w:szCs w:val="24"/>
              </w:rPr>
              <w:t>厂界噪声监测结果为：昼间5</w:t>
            </w:r>
            <w:r>
              <w:rPr>
                <w:rFonts w:hint="eastAsia" w:eastAsia="宋体"/>
                <w:bCs/>
                <w:color w:val="auto"/>
                <w:kern w:val="2"/>
                <w:sz w:val="24"/>
                <w:szCs w:val="24"/>
                <w:lang w:val="en-US" w:eastAsia="zh-CN"/>
              </w:rPr>
              <w:t>2</w:t>
            </w:r>
            <w:r>
              <w:rPr>
                <w:rFonts w:eastAsia="宋体"/>
                <w:bCs/>
                <w:color w:val="auto"/>
                <w:kern w:val="2"/>
                <w:sz w:val="24"/>
                <w:szCs w:val="24"/>
              </w:rPr>
              <w:t>~5</w:t>
            </w:r>
            <w:r>
              <w:rPr>
                <w:rFonts w:hint="eastAsia" w:eastAsia="宋体"/>
                <w:bCs/>
                <w:color w:val="auto"/>
                <w:kern w:val="2"/>
                <w:sz w:val="24"/>
                <w:szCs w:val="24"/>
                <w:lang w:val="en-US" w:eastAsia="zh-CN"/>
              </w:rPr>
              <w:t>3</w:t>
            </w:r>
            <w:r>
              <w:rPr>
                <w:rFonts w:eastAsia="宋体"/>
                <w:bCs/>
                <w:color w:val="auto"/>
                <w:kern w:val="2"/>
                <w:sz w:val="24"/>
                <w:szCs w:val="24"/>
              </w:rPr>
              <w:t>dB（A）</w:t>
            </w:r>
            <w:r>
              <w:rPr>
                <w:rFonts w:hint="eastAsia" w:eastAsia="宋体"/>
                <w:bCs/>
                <w:color w:val="auto"/>
                <w:kern w:val="2"/>
                <w:sz w:val="24"/>
                <w:szCs w:val="24"/>
                <w:lang w:eastAsia="zh-CN"/>
              </w:rPr>
              <w:t>、</w:t>
            </w:r>
            <w:r>
              <w:rPr>
                <w:rFonts w:hint="eastAsia" w:eastAsia="宋体"/>
                <w:bCs/>
                <w:color w:val="auto"/>
                <w:kern w:val="2"/>
                <w:sz w:val="24"/>
                <w:szCs w:val="24"/>
                <w:lang w:val="en-US" w:eastAsia="zh-CN"/>
              </w:rPr>
              <w:t>夜</w:t>
            </w:r>
            <w:r>
              <w:rPr>
                <w:rFonts w:eastAsia="宋体"/>
                <w:bCs/>
                <w:color w:val="auto"/>
                <w:kern w:val="2"/>
                <w:sz w:val="24"/>
                <w:szCs w:val="24"/>
              </w:rPr>
              <w:t>间</w:t>
            </w:r>
            <w:r>
              <w:rPr>
                <w:rFonts w:hint="eastAsia" w:eastAsia="宋体"/>
                <w:bCs/>
                <w:color w:val="auto"/>
                <w:kern w:val="2"/>
                <w:sz w:val="24"/>
                <w:szCs w:val="24"/>
                <w:lang w:val="en-US" w:eastAsia="zh-CN"/>
              </w:rPr>
              <w:t>41</w:t>
            </w:r>
            <w:r>
              <w:rPr>
                <w:rFonts w:eastAsia="宋体"/>
                <w:bCs/>
                <w:color w:val="auto"/>
                <w:kern w:val="2"/>
                <w:sz w:val="24"/>
                <w:szCs w:val="24"/>
              </w:rPr>
              <w:t>~</w:t>
            </w:r>
            <w:r>
              <w:rPr>
                <w:rFonts w:hint="eastAsia" w:eastAsia="宋体"/>
                <w:bCs/>
                <w:color w:val="auto"/>
                <w:kern w:val="2"/>
                <w:sz w:val="24"/>
                <w:szCs w:val="24"/>
                <w:lang w:val="en-US" w:eastAsia="zh-CN"/>
              </w:rPr>
              <w:t>43</w:t>
            </w:r>
            <w:r>
              <w:rPr>
                <w:rFonts w:eastAsia="宋体"/>
                <w:bCs/>
                <w:color w:val="auto"/>
                <w:kern w:val="2"/>
                <w:sz w:val="24"/>
                <w:szCs w:val="24"/>
              </w:rPr>
              <w:t>dB（A），符合《工业企业厂界环境噪声排放标准》（GB12348-2008）</w:t>
            </w:r>
            <w:r>
              <w:rPr>
                <w:rFonts w:hint="eastAsia" w:eastAsia="宋体"/>
                <w:bCs/>
                <w:color w:val="auto"/>
                <w:kern w:val="2"/>
                <w:sz w:val="24"/>
                <w:szCs w:val="24"/>
              </w:rPr>
              <w:t>2</w:t>
            </w:r>
            <w:r>
              <w:rPr>
                <w:rFonts w:eastAsia="宋体"/>
                <w:bCs/>
                <w:color w:val="auto"/>
                <w:kern w:val="2"/>
                <w:sz w:val="24"/>
                <w:szCs w:val="24"/>
              </w:rPr>
              <w:t>类标准：昼间6</w:t>
            </w:r>
            <w:r>
              <w:rPr>
                <w:rFonts w:hint="eastAsia" w:eastAsia="宋体"/>
                <w:bCs/>
                <w:color w:val="auto"/>
                <w:kern w:val="2"/>
                <w:sz w:val="24"/>
                <w:szCs w:val="24"/>
              </w:rPr>
              <w:t>0</w:t>
            </w:r>
            <w:r>
              <w:rPr>
                <w:rFonts w:eastAsia="宋体"/>
                <w:bCs/>
                <w:color w:val="auto"/>
                <w:kern w:val="2"/>
                <w:sz w:val="24"/>
                <w:szCs w:val="24"/>
              </w:rPr>
              <w:t>dB（A）</w:t>
            </w:r>
            <w:r>
              <w:rPr>
                <w:rFonts w:hint="eastAsia" w:eastAsia="宋体"/>
                <w:bCs/>
                <w:color w:val="auto"/>
                <w:kern w:val="2"/>
                <w:sz w:val="24"/>
                <w:szCs w:val="24"/>
                <w:lang w:eastAsia="zh-CN"/>
              </w:rPr>
              <w:t>、</w:t>
            </w:r>
            <w:r>
              <w:rPr>
                <w:rFonts w:hint="eastAsia" w:eastAsia="宋体"/>
                <w:bCs/>
                <w:color w:val="auto"/>
                <w:kern w:val="2"/>
                <w:sz w:val="24"/>
                <w:szCs w:val="24"/>
                <w:lang w:val="en-US" w:eastAsia="zh-CN"/>
              </w:rPr>
              <w:t>夜间5</w:t>
            </w:r>
            <w:r>
              <w:rPr>
                <w:rFonts w:hint="eastAsia" w:eastAsia="宋体"/>
                <w:bCs/>
                <w:color w:val="auto"/>
                <w:kern w:val="2"/>
                <w:sz w:val="24"/>
                <w:szCs w:val="24"/>
              </w:rPr>
              <w:t>0</w:t>
            </w:r>
            <w:r>
              <w:rPr>
                <w:rFonts w:eastAsia="宋体"/>
                <w:bCs/>
                <w:color w:val="auto"/>
                <w:kern w:val="2"/>
                <w:sz w:val="24"/>
                <w:szCs w:val="24"/>
              </w:rPr>
              <w:t>dB（A）的限值要求。</w:t>
            </w:r>
            <w:bookmarkEnd w:id="17"/>
            <w:bookmarkEnd w:id="20"/>
          </w:p>
          <w:p w14:paraId="555C42FE">
            <w:pPr>
              <w:numPr>
                <w:ilvl w:val="0"/>
                <w:numId w:val="1"/>
              </w:numPr>
              <w:spacing w:after="0" w:line="480" w:lineRule="exact"/>
              <w:ind w:firstLine="482" w:firstLineChars="200"/>
              <w:jc w:val="both"/>
              <w:textAlignment w:val="baseline"/>
              <w:rPr>
                <w:rFonts w:eastAsia="宋体"/>
                <w:b/>
                <w:bCs/>
                <w:color w:val="auto"/>
                <w:sz w:val="24"/>
                <w:szCs w:val="24"/>
              </w:rPr>
            </w:pPr>
            <w:r>
              <w:rPr>
                <w:rFonts w:eastAsia="宋体"/>
                <w:b/>
                <w:bCs/>
                <w:color w:val="auto"/>
                <w:sz w:val="24"/>
                <w:szCs w:val="24"/>
              </w:rPr>
              <w:t>污染物排放总量核算</w:t>
            </w:r>
          </w:p>
          <w:p w14:paraId="03EA1884">
            <w:pPr>
              <w:spacing w:after="0" w:line="460" w:lineRule="exact"/>
              <w:ind w:firstLine="480"/>
              <w:rPr>
                <w:rFonts w:eastAsia="宋体"/>
                <w:b/>
                <w:bCs/>
                <w:color w:val="auto"/>
                <w:sz w:val="24"/>
                <w:szCs w:val="24"/>
              </w:rPr>
            </w:pPr>
            <w:r>
              <w:rPr>
                <w:rFonts w:hint="eastAsia" w:ascii="Times New Roman" w:hAnsi="Times New Roman" w:eastAsia="宋体"/>
                <w:color w:val="auto"/>
                <w:sz w:val="24"/>
              </w:rPr>
              <w:t>本项目废气污染物主要为</w:t>
            </w:r>
            <w:r>
              <w:rPr>
                <w:rFonts w:hint="eastAsia" w:ascii="Times New Roman" w:hAnsi="Times New Roman" w:eastAsia="宋体"/>
                <w:color w:val="auto"/>
                <w:sz w:val="24"/>
                <w:lang w:val="en-US" w:eastAsia="zh-CN"/>
              </w:rPr>
              <w:t>非甲烷总烃</w:t>
            </w:r>
            <w:r>
              <w:rPr>
                <w:rFonts w:hint="eastAsia" w:ascii="Times New Roman" w:hAnsi="Times New Roman" w:eastAsia="宋体"/>
                <w:color w:val="auto"/>
                <w:sz w:val="24"/>
              </w:rPr>
              <w:t>，各工段污染物排放情况见下表。</w:t>
            </w:r>
          </w:p>
          <w:p w14:paraId="59587AFF">
            <w:pPr>
              <w:spacing w:after="0" w:line="460" w:lineRule="exact"/>
              <w:ind w:firstLine="482"/>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表</w:t>
            </w:r>
            <w:r>
              <w:rPr>
                <w:rFonts w:hint="eastAsia" w:eastAsia="宋体"/>
                <w:b/>
                <w:bCs/>
                <w:color w:val="auto"/>
                <w:sz w:val="24"/>
                <w:szCs w:val="24"/>
                <w:highlight w:val="none"/>
                <w:lang w:val="en-US" w:eastAsia="zh-CN"/>
              </w:rPr>
              <w:t>20</w:t>
            </w:r>
            <w:r>
              <w:rPr>
                <w:rFonts w:ascii="Times New Roman" w:hAnsi="Times New Roman" w:eastAsia="宋体"/>
                <w:b/>
                <w:bCs/>
                <w:color w:val="auto"/>
                <w:sz w:val="24"/>
                <w:szCs w:val="24"/>
                <w:highlight w:val="none"/>
              </w:rPr>
              <w:t xml:space="preserve">                  废气污染物排放情况</w:t>
            </w:r>
          </w:p>
          <w:tbl>
            <w:tblPr>
              <w:tblStyle w:val="18"/>
              <w:tblpPr w:leftFromText="180" w:rightFromText="180" w:vertAnchor="text" w:tblpXSpec="center"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992"/>
              <w:gridCol w:w="1276"/>
              <w:gridCol w:w="992"/>
              <w:gridCol w:w="1134"/>
              <w:gridCol w:w="1276"/>
              <w:gridCol w:w="1076"/>
            </w:tblGrid>
            <w:tr w14:paraId="519696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0" w:type="dxa"/>
                  <w:vAlign w:val="center"/>
                </w:tcPr>
                <w:p w14:paraId="32735FC8">
                  <w:pPr>
                    <w:spacing w:after="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排放点</w:t>
                  </w:r>
                </w:p>
              </w:tc>
              <w:tc>
                <w:tcPr>
                  <w:tcW w:w="992" w:type="dxa"/>
                  <w:vAlign w:val="center"/>
                </w:tcPr>
                <w:p w14:paraId="0F2E38A7">
                  <w:pPr>
                    <w:spacing w:after="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污染因子</w:t>
                  </w:r>
                </w:p>
              </w:tc>
              <w:tc>
                <w:tcPr>
                  <w:tcW w:w="1276" w:type="dxa"/>
                  <w:vAlign w:val="center"/>
                </w:tcPr>
                <w:p w14:paraId="7B400C99">
                  <w:pPr>
                    <w:spacing w:after="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最大排放速率(kg/h)</w:t>
                  </w:r>
                </w:p>
              </w:tc>
              <w:tc>
                <w:tcPr>
                  <w:tcW w:w="992" w:type="dxa"/>
                  <w:vAlign w:val="center"/>
                </w:tcPr>
                <w:p w14:paraId="633030AE">
                  <w:pPr>
                    <w:spacing w:after="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排放时数(h/a)</w:t>
                  </w:r>
                </w:p>
              </w:tc>
              <w:tc>
                <w:tcPr>
                  <w:tcW w:w="1134" w:type="dxa"/>
                  <w:vAlign w:val="center"/>
                </w:tcPr>
                <w:p w14:paraId="4AC88104">
                  <w:pPr>
                    <w:spacing w:after="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实测排放量(t/a)</w:t>
                  </w:r>
                </w:p>
              </w:tc>
              <w:tc>
                <w:tcPr>
                  <w:tcW w:w="1276" w:type="dxa"/>
                  <w:vAlign w:val="center"/>
                </w:tcPr>
                <w:p w14:paraId="090A4F52">
                  <w:pPr>
                    <w:spacing w:after="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生产负荷最不利(%)</w:t>
                  </w:r>
                </w:p>
              </w:tc>
              <w:tc>
                <w:tcPr>
                  <w:tcW w:w="1076" w:type="dxa"/>
                  <w:vAlign w:val="center"/>
                </w:tcPr>
                <w:p w14:paraId="6B91C099">
                  <w:pPr>
                    <w:spacing w:after="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折算排放量(t/a)</w:t>
                  </w:r>
                </w:p>
              </w:tc>
            </w:tr>
            <w:tr w14:paraId="2801E5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0" w:type="dxa"/>
                  <w:vAlign w:val="center"/>
                </w:tcPr>
                <w:p w14:paraId="190C526F">
                  <w:pPr>
                    <w:spacing w:after="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吹瓶废气排气（DA001）</w:t>
                  </w:r>
                </w:p>
              </w:tc>
              <w:tc>
                <w:tcPr>
                  <w:tcW w:w="992" w:type="dxa"/>
                  <w:vAlign w:val="center"/>
                </w:tcPr>
                <w:p w14:paraId="08C31923">
                  <w:pPr>
                    <w:spacing w:after="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非甲烷总烃</w:t>
                  </w:r>
                </w:p>
              </w:tc>
              <w:tc>
                <w:tcPr>
                  <w:tcW w:w="1276" w:type="dxa"/>
                  <w:vAlign w:val="center"/>
                </w:tcPr>
                <w:p w14:paraId="3FA7F8A8">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0.0069</w:t>
                  </w:r>
                </w:p>
              </w:tc>
              <w:tc>
                <w:tcPr>
                  <w:tcW w:w="992" w:type="dxa"/>
                  <w:vAlign w:val="center"/>
                </w:tcPr>
                <w:p w14:paraId="29FB0D90">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4800</w:t>
                  </w:r>
                </w:p>
              </w:tc>
              <w:tc>
                <w:tcPr>
                  <w:tcW w:w="1134" w:type="dxa"/>
                  <w:vAlign w:val="center"/>
                </w:tcPr>
                <w:p w14:paraId="1F44208F">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0.0331</w:t>
                  </w:r>
                </w:p>
              </w:tc>
              <w:tc>
                <w:tcPr>
                  <w:tcW w:w="1276" w:type="dxa"/>
                  <w:vAlign w:val="center"/>
                </w:tcPr>
                <w:p w14:paraId="13A1E039">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1076" w:type="dxa"/>
                  <w:vAlign w:val="center"/>
                </w:tcPr>
                <w:p w14:paraId="4423AF1E">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0.0368</w:t>
                  </w:r>
                </w:p>
              </w:tc>
            </w:tr>
          </w:tbl>
          <w:p w14:paraId="6BCEEE10">
            <w:pPr>
              <w:spacing w:after="0" w:line="460" w:lineRule="exact"/>
              <w:ind w:firstLine="480"/>
              <w:rPr>
                <w:rFonts w:ascii="Times New Roman" w:hAnsi="Times New Roman" w:eastAsia="宋体"/>
                <w:color w:val="auto"/>
                <w:sz w:val="24"/>
              </w:rPr>
            </w:pPr>
            <w:r>
              <w:rPr>
                <w:rFonts w:hint="eastAsia" w:ascii="Times New Roman" w:hAnsi="Times New Roman" w:eastAsia="宋体"/>
                <w:color w:val="auto"/>
                <w:sz w:val="24"/>
              </w:rPr>
              <w:t>本项目废气污染物实际排放量与环评批复总量控制要求对比情况见下表。</w:t>
            </w:r>
          </w:p>
          <w:p w14:paraId="7C8FD857">
            <w:pPr>
              <w:spacing w:after="0" w:line="460" w:lineRule="exact"/>
              <w:ind w:firstLine="482"/>
              <w:textAlignment w:val="baseline"/>
              <w:rPr>
                <w:rFonts w:ascii="Times New Roman" w:hAnsi="Times New Roman" w:eastAsia="宋体"/>
                <w:b/>
                <w:color w:val="auto"/>
                <w:sz w:val="24"/>
                <w:szCs w:val="24"/>
                <w:highlight w:val="none"/>
              </w:rPr>
            </w:pPr>
            <w:r>
              <w:rPr>
                <w:rFonts w:ascii="Times New Roman" w:hAnsi="Times New Roman" w:eastAsia="宋体"/>
                <w:b/>
                <w:color w:val="auto"/>
                <w:sz w:val="24"/>
                <w:szCs w:val="24"/>
                <w:highlight w:val="none"/>
              </w:rPr>
              <w:t>表</w:t>
            </w:r>
            <w:r>
              <w:rPr>
                <w:rFonts w:hint="eastAsia" w:eastAsia="宋体"/>
                <w:b/>
                <w:color w:val="auto"/>
                <w:sz w:val="24"/>
                <w:szCs w:val="24"/>
                <w:highlight w:val="none"/>
                <w:lang w:val="en-US" w:eastAsia="zh-CN"/>
              </w:rPr>
              <w:t>21</w:t>
            </w:r>
            <w:r>
              <w:rPr>
                <w:rFonts w:ascii="Times New Roman" w:hAnsi="Times New Roman" w:eastAsia="宋体"/>
                <w:b/>
                <w:color w:val="auto"/>
                <w:sz w:val="24"/>
                <w:szCs w:val="24"/>
                <w:highlight w:val="none"/>
              </w:rPr>
              <w:t xml:space="preserve">          </w:t>
            </w:r>
            <w:r>
              <w:rPr>
                <w:rFonts w:hint="eastAsia" w:ascii="Times New Roman" w:hAnsi="Times New Roman" w:eastAsia="宋体"/>
                <w:b/>
                <w:color w:val="auto"/>
                <w:sz w:val="24"/>
                <w:szCs w:val="24"/>
                <w:highlight w:val="none"/>
              </w:rPr>
              <w:t>废气污染物排放量情况及环评批复许可排放量</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19"/>
              <w:gridCol w:w="2842"/>
              <w:gridCol w:w="2845"/>
            </w:tblGrid>
            <w:tr w14:paraId="1BBB0D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9" w:type="dxa"/>
                  <w:vAlign w:val="center"/>
                </w:tcPr>
                <w:p w14:paraId="356B7D9D">
                  <w:pPr>
                    <w:widowControl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污染因子</w:t>
                  </w:r>
                </w:p>
              </w:tc>
              <w:tc>
                <w:tcPr>
                  <w:tcW w:w="2842" w:type="dxa"/>
                  <w:vAlign w:val="center"/>
                </w:tcPr>
                <w:p w14:paraId="77BEBB2F">
                  <w:pPr>
                    <w:widowControl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环评批复许可排放量（t/a）</w:t>
                  </w:r>
                </w:p>
              </w:tc>
              <w:tc>
                <w:tcPr>
                  <w:tcW w:w="2845" w:type="dxa"/>
                  <w:vAlign w:val="center"/>
                </w:tcPr>
                <w:p w14:paraId="6B200164">
                  <w:pPr>
                    <w:widowControl w:val="0"/>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实际排放量（t/a）</w:t>
                  </w:r>
                </w:p>
              </w:tc>
            </w:tr>
            <w:tr w14:paraId="0902CAC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9" w:type="dxa"/>
                  <w:vAlign w:val="center"/>
                </w:tcPr>
                <w:p w14:paraId="72112A03">
                  <w:pPr>
                    <w:widowControl w:val="0"/>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非甲烷总烃</w:t>
                  </w:r>
                </w:p>
              </w:tc>
              <w:tc>
                <w:tcPr>
                  <w:tcW w:w="2842" w:type="dxa"/>
                  <w:vAlign w:val="center"/>
                </w:tcPr>
                <w:p w14:paraId="17859FCA">
                  <w:pPr>
                    <w:widowControl w:val="0"/>
                    <w:spacing w:after="0"/>
                    <w:jc w:val="center"/>
                    <w:rPr>
                      <w:rFonts w:hint="default" w:ascii="Times New Roman" w:hAnsi="Times New Roman" w:eastAsia="微软雅黑"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0.0434</w:t>
                  </w:r>
                </w:p>
              </w:tc>
              <w:tc>
                <w:tcPr>
                  <w:tcW w:w="2845" w:type="dxa"/>
                  <w:vAlign w:val="center"/>
                </w:tcPr>
                <w:p w14:paraId="7C4FD508">
                  <w:pPr>
                    <w:widowControl w:val="0"/>
                    <w:spacing w:after="0"/>
                    <w:jc w:val="center"/>
                    <w:rPr>
                      <w:rFonts w:hint="default" w:ascii="Times New Roman" w:hAnsi="Times New Roman" w:eastAsia="微软雅黑"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0.0368</w:t>
                  </w:r>
                </w:p>
              </w:tc>
            </w:tr>
          </w:tbl>
          <w:p w14:paraId="2D0D7E63">
            <w:pPr>
              <w:spacing w:after="0" w:line="460" w:lineRule="exact"/>
              <w:ind w:firstLine="480" w:firstLineChars="200"/>
              <w:textAlignment w:val="baseline"/>
              <w:rPr>
                <w:rFonts w:ascii="Times New Roman" w:hAnsi="Times New Roman" w:eastAsia="宋体"/>
                <w:bCs/>
                <w:color w:val="auto"/>
                <w:sz w:val="24"/>
                <w:szCs w:val="24"/>
              </w:rPr>
            </w:pPr>
            <w:r>
              <w:rPr>
                <w:rFonts w:hint="eastAsia" w:ascii="Times New Roman" w:hAnsi="Times New Roman" w:eastAsia="宋体"/>
                <w:color w:val="auto"/>
                <w:sz w:val="24"/>
              </w:rPr>
              <w:t>由上表可知，本项目满负荷运行时废气</w:t>
            </w:r>
            <w:r>
              <w:rPr>
                <w:rFonts w:hint="eastAsia" w:ascii="Times New Roman" w:hAnsi="Times New Roman" w:eastAsia="宋体"/>
                <w:color w:val="auto"/>
                <w:sz w:val="24"/>
                <w:lang w:val="en-US" w:eastAsia="zh-CN"/>
              </w:rPr>
              <w:t>污染物非甲烷总烃</w:t>
            </w:r>
            <w:r>
              <w:rPr>
                <w:rFonts w:hint="eastAsia" w:ascii="Times New Roman" w:hAnsi="Times New Roman" w:eastAsia="宋体"/>
                <w:color w:val="auto"/>
                <w:sz w:val="24"/>
              </w:rPr>
              <w:t>排放量能够满足环评批复总量控制要求。</w:t>
            </w:r>
          </w:p>
          <w:p w14:paraId="797E4AE0">
            <w:pPr>
              <w:pStyle w:val="6"/>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本项目废水主要为生活污水和循环冷却水，废水中各个污染物排放情况见下表</w:t>
            </w:r>
            <w:r>
              <w:rPr>
                <w:rFonts w:hint="eastAsia" w:ascii="宋体" w:hAnsi="宋体" w:eastAsia="宋体" w:cs="宋体"/>
                <w:color w:val="auto"/>
                <w:sz w:val="24"/>
                <w:szCs w:val="24"/>
                <w:highlight w:val="none"/>
                <w:lang w:val="en-US" w:eastAsia="zh-CN"/>
              </w:rPr>
              <w:t>：</w:t>
            </w:r>
          </w:p>
          <w:p w14:paraId="604E283B">
            <w:pPr>
              <w:spacing w:after="0" w:line="460" w:lineRule="exact"/>
              <w:ind w:firstLine="482"/>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表</w:t>
            </w:r>
            <w:r>
              <w:rPr>
                <w:rFonts w:hint="eastAsia" w:eastAsia="宋体"/>
                <w:b/>
                <w:bCs/>
                <w:color w:val="auto"/>
                <w:sz w:val="24"/>
                <w:szCs w:val="24"/>
                <w:highlight w:val="none"/>
                <w:lang w:val="en-US" w:eastAsia="zh-CN"/>
              </w:rPr>
              <w:t>22</w:t>
            </w:r>
            <w:r>
              <w:rPr>
                <w:rFonts w:ascii="Times New Roman" w:hAnsi="Times New Roman" w:eastAsia="宋体"/>
                <w:b/>
                <w:bCs/>
                <w:color w:val="auto"/>
                <w:sz w:val="24"/>
                <w:szCs w:val="24"/>
                <w:highlight w:val="none"/>
              </w:rPr>
              <w:t xml:space="preserve">                  废</w:t>
            </w:r>
            <w:r>
              <w:rPr>
                <w:rFonts w:hint="eastAsia" w:ascii="Times New Roman" w:hAnsi="Times New Roman" w:eastAsia="宋体"/>
                <w:b/>
                <w:bCs/>
                <w:color w:val="auto"/>
                <w:sz w:val="24"/>
                <w:szCs w:val="24"/>
                <w:highlight w:val="none"/>
                <w:lang w:val="en-US" w:eastAsia="zh-CN"/>
              </w:rPr>
              <w:t>水</w:t>
            </w:r>
            <w:r>
              <w:rPr>
                <w:rFonts w:ascii="Times New Roman" w:hAnsi="Times New Roman" w:eastAsia="宋体"/>
                <w:b/>
                <w:bCs/>
                <w:color w:val="auto"/>
                <w:sz w:val="24"/>
                <w:szCs w:val="24"/>
                <w:highlight w:val="none"/>
              </w:rPr>
              <w:t>污染物排放情况</w:t>
            </w:r>
          </w:p>
          <w:tbl>
            <w:tblPr>
              <w:tblStyle w:val="18"/>
              <w:tblpPr w:leftFromText="180" w:rightFromText="180" w:vertAnchor="text" w:tblpXSpec="center" w:tblpY="1"/>
              <w:tblOverlap w:val="never"/>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08"/>
              <w:gridCol w:w="1469"/>
              <w:gridCol w:w="1453"/>
              <w:gridCol w:w="1237"/>
              <w:gridCol w:w="1290"/>
              <w:gridCol w:w="1446"/>
            </w:tblGrid>
            <w:tr w14:paraId="0FE4FAB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pct"/>
                  <w:vAlign w:val="center"/>
                </w:tcPr>
                <w:p w14:paraId="08177AA9">
                  <w:pPr>
                    <w:spacing w:after="0"/>
                    <w:jc w:val="center"/>
                    <w:textAlignment w:val="baseline"/>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排放点</w:t>
                  </w:r>
                </w:p>
              </w:tc>
              <w:tc>
                <w:tcPr>
                  <w:tcW w:w="884" w:type="pct"/>
                  <w:vAlign w:val="center"/>
                </w:tcPr>
                <w:p w14:paraId="641B48C2">
                  <w:pPr>
                    <w:spacing w:after="0"/>
                    <w:jc w:val="center"/>
                    <w:textAlignment w:val="baseline"/>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污染因子</w:t>
                  </w:r>
                </w:p>
              </w:tc>
              <w:tc>
                <w:tcPr>
                  <w:tcW w:w="874" w:type="pct"/>
                  <w:vAlign w:val="center"/>
                </w:tcPr>
                <w:p w14:paraId="5D32AAD7">
                  <w:pPr>
                    <w:spacing w:after="0"/>
                    <w:jc w:val="center"/>
                    <w:textAlignment w:val="baseline"/>
                    <w:rPr>
                      <w:rFonts w:ascii="Times New Roman" w:hAnsi="Times New Roman" w:eastAsia="宋体"/>
                      <w:b/>
                      <w:bCs/>
                      <w:color w:val="auto"/>
                      <w:sz w:val="21"/>
                      <w:szCs w:val="21"/>
                      <w:highlight w:val="none"/>
                    </w:rPr>
                  </w:pPr>
                  <w:r>
                    <w:rPr>
                      <w:rFonts w:hint="eastAsia" w:eastAsia="宋体"/>
                      <w:b/>
                      <w:bCs/>
                      <w:color w:val="auto"/>
                      <w:sz w:val="21"/>
                      <w:szCs w:val="21"/>
                      <w:highlight w:val="none"/>
                      <w:lang w:val="en-US" w:eastAsia="zh-CN"/>
                    </w:rPr>
                    <w:t>污水处理厂</w:t>
                  </w:r>
                  <w:r>
                    <w:rPr>
                      <w:rFonts w:ascii="Times New Roman" w:hAnsi="Times New Roman" w:eastAsia="宋体"/>
                      <w:b/>
                      <w:bCs/>
                      <w:color w:val="auto"/>
                      <w:sz w:val="21"/>
                      <w:szCs w:val="21"/>
                      <w:highlight w:val="none"/>
                    </w:rPr>
                    <w:t>排放</w:t>
                  </w:r>
                  <w:r>
                    <w:rPr>
                      <w:rFonts w:hint="eastAsia" w:ascii="Times New Roman" w:hAnsi="Times New Roman" w:eastAsia="宋体"/>
                      <w:b/>
                      <w:bCs/>
                      <w:color w:val="auto"/>
                      <w:sz w:val="21"/>
                      <w:szCs w:val="21"/>
                      <w:highlight w:val="none"/>
                      <w:lang w:val="en-US" w:eastAsia="zh-CN"/>
                    </w:rPr>
                    <w:t>浓度</w:t>
                  </w:r>
                  <w:r>
                    <w:rPr>
                      <w:rFonts w:hint="eastAsia" w:ascii="Times New Roman" w:hAnsi="Times New Roman" w:eastAsia="宋体"/>
                      <w:b/>
                      <w:bCs/>
                      <w:color w:val="auto"/>
                      <w:sz w:val="21"/>
                      <w:szCs w:val="21"/>
                      <w:highlight w:val="none"/>
                    </w:rPr>
                    <w:t>(</w:t>
                  </w:r>
                  <w:r>
                    <w:rPr>
                      <w:rFonts w:hint="eastAsia" w:ascii="Times New Roman" w:hAnsi="Times New Roman" w:eastAsia="宋体"/>
                      <w:b/>
                      <w:bCs/>
                      <w:color w:val="auto"/>
                      <w:sz w:val="21"/>
                      <w:szCs w:val="21"/>
                      <w:highlight w:val="none"/>
                      <w:lang w:val="en-US" w:eastAsia="zh-CN"/>
                    </w:rPr>
                    <w:t>mg</w:t>
                  </w:r>
                  <w:r>
                    <w:rPr>
                      <w:rFonts w:ascii="Times New Roman" w:hAnsi="Times New Roman" w:eastAsia="宋体"/>
                      <w:b/>
                      <w:bCs/>
                      <w:color w:val="auto"/>
                      <w:sz w:val="21"/>
                      <w:szCs w:val="21"/>
                      <w:highlight w:val="none"/>
                    </w:rPr>
                    <w:t>/</w:t>
                  </w:r>
                  <w:r>
                    <w:rPr>
                      <w:rFonts w:hint="eastAsia" w:ascii="Times New Roman" w:hAnsi="Times New Roman" w:eastAsia="宋体"/>
                      <w:b/>
                      <w:bCs/>
                      <w:color w:val="auto"/>
                      <w:sz w:val="21"/>
                      <w:szCs w:val="21"/>
                      <w:highlight w:val="none"/>
                      <w:lang w:val="en-US" w:eastAsia="zh-CN"/>
                    </w:rPr>
                    <w:t>L</w:t>
                  </w:r>
                  <w:r>
                    <w:rPr>
                      <w:rFonts w:ascii="Times New Roman" w:hAnsi="Times New Roman" w:eastAsia="宋体"/>
                      <w:b/>
                      <w:bCs/>
                      <w:color w:val="auto"/>
                      <w:sz w:val="21"/>
                      <w:szCs w:val="21"/>
                      <w:highlight w:val="none"/>
                    </w:rPr>
                    <w:t>)</w:t>
                  </w:r>
                </w:p>
              </w:tc>
              <w:tc>
                <w:tcPr>
                  <w:tcW w:w="744" w:type="pct"/>
                  <w:vAlign w:val="center"/>
                </w:tcPr>
                <w:p w14:paraId="7FE45097">
                  <w:pPr>
                    <w:spacing w:after="0"/>
                    <w:jc w:val="center"/>
                    <w:textAlignment w:val="baseline"/>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废水流量（m</w:t>
                  </w:r>
                  <w:r>
                    <w:rPr>
                      <w:rFonts w:hint="eastAsia" w:ascii="Times New Roman" w:hAnsi="Times New Roman" w:eastAsia="宋体"/>
                      <w:b/>
                      <w:bCs/>
                      <w:color w:val="auto"/>
                      <w:sz w:val="21"/>
                      <w:szCs w:val="21"/>
                      <w:highlight w:val="none"/>
                      <w:vertAlign w:val="superscript"/>
                      <w:lang w:val="en-US" w:eastAsia="zh-CN"/>
                    </w:rPr>
                    <w:t>3</w:t>
                  </w:r>
                  <w:r>
                    <w:rPr>
                      <w:rFonts w:hint="eastAsia" w:ascii="Times New Roman" w:hAnsi="Times New Roman" w:eastAsia="宋体"/>
                      <w:b/>
                      <w:bCs/>
                      <w:color w:val="auto"/>
                      <w:sz w:val="21"/>
                      <w:szCs w:val="21"/>
                      <w:highlight w:val="none"/>
                      <w:lang w:val="en-US" w:eastAsia="zh-CN"/>
                    </w:rPr>
                    <w:t>/d）</w:t>
                  </w:r>
                </w:p>
              </w:tc>
              <w:tc>
                <w:tcPr>
                  <w:tcW w:w="776" w:type="pct"/>
                  <w:vAlign w:val="center"/>
                </w:tcPr>
                <w:p w14:paraId="3A075D61">
                  <w:pPr>
                    <w:spacing w:after="0"/>
                    <w:jc w:val="center"/>
                    <w:textAlignment w:val="baseline"/>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排放天数（d）</w:t>
                  </w:r>
                </w:p>
              </w:tc>
              <w:tc>
                <w:tcPr>
                  <w:tcW w:w="870" w:type="pct"/>
                  <w:vAlign w:val="center"/>
                </w:tcPr>
                <w:p w14:paraId="0550CE6A">
                  <w:pPr>
                    <w:spacing w:after="0"/>
                    <w:jc w:val="center"/>
                    <w:textAlignment w:val="baseline"/>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排外环境量</w:t>
                  </w:r>
                  <w:r>
                    <w:rPr>
                      <w:rFonts w:hint="eastAsia" w:ascii="Times New Roman" w:hAnsi="Times New Roman" w:eastAsia="宋体"/>
                      <w:b/>
                      <w:bCs/>
                      <w:color w:val="auto"/>
                      <w:sz w:val="21"/>
                      <w:szCs w:val="21"/>
                      <w:highlight w:val="none"/>
                    </w:rPr>
                    <w:t>(</w:t>
                  </w:r>
                  <w:r>
                    <w:rPr>
                      <w:rFonts w:ascii="Times New Roman" w:hAnsi="Times New Roman" w:eastAsia="宋体"/>
                      <w:b/>
                      <w:bCs/>
                      <w:color w:val="auto"/>
                      <w:sz w:val="21"/>
                      <w:szCs w:val="21"/>
                      <w:highlight w:val="none"/>
                    </w:rPr>
                    <w:t>t/a)</w:t>
                  </w:r>
                </w:p>
              </w:tc>
            </w:tr>
            <w:tr w14:paraId="331829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pct"/>
                  <w:vMerge w:val="restart"/>
                  <w:vAlign w:val="center"/>
                </w:tcPr>
                <w:p w14:paraId="52C59CDA">
                  <w:pPr>
                    <w:spacing w:after="0"/>
                    <w:jc w:val="center"/>
                    <w:textAlignment w:val="baseline"/>
                    <w:rPr>
                      <w:rFonts w:hint="default" w:ascii="Times New Roman" w:hAnsi="Times New Roman" w:eastAsia="宋体"/>
                      <w:color w:val="auto"/>
                      <w:sz w:val="21"/>
                      <w:szCs w:val="21"/>
                      <w:highlight w:val="none"/>
                      <w:lang w:val="en-US"/>
                    </w:rPr>
                  </w:pPr>
                  <w:r>
                    <w:rPr>
                      <w:rFonts w:hint="eastAsia" w:ascii="宋体" w:hAnsi="宋体" w:eastAsia="宋体" w:cs="宋体"/>
                      <w:color w:val="auto"/>
                      <w:sz w:val="21"/>
                      <w:szCs w:val="21"/>
                      <w:highlight w:val="none"/>
                      <w:lang w:val="en-US" w:eastAsia="zh-CN"/>
                    </w:rPr>
                    <w:t>厂区总排口</w:t>
                  </w:r>
                </w:p>
              </w:tc>
              <w:tc>
                <w:tcPr>
                  <w:tcW w:w="884" w:type="pct"/>
                  <w:vAlign w:val="center"/>
                </w:tcPr>
                <w:p w14:paraId="7F437F0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874" w:type="pct"/>
                  <w:vAlign w:val="center"/>
                </w:tcPr>
                <w:p w14:paraId="21E60BA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744" w:type="pct"/>
                  <w:vMerge w:val="restart"/>
                  <w:vAlign w:val="center"/>
                </w:tcPr>
                <w:p w14:paraId="638FDA2E">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0.9</w:t>
                  </w:r>
                </w:p>
              </w:tc>
              <w:tc>
                <w:tcPr>
                  <w:tcW w:w="776" w:type="pct"/>
                  <w:vMerge w:val="restart"/>
                  <w:vAlign w:val="center"/>
                </w:tcPr>
                <w:p w14:paraId="7D5B157C">
                  <w:pPr>
                    <w:spacing w:after="0"/>
                    <w:jc w:val="center"/>
                    <w:textAlignment w:val="baseline"/>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300</w:t>
                  </w:r>
                </w:p>
              </w:tc>
              <w:tc>
                <w:tcPr>
                  <w:tcW w:w="1446" w:type="dxa"/>
                  <w:vAlign w:val="center"/>
                </w:tcPr>
                <w:p w14:paraId="6FADE51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0.005400</w:t>
                  </w:r>
                </w:p>
              </w:tc>
            </w:tr>
            <w:tr w14:paraId="58C833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pct"/>
                  <w:vMerge w:val="continue"/>
                  <w:vAlign w:val="center"/>
                </w:tcPr>
                <w:p w14:paraId="54955E22">
                  <w:pPr>
                    <w:spacing w:after="0"/>
                    <w:jc w:val="center"/>
                    <w:textAlignment w:val="baseline"/>
                    <w:rPr>
                      <w:rFonts w:hint="eastAsia" w:ascii="宋体" w:hAnsi="宋体" w:eastAsia="宋体" w:cs="宋体"/>
                      <w:color w:val="auto"/>
                      <w:sz w:val="21"/>
                      <w:szCs w:val="21"/>
                      <w:highlight w:val="none"/>
                      <w:lang w:val="en-US" w:eastAsia="zh-CN"/>
                    </w:rPr>
                  </w:pPr>
                </w:p>
              </w:tc>
              <w:tc>
                <w:tcPr>
                  <w:tcW w:w="884" w:type="pct"/>
                  <w:vAlign w:val="center"/>
                </w:tcPr>
                <w:p w14:paraId="23714B1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BOD</w:t>
                  </w:r>
                  <w:r>
                    <w:rPr>
                      <w:rStyle w:val="72"/>
                      <w:rFonts w:eastAsia="宋体"/>
                      <w:color w:val="auto"/>
                      <w:highlight w:val="none"/>
                      <w:vertAlign w:val="subscript"/>
                      <w:lang w:val="en-US" w:eastAsia="zh-CN" w:bidi="ar"/>
                    </w:rPr>
                    <w:t>5</w:t>
                  </w:r>
                </w:p>
              </w:tc>
              <w:tc>
                <w:tcPr>
                  <w:tcW w:w="874" w:type="pct"/>
                  <w:vAlign w:val="center"/>
                </w:tcPr>
                <w:p w14:paraId="36EDD5F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744" w:type="pct"/>
                  <w:vMerge w:val="continue"/>
                  <w:vAlign w:val="center"/>
                </w:tcPr>
                <w:p w14:paraId="191C674D">
                  <w:pPr>
                    <w:spacing w:after="0"/>
                    <w:jc w:val="center"/>
                    <w:textAlignment w:val="baseline"/>
                    <w:rPr>
                      <w:rFonts w:hint="eastAsia" w:ascii="Times New Roman" w:hAnsi="Times New Roman" w:eastAsia="宋体"/>
                      <w:color w:val="auto"/>
                      <w:sz w:val="21"/>
                      <w:szCs w:val="21"/>
                      <w:highlight w:val="none"/>
                      <w:lang w:val="en-US" w:eastAsia="zh-CN"/>
                    </w:rPr>
                  </w:pPr>
                </w:p>
              </w:tc>
              <w:tc>
                <w:tcPr>
                  <w:tcW w:w="776" w:type="pct"/>
                  <w:vMerge w:val="continue"/>
                  <w:vAlign w:val="center"/>
                </w:tcPr>
                <w:p w14:paraId="2C21A006">
                  <w:pPr>
                    <w:spacing w:after="0"/>
                    <w:jc w:val="center"/>
                    <w:textAlignment w:val="baseline"/>
                    <w:rPr>
                      <w:rFonts w:ascii="Times New Roman" w:hAnsi="Times New Roman" w:eastAsia="宋体"/>
                      <w:color w:val="auto"/>
                      <w:sz w:val="21"/>
                      <w:szCs w:val="21"/>
                      <w:highlight w:val="none"/>
                    </w:rPr>
                  </w:pPr>
                </w:p>
              </w:tc>
              <w:tc>
                <w:tcPr>
                  <w:tcW w:w="1446" w:type="dxa"/>
                  <w:vAlign w:val="center"/>
                </w:tcPr>
                <w:p w14:paraId="4A79A2E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0.002700</w:t>
                  </w:r>
                </w:p>
              </w:tc>
            </w:tr>
            <w:tr w14:paraId="269977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pct"/>
                  <w:vMerge w:val="continue"/>
                  <w:vAlign w:val="center"/>
                </w:tcPr>
                <w:p w14:paraId="3BD6639F">
                  <w:pPr>
                    <w:spacing w:after="0"/>
                    <w:jc w:val="center"/>
                    <w:textAlignment w:val="baseline"/>
                    <w:rPr>
                      <w:rFonts w:hint="eastAsia" w:ascii="宋体" w:hAnsi="宋体" w:eastAsia="宋体" w:cs="宋体"/>
                      <w:color w:val="auto"/>
                      <w:sz w:val="21"/>
                      <w:szCs w:val="21"/>
                      <w:highlight w:val="none"/>
                      <w:lang w:val="en-US" w:eastAsia="zh-CN"/>
                    </w:rPr>
                  </w:pPr>
                </w:p>
              </w:tc>
              <w:tc>
                <w:tcPr>
                  <w:tcW w:w="884" w:type="pct"/>
                  <w:vAlign w:val="center"/>
                </w:tcPr>
                <w:p w14:paraId="1D8E5CB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874" w:type="pct"/>
                  <w:vAlign w:val="center"/>
                </w:tcPr>
                <w:p w14:paraId="5B33BED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744" w:type="pct"/>
                  <w:vMerge w:val="continue"/>
                  <w:vAlign w:val="center"/>
                </w:tcPr>
                <w:p w14:paraId="03CF922E">
                  <w:pPr>
                    <w:spacing w:after="0"/>
                    <w:jc w:val="center"/>
                    <w:textAlignment w:val="baseline"/>
                    <w:rPr>
                      <w:rFonts w:hint="eastAsia" w:ascii="Times New Roman" w:hAnsi="Times New Roman" w:eastAsia="宋体"/>
                      <w:color w:val="auto"/>
                      <w:sz w:val="21"/>
                      <w:szCs w:val="21"/>
                      <w:highlight w:val="none"/>
                      <w:lang w:val="en-US" w:eastAsia="zh-CN"/>
                    </w:rPr>
                  </w:pPr>
                </w:p>
              </w:tc>
              <w:tc>
                <w:tcPr>
                  <w:tcW w:w="776" w:type="pct"/>
                  <w:vMerge w:val="continue"/>
                  <w:vAlign w:val="center"/>
                </w:tcPr>
                <w:p w14:paraId="10F58399">
                  <w:pPr>
                    <w:spacing w:after="0"/>
                    <w:jc w:val="center"/>
                    <w:textAlignment w:val="baseline"/>
                    <w:rPr>
                      <w:rFonts w:ascii="Times New Roman" w:hAnsi="Times New Roman" w:eastAsia="宋体"/>
                      <w:color w:val="auto"/>
                      <w:sz w:val="21"/>
                      <w:szCs w:val="21"/>
                      <w:highlight w:val="none"/>
                    </w:rPr>
                  </w:pPr>
                </w:p>
              </w:tc>
              <w:tc>
                <w:tcPr>
                  <w:tcW w:w="1446" w:type="dxa"/>
                  <w:vAlign w:val="center"/>
                </w:tcPr>
                <w:p w14:paraId="00989B2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0.002700</w:t>
                  </w:r>
                </w:p>
              </w:tc>
            </w:tr>
            <w:tr w14:paraId="506F2B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pct"/>
                  <w:vMerge w:val="continue"/>
                  <w:vAlign w:val="center"/>
                </w:tcPr>
                <w:p w14:paraId="00388AF7">
                  <w:pPr>
                    <w:spacing w:after="0"/>
                    <w:jc w:val="center"/>
                    <w:textAlignment w:val="baseline"/>
                    <w:rPr>
                      <w:rFonts w:hint="eastAsia" w:ascii="宋体" w:hAnsi="宋体" w:eastAsia="宋体" w:cs="宋体"/>
                      <w:color w:val="auto"/>
                      <w:sz w:val="21"/>
                      <w:szCs w:val="21"/>
                      <w:highlight w:val="none"/>
                      <w:lang w:val="en-US" w:eastAsia="zh-CN"/>
                    </w:rPr>
                  </w:pPr>
                </w:p>
              </w:tc>
              <w:tc>
                <w:tcPr>
                  <w:tcW w:w="884" w:type="pct"/>
                  <w:vAlign w:val="center"/>
                </w:tcPr>
                <w:p w14:paraId="61D3D21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NH</w:t>
                  </w:r>
                  <w:r>
                    <w:rPr>
                      <w:rStyle w:val="72"/>
                      <w:rFonts w:eastAsia="宋体"/>
                      <w:color w:val="auto"/>
                      <w:highlight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-N</w:t>
                  </w:r>
                </w:p>
              </w:tc>
              <w:tc>
                <w:tcPr>
                  <w:tcW w:w="874" w:type="pct"/>
                  <w:vAlign w:val="center"/>
                </w:tcPr>
                <w:p w14:paraId="2840624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44" w:type="pct"/>
                  <w:vMerge w:val="continue"/>
                  <w:vAlign w:val="center"/>
                </w:tcPr>
                <w:p w14:paraId="3344D694">
                  <w:pPr>
                    <w:spacing w:after="0"/>
                    <w:jc w:val="center"/>
                    <w:textAlignment w:val="baseline"/>
                    <w:rPr>
                      <w:rFonts w:hint="eastAsia" w:ascii="Times New Roman" w:hAnsi="Times New Roman" w:eastAsia="宋体"/>
                      <w:color w:val="auto"/>
                      <w:sz w:val="21"/>
                      <w:szCs w:val="21"/>
                      <w:highlight w:val="none"/>
                      <w:lang w:val="en-US" w:eastAsia="zh-CN"/>
                    </w:rPr>
                  </w:pPr>
                </w:p>
              </w:tc>
              <w:tc>
                <w:tcPr>
                  <w:tcW w:w="776" w:type="pct"/>
                  <w:vMerge w:val="continue"/>
                  <w:vAlign w:val="center"/>
                </w:tcPr>
                <w:p w14:paraId="26E334CE">
                  <w:pPr>
                    <w:spacing w:after="0"/>
                    <w:jc w:val="center"/>
                    <w:textAlignment w:val="baseline"/>
                    <w:rPr>
                      <w:rFonts w:ascii="Times New Roman" w:hAnsi="Times New Roman" w:eastAsia="宋体"/>
                      <w:color w:val="auto"/>
                      <w:sz w:val="21"/>
                      <w:szCs w:val="21"/>
                      <w:highlight w:val="none"/>
                    </w:rPr>
                  </w:pPr>
                </w:p>
              </w:tc>
              <w:tc>
                <w:tcPr>
                  <w:tcW w:w="1446" w:type="dxa"/>
                  <w:vAlign w:val="center"/>
                </w:tcPr>
                <w:p w14:paraId="401A2BA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0.000270</w:t>
                  </w:r>
                </w:p>
              </w:tc>
            </w:tr>
            <w:tr w14:paraId="62A3CF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pct"/>
                  <w:vMerge w:val="continue"/>
                  <w:vAlign w:val="center"/>
                </w:tcPr>
                <w:p w14:paraId="7D432C57">
                  <w:pPr>
                    <w:spacing w:after="0"/>
                    <w:jc w:val="center"/>
                    <w:textAlignment w:val="baseline"/>
                    <w:rPr>
                      <w:rFonts w:hint="eastAsia" w:ascii="宋体" w:hAnsi="宋体" w:eastAsia="宋体" w:cs="宋体"/>
                      <w:color w:val="auto"/>
                      <w:sz w:val="21"/>
                      <w:szCs w:val="21"/>
                      <w:highlight w:val="none"/>
                      <w:lang w:val="en-US" w:eastAsia="zh-CN"/>
                    </w:rPr>
                  </w:pPr>
                </w:p>
              </w:tc>
              <w:tc>
                <w:tcPr>
                  <w:tcW w:w="884" w:type="pct"/>
                  <w:vAlign w:val="center"/>
                </w:tcPr>
                <w:p w14:paraId="5A35031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TP</w:t>
                  </w:r>
                </w:p>
              </w:tc>
              <w:tc>
                <w:tcPr>
                  <w:tcW w:w="874" w:type="pct"/>
                  <w:vAlign w:val="center"/>
                </w:tcPr>
                <w:p w14:paraId="413F53A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744" w:type="pct"/>
                  <w:vMerge w:val="continue"/>
                  <w:vAlign w:val="center"/>
                </w:tcPr>
                <w:p w14:paraId="1CAA042C">
                  <w:pPr>
                    <w:spacing w:after="0"/>
                    <w:jc w:val="center"/>
                    <w:textAlignment w:val="baseline"/>
                    <w:rPr>
                      <w:rFonts w:hint="eastAsia" w:ascii="Times New Roman" w:hAnsi="Times New Roman" w:eastAsia="宋体"/>
                      <w:color w:val="auto"/>
                      <w:sz w:val="21"/>
                      <w:szCs w:val="21"/>
                      <w:highlight w:val="none"/>
                      <w:lang w:val="en-US" w:eastAsia="zh-CN"/>
                    </w:rPr>
                  </w:pPr>
                </w:p>
              </w:tc>
              <w:tc>
                <w:tcPr>
                  <w:tcW w:w="776" w:type="pct"/>
                  <w:vMerge w:val="continue"/>
                  <w:vAlign w:val="center"/>
                </w:tcPr>
                <w:p w14:paraId="6FB35A71">
                  <w:pPr>
                    <w:spacing w:after="0"/>
                    <w:jc w:val="center"/>
                    <w:textAlignment w:val="baseline"/>
                    <w:rPr>
                      <w:rFonts w:ascii="Times New Roman" w:hAnsi="Times New Roman" w:eastAsia="宋体"/>
                      <w:color w:val="auto"/>
                      <w:sz w:val="21"/>
                      <w:szCs w:val="21"/>
                      <w:highlight w:val="none"/>
                    </w:rPr>
                  </w:pPr>
                </w:p>
              </w:tc>
              <w:tc>
                <w:tcPr>
                  <w:tcW w:w="1446" w:type="dxa"/>
                  <w:vAlign w:val="center"/>
                </w:tcPr>
                <w:p w14:paraId="30DEF32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0.000054</w:t>
                  </w:r>
                </w:p>
              </w:tc>
            </w:tr>
            <w:tr w14:paraId="04AC16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pct"/>
                  <w:vMerge w:val="continue"/>
                  <w:vAlign w:val="center"/>
                </w:tcPr>
                <w:p w14:paraId="2745E41D">
                  <w:pPr>
                    <w:spacing w:after="0"/>
                    <w:jc w:val="center"/>
                    <w:textAlignment w:val="baseline"/>
                    <w:rPr>
                      <w:rFonts w:hint="eastAsia" w:ascii="宋体" w:hAnsi="宋体" w:eastAsia="宋体" w:cs="宋体"/>
                      <w:color w:val="auto"/>
                      <w:sz w:val="21"/>
                      <w:szCs w:val="21"/>
                      <w:highlight w:val="none"/>
                      <w:lang w:val="en-US" w:eastAsia="zh-CN"/>
                    </w:rPr>
                  </w:pPr>
                </w:p>
              </w:tc>
              <w:tc>
                <w:tcPr>
                  <w:tcW w:w="884" w:type="pct"/>
                  <w:vAlign w:val="center"/>
                </w:tcPr>
                <w:p w14:paraId="5D325DD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TN</w:t>
                  </w:r>
                </w:p>
              </w:tc>
              <w:tc>
                <w:tcPr>
                  <w:tcW w:w="874" w:type="pct"/>
                  <w:vAlign w:val="center"/>
                </w:tcPr>
                <w:p w14:paraId="5DCE736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44" w:type="pct"/>
                  <w:vMerge w:val="continue"/>
                  <w:vAlign w:val="center"/>
                </w:tcPr>
                <w:p w14:paraId="142C7B67">
                  <w:pPr>
                    <w:spacing w:after="0"/>
                    <w:jc w:val="center"/>
                    <w:textAlignment w:val="baseline"/>
                    <w:rPr>
                      <w:rFonts w:hint="eastAsia" w:ascii="Times New Roman" w:hAnsi="Times New Roman" w:eastAsia="宋体"/>
                      <w:color w:val="auto"/>
                      <w:sz w:val="21"/>
                      <w:szCs w:val="21"/>
                      <w:highlight w:val="none"/>
                      <w:lang w:val="en-US" w:eastAsia="zh-CN"/>
                    </w:rPr>
                  </w:pPr>
                </w:p>
              </w:tc>
              <w:tc>
                <w:tcPr>
                  <w:tcW w:w="776" w:type="pct"/>
                  <w:vMerge w:val="continue"/>
                  <w:vAlign w:val="center"/>
                </w:tcPr>
                <w:p w14:paraId="42E5D5E2">
                  <w:pPr>
                    <w:spacing w:after="0"/>
                    <w:jc w:val="center"/>
                    <w:textAlignment w:val="baseline"/>
                    <w:rPr>
                      <w:rFonts w:ascii="Times New Roman" w:hAnsi="Times New Roman" w:eastAsia="宋体"/>
                      <w:color w:val="auto"/>
                      <w:sz w:val="21"/>
                      <w:szCs w:val="21"/>
                      <w:highlight w:val="none"/>
                    </w:rPr>
                  </w:pPr>
                </w:p>
              </w:tc>
              <w:tc>
                <w:tcPr>
                  <w:tcW w:w="1446" w:type="dxa"/>
                  <w:vAlign w:val="center"/>
                </w:tcPr>
                <w:p w14:paraId="67D387A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0.000270</w:t>
                  </w:r>
                </w:p>
              </w:tc>
            </w:tr>
          </w:tbl>
          <w:p w14:paraId="6DBB34EC">
            <w:pPr>
              <w:pStyle w:val="6"/>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本项目废水污染物实际排放量与环评批复总量控制要求对比情况见下表：</w:t>
            </w:r>
          </w:p>
          <w:p w14:paraId="73107548">
            <w:pPr>
              <w:spacing w:after="0" w:line="460" w:lineRule="exact"/>
              <w:ind w:firstLine="482"/>
              <w:rPr>
                <w:rFonts w:hint="default" w:ascii="Times New Roman" w:hAnsi="Times New Roman" w:eastAsia="宋体"/>
                <w:b/>
                <w:bCs/>
                <w:color w:val="auto"/>
                <w:sz w:val="24"/>
                <w:szCs w:val="24"/>
                <w:highlight w:val="none"/>
                <w:lang w:val="en-US" w:eastAsia="zh-CN"/>
              </w:rPr>
            </w:pPr>
            <w:r>
              <w:rPr>
                <w:rFonts w:ascii="Times New Roman" w:hAnsi="Times New Roman" w:eastAsia="宋体"/>
                <w:b/>
                <w:bCs/>
                <w:color w:val="auto"/>
                <w:sz w:val="24"/>
                <w:szCs w:val="24"/>
                <w:highlight w:val="none"/>
              </w:rPr>
              <w:t>表</w:t>
            </w:r>
            <w:r>
              <w:rPr>
                <w:rFonts w:hint="eastAsia" w:ascii="Times New Roman" w:hAnsi="Times New Roman" w:eastAsia="宋体"/>
                <w:b/>
                <w:bCs/>
                <w:color w:val="auto"/>
                <w:sz w:val="24"/>
                <w:szCs w:val="24"/>
                <w:highlight w:val="none"/>
              </w:rPr>
              <w:t>23</w:t>
            </w:r>
            <w:r>
              <w:rPr>
                <w:rFonts w:ascii="Times New Roman" w:hAnsi="Times New Roman" w:eastAsia="宋体"/>
                <w:b/>
                <w:bCs/>
                <w:color w:val="auto"/>
                <w:sz w:val="24"/>
                <w:szCs w:val="24"/>
                <w:highlight w:val="none"/>
              </w:rPr>
              <w:t xml:space="preserve">           废</w:t>
            </w:r>
            <w:r>
              <w:rPr>
                <w:rFonts w:hint="eastAsia" w:ascii="Times New Roman" w:hAnsi="Times New Roman" w:eastAsia="宋体"/>
                <w:b/>
                <w:bCs/>
                <w:color w:val="auto"/>
                <w:sz w:val="24"/>
                <w:szCs w:val="24"/>
                <w:highlight w:val="none"/>
                <w:lang w:val="en-US" w:eastAsia="zh-CN"/>
              </w:rPr>
              <w:t>水</w:t>
            </w:r>
            <w:r>
              <w:rPr>
                <w:rFonts w:ascii="Times New Roman" w:hAnsi="Times New Roman" w:eastAsia="宋体"/>
                <w:b/>
                <w:bCs/>
                <w:color w:val="auto"/>
                <w:sz w:val="24"/>
                <w:szCs w:val="24"/>
                <w:highlight w:val="none"/>
              </w:rPr>
              <w:t>污染物排放</w:t>
            </w:r>
            <w:r>
              <w:rPr>
                <w:rFonts w:hint="eastAsia" w:ascii="Times New Roman" w:hAnsi="Times New Roman" w:eastAsia="宋体"/>
                <w:b/>
                <w:bCs/>
                <w:color w:val="auto"/>
                <w:sz w:val="24"/>
                <w:szCs w:val="24"/>
                <w:highlight w:val="none"/>
                <w:lang w:val="en-US" w:eastAsia="zh-CN"/>
              </w:rPr>
              <w:t>量情况及环评批复许可排放量</w:t>
            </w:r>
          </w:p>
          <w:tbl>
            <w:tblPr>
              <w:tblStyle w:val="18"/>
              <w:tblpPr w:leftFromText="180" w:rightFromText="180" w:vertAnchor="text" w:tblpXSpec="center" w:tblpY="1"/>
              <w:tblOverlap w:val="never"/>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8"/>
              <w:gridCol w:w="1688"/>
              <w:gridCol w:w="1671"/>
              <w:gridCol w:w="1663"/>
              <w:gridCol w:w="1663"/>
            </w:tblGrid>
            <w:tr w14:paraId="5A99F2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4" w:type="pct"/>
                  <w:vAlign w:val="center"/>
                </w:tcPr>
                <w:p w14:paraId="587A1B53">
                  <w:pPr>
                    <w:spacing w:after="0"/>
                    <w:jc w:val="center"/>
                    <w:textAlignment w:val="baseline"/>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排放点</w:t>
                  </w:r>
                </w:p>
              </w:tc>
              <w:tc>
                <w:tcPr>
                  <w:tcW w:w="1016" w:type="pct"/>
                  <w:vAlign w:val="center"/>
                </w:tcPr>
                <w:p w14:paraId="32E683E1">
                  <w:pPr>
                    <w:spacing w:after="0"/>
                    <w:jc w:val="center"/>
                    <w:textAlignment w:val="baseline"/>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污染因子</w:t>
                  </w:r>
                </w:p>
              </w:tc>
              <w:tc>
                <w:tcPr>
                  <w:tcW w:w="1006" w:type="pct"/>
                  <w:vAlign w:val="center"/>
                </w:tcPr>
                <w:p w14:paraId="43681C01">
                  <w:pPr>
                    <w:spacing w:after="0"/>
                    <w:jc w:val="center"/>
                    <w:textAlignment w:val="baseline"/>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环评允许排放量</w:t>
                  </w:r>
                  <w:r>
                    <w:rPr>
                      <w:rFonts w:hint="eastAsia" w:ascii="Times New Roman" w:hAnsi="Times New Roman" w:eastAsia="宋体"/>
                      <w:b/>
                      <w:bCs/>
                      <w:color w:val="auto"/>
                      <w:sz w:val="21"/>
                      <w:szCs w:val="21"/>
                      <w:highlight w:val="none"/>
                    </w:rPr>
                    <w:t>(</w:t>
                  </w:r>
                  <w:r>
                    <w:rPr>
                      <w:rFonts w:ascii="Times New Roman" w:hAnsi="Times New Roman" w:eastAsia="宋体"/>
                      <w:b/>
                      <w:bCs/>
                      <w:color w:val="auto"/>
                      <w:sz w:val="21"/>
                      <w:szCs w:val="21"/>
                      <w:highlight w:val="none"/>
                    </w:rPr>
                    <w:t>t/a)</w:t>
                  </w:r>
                </w:p>
              </w:tc>
              <w:tc>
                <w:tcPr>
                  <w:tcW w:w="1001" w:type="pct"/>
                  <w:vAlign w:val="center"/>
                </w:tcPr>
                <w:p w14:paraId="78FD4223">
                  <w:pPr>
                    <w:spacing w:after="0"/>
                    <w:jc w:val="center"/>
                    <w:textAlignment w:val="baseline"/>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本期允许排放量</w:t>
                  </w:r>
                  <w:r>
                    <w:rPr>
                      <w:rFonts w:hint="eastAsia" w:ascii="Times New Roman" w:hAnsi="Times New Roman" w:eastAsia="宋体"/>
                      <w:b/>
                      <w:bCs/>
                      <w:color w:val="auto"/>
                      <w:sz w:val="21"/>
                      <w:szCs w:val="21"/>
                      <w:highlight w:val="none"/>
                    </w:rPr>
                    <w:t>(</w:t>
                  </w:r>
                  <w:r>
                    <w:rPr>
                      <w:rFonts w:ascii="Times New Roman" w:hAnsi="Times New Roman" w:eastAsia="宋体"/>
                      <w:b/>
                      <w:bCs/>
                      <w:color w:val="auto"/>
                      <w:sz w:val="21"/>
                      <w:szCs w:val="21"/>
                      <w:highlight w:val="none"/>
                    </w:rPr>
                    <w:t>t/a)</w:t>
                  </w:r>
                </w:p>
              </w:tc>
              <w:tc>
                <w:tcPr>
                  <w:tcW w:w="1001" w:type="pct"/>
                  <w:vAlign w:val="center"/>
                </w:tcPr>
                <w:p w14:paraId="0B1E414E">
                  <w:pPr>
                    <w:spacing w:after="0"/>
                    <w:jc w:val="center"/>
                    <w:textAlignment w:val="baseline"/>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实际排放量</w:t>
                  </w:r>
                  <w:r>
                    <w:rPr>
                      <w:rFonts w:hint="eastAsia" w:ascii="Times New Roman" w:hAnsi="Times New Roman" w:eastAsia="宋体"/>
                      <w:b/>
                      <w:bCs/>
                      <w:color w:val="auto"/>
                      <w:sz w:val="21"/>
                      <w:szCs w:val="21"/>
                      <w:highlight w:val="none"/>
                    </w:rPr>
                    <w:t>(</w:t>
                  </w:r>
                  <w:r>
                    <w:rPr>
                      <w:rFonts w:ascii="Times New Roman" w:hAnsi="Times New Roman" w:eastAsia="宋体"/>
                      <w:b/>
                      <w:bCs/>
                      <w:color w:val="auto"/>
                      <w:sz w:val="21"/>
                      <w:szCs w:val="21"/>
                      <w:highlight w:val="none"/>
                    </w:rPr>
                    <w:t>t/a)</w:t>
                  </w:r>
                </w:p>
              </w:tc>
            </w:tr>
            <w:tr w14:paraId="050B16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4" w:type="pct"/>
                  <w:vMerge w:val="restart"/>
                  <w:vAlign w:val="center"/>
                </w:tcPr>
                <w:p w14:paraId="2A340B11">
                  <w:pPr>
                    <w:spacing w:after="0"/>
                    <w:jc w:val="center"/>
                    <w:textAlignment w:val="baseline"/>
                    <w:rPr>
                      <w:rFonts w:hint="default" w:ascii="Times New Roman" w:hAnsi="Times New Roman" w:eastAsia="宋体"/>
                      <w:color w:val="auto"/>
                      <w:sz w:val="21"/>
                      <w:szCs w:val="21"/>
                      <w:highlight w:val="none"/>
                      <w:lang w:val="en-US"/>
                    </w:rPr>
                  </w:pPr>
                  <w:r>
                    <w:rPr>
                      <w:rFonts w:hint="eastAsia" w:ascii="宋体" w:hAnsi="宋体" w:eastAsia="宋体" w:cs="宋体"/>
                      <w:color w:val="auto"/>
                      <w:sz w:val="21"/>
                      <w:szCs w:val="21"/>
                      <w:highlight w:val="none"/>
                      <w:lang w:val="en-US" w:eastAsia="zh-CN"/>
                    </w:rPr>
                    <w:t>厂区总排口</w:t>
                  </w:r>
                </w:p>
              </w:tc>
              <w:tc>
                <w:tcPr>
                  <w:tcW w:w="1016" w:type="pct"/>
                  <w:vAlign w:val="center"/>
                </w:tcPr>
                <w:p w14:paraId="5723604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1671" w:type="dxa"/>
                  <w:vAlign w:val="center"/>
                </w:tcPr>
                <w:p w14:paraId="19F571B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0.0062</w:t>
                  </w:r>
                </w:p>
              </w:tc>
              <w:tc>
                <w:tcPr>
                  <w:tcW w:w="1663" w:type="dxa"/>
                  <w:vAlign w:val="center"/>
                </w:tcPr>
                <w:p w14:paraId="1D67936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0.005976</w:t>
                  </w:r>
                </w:p>
              </w:tc>
              <w:tc>
                <w:tcPr>
                  <w:tcW w:w="1663" w:type="dxa"/>
                  <w:vAlign w:val="center"/>
                </w:tcPr>
                <w:p w14:paraId="445388F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0.005400</w:t>
                  </w:r>
                </w:p>
              </w:tc>
            </w:tr>
            <w:tr w14:paraId="0D0ABF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4" w:type="pct"/>
                  <w:vMerge w:val="continue"/>
                  <w:vAlign w:val="center"/>
                </w:tcPr>
                <w:p w14:paraId="57E4D21F">
                  <w:pPr>
                    <w:spacing w:after="0"/>
                    <w:jc w:val="center"/>
                    <w:textAlignment w:val="baseline"/>
                    <w:rPr>
                      <w:rFonts w:hint="eastAsia" w:ascii="宋体" w:hAnsi="宋体" w:eastAsia="宋体" w:cs="宋体"/>
                      <w:color w:val="auto"/>
                      <w:sz w:val="21"/>
                      <w:szCs w:val="21"/>
                      <w:highlight w:val="none"/>
                      <w:lang w:val="en-US" w:eastAsia="zh-CN"/>
                    </w:rPr>
                  </w:pPr>
                </w:p>
              </w:tc>
              <w:tc>
                <w:tcPr>
                  <w:tcW w:w="1016" w:type="pct"/>
                  <w:vAlign w:val="center"/>
                </w:tcPr>
                <w:p w14:paraId="09CA4B4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BOD</w:t>
                  </w:r>
                  <w:r>
                    <w:rPr>
                      <w:rStyle w:val="72"/>
                      <w:rFonts w:eastAsia="宋体"/>
                      <w:color w:val="auto"/>
                      <w:highlight w:val="none"/>
                      <w:vertAlign w:val="subscript"/>
                      <w:lang w:val="en-US" w:eastAsia="zh-CN" w:bidi="ar"/>
                    </w:rPr>
                    <w:t>5</w:t>
                  </w:r>
                </w:p>
              </w:tc>
              <w:tc>
                <w:tcPr>
                  <w:tcW w:w="1671" w:type="dxa"/>
                  <w:vAlign w:val="center"/>
                </w:tcPr>
                <w:p w14:paraId="7D737F8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0.0031</w:t>
                  </w:r>
                </w:p>
              </w:tc>
              <w:tc>
                <w:tcPr>
                  <w:tcW w:w="1663" w:type="dxa"/>
                  <w:vAlign w:val="center"/>
                </w:tcPr>
                <w:p w14:paraId="063A6C2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0.002988</w:t>
                  </w:r>
                </w:p>
              </w:tc>
              <w:tc>
                <w:tcPr>
                  <w:tcW w:w="1663" w:type="dxa"/>
                  <w:vAlign w:val="center"/>
                </w:tcPr>
                <w:p w14:paraId="5D146A5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0.002700</w:t>
                  </w:r>
                </w:p>
              </w:tc>
            </w:tr>
            <w:tr w14:paraId="269F16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4" w:type="pct"/>
                  <w:vMerge w:val="continue"/>
                  <w:vAlign w:val="center"/>
                </w:tcPr>
                <w:p w14:paraId="5554D729">
                  <w:pPr>
                    <w:spacing w:after="0"/>
                    <w:jc w:val="center"/>
                    <w:textAlignment w:val="baseline"/>
                    <w:rPr>
                      <w:rFonts w:hint="eastAsia" w:ascii="宋体" w:hAnsi="宋体" w:eastAsia="宋体" w:cs="宋体"/>
                      <w:color w:val="auto"/>
                      <w:sz w:val="21"/>
                      <w:szCs w:val="21"/>
                      <w:highlight w:val="none"/>
                      <w:lang w:val="en-US" w:eastAsia="zh-CN"/>
                    </w:rPr>
                  </w:pPr>
                </w:p>
              </w:tc>
              <w:tc>
                <w:tcPr>
                  <w:tcW w:w="1016" w:type="pct"/>
                  <w:vAlign w:val="center"/>
                </w:tcPr>
                <w:p w14:paraId="04A11FA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1671" w:type="dxa"/>
                  <w:vAlign w:val="center"/>
                </w:tcPr>
                <w:p w14:paraId="129790F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0.0031</w:t>
                  </w:r>
                </w:p>
              </w:tc>
              <w:tc>
                <w:tcPr>
                  <w:tcW w:w="1663" w:type="dxa"/>
                  <w:vAlign w:val="center"/>
                </w:tcPr>
                <w:p w14:paraId="0CB492E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0.002988</w:t>
                  </w:r>
                </w:p>
              </w:tc>
              <w:tc>
                <w:tcPr>
                  <w:tcW w:w="1663" w:type="dxa"/>
                  <w:vAlign w:val="center"/>
                </w:tcPr>
                <w:p w14:paraId="16AD358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0.002700</w:t>
                  </w:r>
                </w:p>
              </w:tc>
            </w:tr>
            <w:tr w14:paraId="000561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4" w:type="pct"/>
                  <w:vMerge w:val="continue"/>
                  <w:vAlign w:val="center"/>
                </w:tcPr>
                <w:p w14:paraId="5C1C8AF3">
                  <w:pPr>
                    <w:spacing w:after="0"/>
                    <w:jc w:val="center"/>
                    <w:textAlignment w:val="baseline"/>
                    <w:rPr>
                      <w:rFonts w:hint="eastAsia" w:ascii="宋体" w:hAnsi="宋体" w:eastAsia="宋体" w:cs="宋体"/>
                      <w:color w:val="auto"/>
                      <w:sz w:val="21"/>
                      <w:szCs w:val="21"/>
                      <w:highlight w:val="none"/>
                      <w:lang w:val="en-US" w:eastAsia="zh-CN"/>
                    </w:rPr>
                  </w:pPr>
                </w:p>
              </w:tc>
              <w:tc>
                <w:tcPr>
                  <w:tcW w:w="1016" w:type="pct"/>
                  <w:vAlign w:val="center"/>
                </w:tcPr>
                <w:p w14:paraId="5B1A8D6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NH</w:t>
                  </w:r>
                  <w:r>
                    <w:rPr>
                      <w:rStyle w:val="72"/>
                      <w:rFonts w:eastAsia="宋体"/>
                      <w:color w:val="auto"/>
                      <w:highlight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-N</w:t>
                  </w:r>
                </w:p>
              </w:tc>
              <w:tc>
                <w:tcPr>
                  <w:tcW w:w="1671" w:type="dxa"/>
                  <w:vAlign w:val="center"/>
                </w:tcPr>
                <w:p w14:paraId="3CD223A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0.0003</w:t>
                  </w:r>
                </w:p>
              </w:tc>
              <w:tc>
                <w:tcPr>
                  <w:tcW w:w="1663" w:type="dxa"/>
                  <w:vAlign w:val="center"/>
                </w:tcPr>
                <w:p w14:paraId="35954A6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0.000299</w:t>
                  </w:r>
                </w:p>
              </w:tc>
              <w:tc>
                <w:tcPr>
                  <w:tcW w:w="1663" w:type="dxa"/>
                  <w:vAlign w:val="center"/>
                </w:tcPr>
                <w:p w14:paraId="4BA6DCF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0.000270</w:t>
                  </w:r>
                </w:p>
              </w:tc>
            </w:tr>
            <w:tr w14:paraId="2E9DD84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4" w:type="pct"/>
                  <w:vMerge w:val="continue"/>
                  <w:vAlign w:val="center"/>
                </w:tcPr>
                <w:p w14:paraId="2CC8D6F9">
                  <w:pPr>
                    <w:spacing w:after="0"/>
                    <w:jc w:val="center"/>
                    <w:textAlignment w:val="baseline"/>
                    <w:rPr>
                      <w:rFonts w:hint="eastAsia" w:ascii="宋体" w:hAnsi="宋体" w:eastAsia="宋体" w:cs="宋体"/>
                      <w:color w:val="auto"/>
                      <w:sz w:val="21"/>
                      <w:szCs w:val="21"/>
                      <w:highlight w:val="none"/>
                      <w:lang w:val="en-US" w:eastAsia="zh-CN"/>
                    </w:rPr>
                  </w:pPr>
                </w:p>
              </w:tc>
              <w:tc>
                <w:tcPr>
                  <w:tcW w:w="1016" w:type="pct"/>
                  <w:vAlign w:val="center"/>
                </w:tcPr>
                <w:p w14:paraId="0862AC3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TP</w:t>
                  </w:r>
                </w:p>
              </w:tc>
              <w:tc>
                <w:tcPr>
                  <w:tcW w:w="1671" w:type="dxa"/>
                  <w:vAlign w:val="center"/>
                </w:tcPr>
                <w:p w14:paraId="1AB5088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0.0001</w:t>
                  </w:r>
                </w:p>
              </w:tc>
              <w:tc>
                <w:tcPr>
                  <w:tcW w:w="1663" w:type="dxa"/>
                  <w:vAlign w:val="center"/>
                </w:tcPr>
                <w:p w14:paraId="08363C1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0.000060</w:t>
                  </w:r>
                </w:p>
              </w:tc>
              <w:tc>
                <w:tcPr>
                  <w:tcW w:w="1663" w:type="dxa"/>
                  <w:vAlign w:val="center"/>
                </w:tcPr>
                <w:p w14:paraId="04F16B6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0.000054</w:t>
                  </w:r>
                </w:p>
              </w:tc>
            </w:tr>
            <w:tr w14:paraId="4C2AD3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4" w:type="pct"/>
                  <w:vMerge w:val="continue"/>
                  <w:vAlign w:val="center"/>
                </w:tcPr>
                <w:p w14:paraId="535D9846">
                  <w:pPr>
                    <w:spacing w:after="0"/>
                    <w:jc w:val="center"/>
                    <w:textAlignment w:val="baseline"/>
                    <w:rPr>
                      <w:rFonts w:hint="eastAsia" w:ascii="宋体" w:hAnsi="宋体" w:eastAsia="宋体" w:cs="宋体"/>
                      <w:color w:val="auto"/>
                      <w:sz w:val="21"/>
                      <w:szCs w:val="21"/>
                      <w:highlight w:val="none"/>
                      <w:lang w:val="en-US" w:eastAsia="zh-CN"/>
                    </w:rPr>
                  </w:pPr>
                </w:p>
              </w:tc>
              <w:tc>
                <w:tcPr>
                  <w:tcW w:w="1016" w:type="pct"/>
                  <w:vAlign w:val="center"/>
                </w:tcPr>
                <w:p w14:paraId="04AEFF4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TN</w:t>
                  </w:r>
                </w:p>
              </w:tc>
              <w:tc>
                <w:tcPr>
                  <w:tcW w:w="1671" w:type="dxa"/>
                  <w:vAlign w:val="center"/>
                </w:tcPr>
                <w:p w14:paraId="4E8F180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0.0003</w:t>
                  </w:r>
                </w:p>
              </w:tc>
              <w:tc>
                <w:tcPr>
                  <w:tcW w:w="1663" w:type="dxa"/>
                  <w:vAlign w:val="center"/>
                </w:tcPr>
                <w:p w14:paraId="42D20B8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0.000299</w:t>
                  </w:r>
                </w:p>
              </w:tc>
              <w:tc>
                <w:tcPr>
                  <w:tcW w:w="1663" w:type="dxa"/>
                  <w:vAlign w:val="center"/>
                </w:tcPr>
                <w:p w14:paraId="3B0785E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0.000270</w:t>
                  </w:r>
                </w:p>
              </w:tc>
            </w:tr>
          </w:tbl>
          <w:p w14:paraId="2F00133E">
            <w:pPr>
              <w:pStyle w:val="6"/>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由上表可知，本项目废水各污染物排放量能够满足环评批复总量控制要求。</w:t>
            </w:r>
          </w:p>
          <w:p w14:paraId="71602C39">
            <w:pPr>
              <w:spacing w:after="0" w:line="440" w:lineRule="exact"/>
              <w:jc w:val="both"/>
              <w:textAlignment w:val="baseline"/>
              <w:rPr>
                <w:rFonts w:eastAsia="宋体"/>
                <w:b/>
                <w:bCs/>
                <w:color w:val="auto"/>
                <w:sz w:val="24"/>
                <w:szCs w:val="24"/>
              </w:rPr>
            </w:pPr>
            <w:r>
              <w:rPr>
                <w:rFonts w:hint="eastAsia" w:eastAsia="宋体"/>
                <w:b/>
                <w:bCs/>
                <w:color w:val="auto"/>
                <w:sz w:val="24"/>
                <w:szCs w:val="24"/>
              </w:rPr>
              <w:t>二</w:t>
            </w:r>
            <w:r>
              <w:rPr>
                <w:rFonts w:eastAsia="宋体"/>
                <w:b/>
                <w:bCs/>
                <w:color w:val="auto"/>
                <w:sz w:val="24"/>
                <w:szCs w:val="24"/>
              </w:rPr>
              <w:t>、环境管理检查</w:t>
            </w:r>
          </w:p>
          <w:p w14:paraId="118D7754">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1、环保手续与“三同时”执行情况</w:t>
            </w:r>
          </w:p>
          <w:p w14:paraId="7B27854A">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建设单</w:t>
            </w:r>
            <w:r>
              <w:rPr>
                <w:rFonts w:hint="eastAsia" w:eastAsia="宋体"/>
                <w:bCs/>
                <w:color w:val="auto"/>
                <w:kern w:val="2"/>
                <w:sz w:val="24"/>
                <w:szCs w:val="24"/>
                <w:lang w:eastAsia="zh-CN"/>
              </w:rPr>
              <w:t>位在</w:t>
            </w:r>
            <w:r>
              <w:rPr>
                <w:rFonts w:eastAsia="宋体"/>
                <w:bCs/>
                <w:color w:val="auto"/>
                <w:kern w:val="2"/>
                <w:sz w:val="24"/>
                <w:szCs w:val="24"/>
              </w:rPr>
              <w:t>开工建设前进行了环境影响评价，建设过程中落实了“三同时”制度。</w:t>
            </w:r>
          </w:p>
          <w:p w14:paraId="3631556E">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2、环境管理制度及执行情况</w:t>
            </w:r>
          </w:p>
          <w:p w14:paraId="1DA72605">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建设单位按照有关规定建立了相关环境保护管理制度，由专人负责公司环境管理工作。</w:t>
            </w:r>
          </w:p>
          <w:p w14:paraId="306A451D">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3、环保设施运转情况</w:t>
            </w:r>
          </w:p>
          <w:p w14:paraId="77EA4552">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监测期间各项环保设施运转正常。</w:t>
            </w:r>
          </w:p>
          <w:p w14:paraId="7172482F">
            <w:pPr>
              <w:spacing w:after="0" w:line="460" w:lineRule="exact"/>
              <w:ind w:firstLine="480" w:firstLineChars="200"/>
              <w:jc w:val="both"/>
              <w:textAlignment w:val="baseline"/>
              <w:rPr>
                <w:rFonts w:eastAsia="宋体"/>
                <w:bCs/>
                <w:color w:val="auto"/>
                <w:kern w:val="2"/>
                <w:sz w:val="24"/>
                <w:szCs w:val="24"/>
              </w:rPr>
            </w:pPr>
            <w:r>
              <w:rPr>
                <w:rFonts w:hint="eastAsia" w:eastAsia="宋体"/>
                <w:bCs/>
                <w:color w:val="auto"/>
                <w:kern w:val="2"/>
                <w:sz w:val="24"/>
                <w:szCs w:val="24"/>
              </w:rPr>
              <w:t>4、与建设项目竣工环境保护验收暂行办法（国环规环评【2017】4号）以下简称《暂行办法》对比分析</w:t>
            </w:r>
          </w:p>
          <w:p w14:paraId="48481468">
            <w:pPr>
              <w:spacing w:after="0" w:line="520" w:lineRule="exact"/>
              <w:ind w:firstLine="480" w:firstLineChars="200"/>
              <w:jc w:val="both"/>
              <w:textAlignment w:val="baseline"/>
              <w:rPr>
                <w:rFonts w:eastAsia="黑体"/>
                <w:color w:val="auto"/>
                <w:sz w:val="24"/>
                <w:szCs w:val="21"/>
              </w:rPr>
            </w:pPr>
            <w:r>
              <w:rPr>
                <w:rFonts w:eastAsia="黑体"/>
                <w:color w:val="auto"/>
                <w:sz w:val="24"/>
                <w:szCs w:val="21"/>
              </w:rPr>
              <w:t>表</w:t>
            </w:r>
            <w:r>
              <w:rPr>
                <w:rFonts w:hint="eastAsia" w:eastAsia="黑体"/>
                <w:color w:val="auto"/>
                <w:sz w:val="24"/>
                <w:szCs w:val="21"/>
              </w:rPr>
              <w:t>21</w:t>
            </w:r>
            <w:r>
              <w:rPr>
                <w:rFonts w:eastAsia="黑体"/>
                <w:color w:val="auto"/>
                <w:sz w:val="24"/>
                <w:szCs w:val="21"/>
              </w:rPr>
              <w:t xml:space="preserve">            </w:t>
            </w:r>
            <w:r>
              <w:rPr>
                <w:rFonts w:hint="eastAsia" w:eastAsia="黑体"/>
                <w:color w:val="auto"/>
                <w:sz w:val="24"/>
                <w:szCs w:val="21"/>
              </w:rPr>
              <w:t xml:space="preserve"> 本项目与《暂行办法》对比分析情况</w:t>
            </w:r>
          </w:p>
          <w:tbl>
            <w:tblPr>
              <w:tblStyle w:val="18"/>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600"/>
              <w:gridCol w:w="2861"/>
              <w:gridCol w:w="845"/>
            </w:tblGrid>
            <w:tr w14:paraId="3CB970D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75" w:type="dxa"/>
                  <w:vAlign w:val="center"/>
                </w:tcPr>
                <w:p w14:paraId="1043B1D3">
                  <w:pPr>
                    <w:spacing w:after="0"/>
                    <w:jc w:val="center"/>
                    <w:rPr>
                      <w:rFonts w:hint="eastAsia" w:asciiTheme="minorEastAsia" w:hAnsiTheme="minorEastAsia" w:eastAsiaTheme="minorEastAsia"/>
                      <w:b/>
                      <w:color w:val="auto"/>
                      <w:kern w:val="2"/>
                      <w:sz w:val="21"/>
                      <w:szCs w:val="21"/>
                    </w:rPr>
                  </w:pPr>
                  <w:r>
                    <w:rPr>
                      <w:rFonts w:hint="eastAsia" w:asciiTheme="minorEastAsia" w:hAnsiTheme="minorEastAsia" w:eastAsiaTheme="minorEastAsia"/>
                      <w:b/>
                      <w:color w:val="auto"/>
                      <w:kern w:val="2"/>
                      <w:sz w:val="21"/>
                      <w:szCs w:val="21"/>
                    </w:rPr>
                    <w:t>内容</w:t>
                  </w:r>
                </w:p>
              </w:tc>
              <w:tc>
                <w:tcPr>
                  <w:tcW w:w="2783" w:type="dxa"/>
                  <w:vAlign w:val="center"/>
                </w:tcPr>
                <w:p w14:paraId="1009AF8A">
                  <w:pPr>
                    <w:spacing w:after="0"/>
                    <w:jc w:val="center"/>
                    <w:rPr>
                      <w:rFonts w:hint="eastAsia" w:asciiTheme="minorEastAsia" w:hAnsiTheme="minorEastAsia" w:eastAsiaTheme="minorEastAsia"/>
                      <w:b/>
                      <w:color w:val="auto"/>
                      <w:kern w:val="2"/>
                      <w:sz w:val="21"/>
                      <w:szCs w:val="21"/>
                    </w:rPr>
                  </w:pPr>
                  <w:r>
                    <w:rPr>
                      <w:rFonts w:hint="eastAsia" w:asciiTheme="minorEastAsia" w:hAnsiTheme="minorEastAsia" w:eastAsiaTheme="minorEastAsia"/>
                      <w:b/>
                      <w:color w:val="auto"/>
                      <w:kern w:val="2"/>
                      <w:sz w:val="21"/>
                      <w:szCs w:val="21"/>
                    </w:rPr>
                    <w:t>本项目情况</w:t>
                  </w:r>
                </w:p>
              </w:tc>
              <w:tc>
                <w:tcPr>
                  <w:tcW w:w="822" w:type="dxa"/>
                  <w:vAlign w:val="center"/>
                </w:tcPr>
                <w:p w14:paraId="5EA00A56">
                  <w:pPr>
                    <w:spacing w:after="0"/>
                    <w:jc w:val="center"/>
                    <w:rPr>
                      <w:rFonts w:hint="eastAsia" w:asciiTheme="minorEastAsia" w:hAnsiTheme="minorEastAsia" w:eastAsiaTheme="minorEastAsia"/>
                      <w:b/>
                      <w:color w:val="auto"/>
                      <w:kern w:val="2"/>
                      <w:sz w:val="21"/>
                      <w:szCs w:val="21"/>
                    </w:rPr>
                  </w:pPr>
                  <w:r>
                    <w:rPr>
                      <w:rFonts w:hint="eastAsia" w:asciiTheme="minorEastAsia" w:hAnsiTheme="minorEastAsia" w:eastAsiaTheme="minorEastAsia"/>
                      <w:b/>
                      <w:color w:val="auto"/>
                      <w:kern w:val="2"/>
                      <w:sz w:val="21"/>
                      <w:szCs w:val="21"/>
                    </w:rPr>
                    <w:t>对比结果</w:t>
                  </w:r>
                </w:p>
              </w:tc>
            </w:tr>
            <w:tr w14:paraId="50F3C44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75" w:type="dxa"/>
                  <w:vAlign w:val="center"/>
                </w:tcPr>
                <w:p w14:paraId="312ABBA7">
                  <w:pPr>
                    <w:tabs>
                      <w:tab w:val="left" w:pos="1875"/>
                    </w:tabs>
                    <w:spacing w:after="0"/>
                    <w:rPr>
                      <w:rFonts w:hint="eastAsia" w:ascii="宋体" w:hAnsi="宋体" w:eastAsia="宋体"/>
                      <w:color w:val="auto"/>
                      <w:kern w:val="2"/>
                      <w:sz w:val="21"/>
                      <w:szCs w:val="21"/>
                    </w:rPr>
                  </w:pPr>
                  <w:r>
                    <w:rPr>
                      <w:rFonts w:ascii="宋体" w:hAnsi="宋体" w:eastAsia="宋体"/>
                      <w:color w:val="auto"/>
                      <w:kern w:val="2"/>
                      <w:sz w:val="21"/>
                      <w:szCs w:val="21"/>
                    </w:rPr>
                    <w:t>未按环境影响报告书（表）及其审批部门审批决定要求建成环境保护设施，或者环境保护设施不能与主体工程同时投产或者使用的</w:t>
                  </w:r>
                  <w:r>
                    <w:rPr>
                      <w:rFonts w:hint="eastAsia" w:ascii="宋体" w:hAnsi="宋体" w:eastAsia="宋体"/>
                      <w:color w:val="auto"/>
                      <w:kern w:val="2"/>
                      <w:sz w:val="21"/>
                      <w:szCs w:val="21"/>
                    </w:rPr>
                    <w:t>，</w:t>
                  </w:r>
                  <w:r>
                    <w:rPr>
                      <w:rStyle w:val="53"/>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2783" w:type="dxa"/>
                  <w:vAlign w:val="center"/>
                </w:tcPr>
                <w:p w14:paraId="4F6DBD73">
                  <w:pPr>
                    <w:spacing w:after="0"/>
                    <w:jc w:val="both"/>
                    <w:rPr>
                      <w:rFonts w:hint="eastAsia" w:ascii="宋体" w:hAnsi="宋体" w:eastAsia="宋体"/>
                      <w:color w:val="auto"/>
                      <w:kern w:val="2"/>
                      <w:sz w:val="21"/>
                      <w:szCs w:val="21"/>
                    </w:rPr>
                  </w:pPr>
                  <w:r>
                    <w:rPr>
                      <w:rFonts w:hint="eastAsia" w:ascii="宋体" w:hAnsi="宋体" w:eastAsia="宋体"/>
                      <w:color w:val="auto"/>
                      <w:kern w:val="2"/>
                      <w:sz w:val="21"/>
                      <w:szCs w:val="21"/>
                    </w:rPr>
                    <w:t>本项目建成</w:t>
                  </w:r>
                  <w:r>
                    <w:rPr>
                      <w:rFonts w:ascii="宋体" w:hAnsi="宋体" w:eastAsia="宋体"/>
                      <w:color w:val="auto"/>
                      <w:kern w:val="2"/>
                      <w:sz w:val="21"/>
                      <w:szCs w:val="21"/>
                    </w:rPr>
                    <w:t>环境保护设施能与主体工程同时投产或者使用</w:t>
                  </w:r>
                  <w:r>
                    <w:rPr>
                      <w:rFonts w:hint="eastAsia" w:ascii="宋体" w:hAnsi="宋体" w:eastAsia="宋体"/>
                      <w:color w:val="auto"/>
                      <w:kern w:val="2"/>
                      <w:sz w:val="21"/>
                      <w:szCs w:val="21"/>
                    </w:rPr>
                    <w:t>。</w:t>
                  </w:r>
                </w:p>
              </w:tc>
              <w:tc>
                <w:tcPr>
                  <w:tcW w:w="822" w:type="dxa"/>
                  <w:vAlign w:val="center"/>
                </w:tcPr>
                <w:p w14:paraId="4009BF11">
                  <w:pPr>
                    <w:spacing w:after="0"/>
                    <w:jc w:val="center"/>
                    <w:rPr>
                      <w:rFonts w:hint="eastAsia" w:ascii="宋体" w:hAnsi="宋体" w:eastAsia="宋体"/>
                      <w:color w:val="auto"/>
                      <w:kern w:val="2"/>
                      <w:sz w:val="21"/>
                      <w:szCs w:val="21"/>
                    </w:rPr>
                  </w:pPr>
                  <w:r>
                    <w:rPr>
                      <w:rFonts w:hint="eastAsia" w:ascii="宋体" w:hAnsi="宋体" w:eastAsia="宋体"/>
                      <w:color w:val="auto"/>
                      <w:kern w:val="2"/>
                      <w:sz w:val="21"/>
                      <w:szCs w:val="21"/>
                    </w:rPr>
                    <w:t>相符</w:t>
                  </w:r>
                </w:p>
              </w:tc>
            </w:tr>
            <w:tr w14:paraId="2E2706B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75" w:type="dxa"/>
                  <w:vAlign w:val="center"/>
                </w:tcPr>
                <w:p w14:paraId="32BE5846">
                  <w:pPr>
                    <w:spacing w:after="0"/>
                    <w:rPr>
                      <w:rFonts w:hint="eastAsia" w:ascii="宋体" w:hAnsi="宋体" w:eastAsia="宋体"/>
                      <w:color w:val="auto"/>
                      <w:kern w:val="2"/>
                      <w:sz w:val="21"/>
                      <w:szCs w:val="21"/>
                    </w:rPr>
                  </w:pPr>
                  <w:r>
                    <w:rPr>
                      <w:rFonts w:ascii="宋体" w:hAnsi="宋体" w:eastAsia="宋体"/>
                      <w:color w:val="auto"/>
                      <w:kern w:val="2"/>
                      <w:sz w:val="21"/>
                      <w:szCs w:val="21"/>
                    </w:rPr>
                    <w:t>污染物排放不符合国家和地方相关标准、环境影响报告书（表）及其审批部门审批决定或者重点污染物排放总量控制指标要求的</w:t>
                  </w:r>
                  <w:r>
                    <w:rPr>
                      <w:rFonts w:hint="eastAsia" w:ascii="宋体" w:hAnsi="宋体" w:eastAsia="宋体"/>
                      <w:color w:val="auto"/>
                      <w:kern w:val="2"/>
                      <w:sz w:val="21"/>
                      <w:szCs w:val="21"/>
                    </w:rPr>
                    <w:t>，</w:t>
                  </w:r>
                  <w:r>
                    <w:rPr>
                      <w:rStyle w:val="53"/>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2783" w:type="dxa"/>
                  <w:vAlign w:val="center"/>
                </w:tcPr>
                <w:p w14:paraId="4B4D45E7">
                  <w:pPr>
                    <w:spacing w:after="0"/>
                    <w:jc w:val="both"/>
                    <w:rPr>
                      <w:rFonts w:hint="eastAsia" w:ascii="宋体" w:hAnsi="宋体" w:eastAsia="宋体"/>
                      <w:color w:val="auto"/>
                      <w:kern w:val="2"/>
                      <w:sz w:val="21"/>
                      <w:szCs w:val="21"/>
                    </w:rPr>
                  </w:pPr>
                  <w:r>
                    <w:rPr>
                      <w:rFonts w:hint="eastAsia" w:ascii="宋体" w:hAnsi="宋体" w:eastAsia="宋体"/>
                      <w:color w:val="auto"/>
                      <w:kern w:val="2"/>
                      <w:sz w:val="21"/>
                      <w:szCs w:val="21"/>
                    </w:rPr>
                    <w:t>本项目</w:t>
                  </w:r>
                  <w:r>
                    <w:rPr>
                      <w:rFonts w:ascii="宋体" w:hAnsi="宋体" w:eastAsia="宋体"/>
                      <w:color w:val="auto"/>
                      <w:kern w:val="2"/>
                      <w:sz w:val="21"/>
                      <w:szCs w:val="21"/>
                    </w:rPr>
                    <w:t>污染物排放符合国家和地方相关标准、环境影响报告表及其审批部门审批决定</w:t>
                  </w:r>
                  <w:r>
                    <w:rPr>
                      <w:rFonts w:hint="eastAsia" w:ascii="宋体" w:hAnsi="宋体" w:eastAsia="宋体"/>
                      <w:color w:val="auto"/>
                      <w:kern w:val="2"/>
                      <w:sz w:val="21"/>
                      <w:szCs w:val="21"/>
                    </w:rPr>
                    <w:t>。</w:t>
                  </w:r>
                </w:p>
              </w:tc>
              <w:tc>
                <w:tcPr>
                  <w:tcW w:w="822" w:type="dxa"/>
                  <w:vAlign w:val="center"/>
                </w:tcPr>
                <w:p w14:paraId="6E7F8BE7">
                  <w:pPr>
                    <w:spacing w:after="0"/>
                    <w:jc w:val="center"/>
                    <w:rPr>
                      <w:rFonts w:hint="eastAsia" w:ascii="宋体" w:hAnsi="宋体" w:eastAsia="宋体"/>
                      <w:color w:val="auto"/>
                      <w:kern w:val="2"/>
                      <w:sz w:val="21"/>
                      <w:szCs w:val="21"/>
                    </w:rPr>
                  </w:pPr>
                  <w:r>
                    <w:rPr>
                      <w:rFonts w:hint="eastAsia" w:ascii="宋体" w:hAnsi="宋体" w:eastAsia="宋体"/>
                      <w:color w:val="auto"/>
                      <w:kern w:val="2"/>
                      <w:sz w:val="21"/>
                      <w:szCs w:val="21"/>
                    </w:rPr>
                    <w:t>相符</w:t>
                  </w:r>
                </w:p>
              </w:tc>
            </w:tr>
            <w:tr w14:paraId="687F02C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75" w:type="dxa"/>
                  <w:vAlign w:val="center"/>
                </w:tcPr>
                <w:p w14:paraId="2A39869B">
                  <w:pPr>
                    <w:spacing w:after="0"/>
                    <w:rPr>
                      <w:rFonts w:hint="eastAsia" w:ascii="宋体" w:hAnsi="宋体" w:eastAsia="宋体"/>
                      <w:color w:val="auto"/>
                      <w:kern w:val="2"/>
                      <w:sz w:val="21"/>
                      <w:szCs w:val="21"/>
                    </w:rPr>
                  </w:pPr>
                  <w:r>
                    <w:rPr>
                      <w:rFonts w:ascii="宋体" w:hAnsi="宋体" w:eastAsia="宋体"/>
                      <w:color w:val="auto"/>
                      <w:kern w:val="2"/>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r>
                    <w:rPr>
                      <w:rFonts w:hint="eastAsia" w:ascii="宋体" w:hAnsi="宋体" w:eastAsia="宋体"/>
                      <w:color w:val="auto"/>
                      <w:kern w:val="2"/>
                      <w:sz w:val="21"/>
                      <w:szCs w:val="21"/>
                    </w:rPr>
                    <w:t>，</w:t>
                  </w:r>
                  <w:r>
                    <w:rPr>
                      <w:rStyle w:val="53"/>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2783" w:type="dxa"/>
                  <w:vAlign w:val="center"/>
                </w:tcPr>
                <w:p w14:paraId="7BED9FE7">
                  <w:pPr>
                    <w:spacing w:after="0"/>
                    <w:jc w:val="both"/>
                    <w:rPr>
                      <w:rFonts w:hint="eastAsia" w:ascii="宋体" w:hAnsi="宋体" w:eastAsia="宋体"/>
                      <w:color w:val="auto"/>
                      <w:kern w:val="2"/>
                      <w:sz w:val="21"/>
                      <w:szCs w:val="21"/>
                    </w:rPr>
                  </w:pPr>
                  <w:r>
                    <w:rPr>
                      <w:rFonts w:hint="eastAsia" w:ascii="宋体" w:hAnsi="宋体" w:eastAsia="宋体"/>
                      <w:color w:val="auto"/>
                      <w:kern w:val="2"/>
                      <w:sz w:val="21"/>
                      <w:szCs w:val="21"/>
                    </w:rPr>
                    <w:t>根据本项目实际建设情况与《污染影响类建设项目重大变动清单（试行）的通知》（环办环评函[2020]688号）的对比分析（见表8）可知：本项目环境影响报告表经批准后，该建设项目的性质、规模、地点、采用的生产工艺或者防治污染、防止生态破坏的措施未发生重大变动。</w:t>
                  </w:r>
                </w:p>
              </w:tc>
              <w:tc>
                <w:tcPr>
                  <w:tcW w:w="822" w:type="dxa"/>
                  <w:vAlign w:val="center"/>
                </w:tcPr>
                <w:p w14:paraId="661C5894">
                  <w:pPr>
                    <w:spacing w:after="0"/>
                    <w:jc w:val="center"/>
                    <w:rPr>
                      <w:rFonts w:hint="eastAsia" w:ascii="宋体" w:hAnsi="宋体" w:eastAsia="宋体"/>
                      <w:color w:val="auto"/>
                      <w:kern w:val="2"/>
                      <w:sz w:val="21"/>
                      <w:szCs w:val="21"/>
                    </w:rPr>
                  </w:pPr>
                  <w:r>
                    <w:rPr>
                      <w:rFonts w:hint="eastAsia" w:ascii="宋体" w:hAnsi="宋体" w:eastAsia="宋体"/>
                      <w:color w:val="auto"/>
                      <w:kern w:val="2"/>
                      <w:sz w:val="21"/>
                      <w:szCs w:val="21"/>
                    </w:rPr>
                    <w:t>相符</w:t>
                  </w:r>
                </w:p>
              </w:tc>
            </w:tr>
            <w:tr w14:paraId="68208EA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75" w:type="dxa"/>
                  <w:vAlign w:val="center"/>
                </w:tcPr>
                <w:p w14:paraId="6B99698C">
                  <w:pPr>
                    <w:spacing w:after="0"/>
                    <w:rPr>
                      <w:rFonts w:hint="eastAsia" w:ascii="宋体" w:hAnsi="宋体" w:eastAsia="宋体"/>
                      <w:color w:val="auto"/>
                      <w:kern w:val="2"/>
                      <w:sz w:val="21"/>
                      <w:szCs w:val="21"/>
                    </w:rPr>
                  </w:pPr>
                  <w:r>
                    <w:rPr>
                      <w:rFonts w:ascii="宋体" w:hAnsi="宋体" w:eastAsia="宋体"/>
                      <w:color w:val="auto"/>
                      <w:kern w:val="2"/>
                      <w:sz w:val="21"/>
                      <w:szCs w:val="21"/>
                    </w:rPr>
                    <w:t>建设过程中造成重大环境污染未治理完成，或者造成重大生态破坏未恢复的</w:t>
                  </w:r>
                  <w:r>
                    <w:rPr>
                      <w:rFonts w:hint="eastAsia" w:ascii="宋体" w:hAnsi="宋体" w:eastAsia="宋体"/>
                      <w:color w:val="auto"/>
                      <w:kern w:val="2"/>
                      <w:sz w:val="21"/>
                      <w:szCs w:val="21"/>
                    </w:rPr>
                    <w:t>，</w:t>
                  </w:r>
                  <w:r>
                    <w:rPr>
                      <w:rStyle w:val="53"/>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2783" w:type="dxa"/>
                  <w:vAlign w:val="center"/>
                </w:tcPr>
                <w:p w14:paraId="77730BFA">
                  <w:pPr>
                    <w:spacing w:after="0"/>
                    <w:jc w:val="both"/>
                    <w:rPr>
                      <w:rFonts w:hint="eastAsia" w:ascii="宋体" w:hAnsi="宋体" w:eastAsia="宋体"/>
                      <w:color w:val="auto"/>
                      <w:kern w:val="2"/>
                      <w:sz w:val="21"/>
                      <w:szCs w:val="21"/>
                    </w:rPr>
                  </w:pPr>
                  <w:r>
                    <w:rPr>
                      <w:rFonts w:hint="eastAsia" w:ascii="宋体" w:hAnsi="宋体" w:eastAsia="宋体"/>
                      <w:color w:val="auto"/>
                      <w:kern w:val="2"/>
                      <w:sz w:val="21"/>
                      <w:szCs w:val="21"/>
                    </w:rPr>
                    <w:t>本项目</w:t>
                  </w:r>
                  <w:r>
                    <w:rPr>
                      <w:rFonts w:ascii="宋体" w:hAnsi="宋体" w:eastAsia="宋体"/>
                      <w:color w:val="auto"/>
                      <w:kern w:val="2"/>
                      <w:sz w:val="21"/>
                      <w:szCs w:val="21"/>
                    </w:rPr>
                    <w:t>建设过程中</w:t>
                  </w:r>
                  <w:r>
                    <w:rPr>
                      <w:rFonts w:hint="eastAsia" w:ascii="宋体" w:hAnsi="宋体" w:eastAsia="宋体"/>
                      <w:color w:val="auto"/>
                      <w:kern w:val="2"/>
                      <w:sz w:val="21"/>
                      <w:szCs w:val="21"/>
                    </w:rPr>
                    <w:t>未</w:t>
                  </w:r>
                  <w:r>
                    <w:rPr>
                      <w:rFonts w:ascii="宋体" w:hAnsi="宋体" w:eastAsia="宋体"/>
                      <w:color w:val="auto"/>
                      <w:kern w:val="2"/>
                      <w:sz w:val="21"/>
                      <w:szCs w:val="21"/>
                    </w:rPr>
                    <w:t>造成重大环境污染</w:t>
                  </w:r>
                  <w:r>
                    <w:rPr>
                      <w:rFonts w:hint="eastAsia" w:ascii="宋体" w:hAnsi="宋体" w:eastAsia="宋体"/>
                      <w:color w:val="auto"/>
                      <w:kern w:val="2"/>
                      <w:sz w:val="21"/>
                      <w:szCs w:val="21"/>
                    </w:rPr>
                    <w:t>和</w:t>
                  </w:r>
                  <w:r>
                    <w:rPr>
                      <w:rFonts w:ascii="宋体" w:hAnsi="宋体" w:eastAsia="宋体"/>
                      <w:color w:val="auto"/>
                      <w:kern w:val="2"/>
                      <w:sz w:val="21"/>
                      <w:szCs w:val="21"/>
                    </w:rPr>
                    <w:t>重大生态破坏</w:t>
                  </w:r>
                  <w:r>
                    <w:rPr>
                      <w:rFonts w:hint="eastAsia" w:ascii="宋体" w:hAnsi="宋体" w:eastAsia="宋体"/>
                      <w:color w:val="auto"/>
                      <w:kern w:val="2"/>
                      <w:sz w:val="21"/>
                      <w:szCs w:val="21"/>
                    </w:rPr>
                    <w:t>。</w:t>
                  </w:r>
                </w:p>
              </w:tc>
              <w:tc>
                <w:tcPr>
                  <w:tcW w:w="822" w:type="dxa"/>
                  <w:vAlign w:val="center"/>
                </w:tcPr>
                <w:p w14:paraId="139F7A39">
                  <w:pPr>
                    <w:spacing w:after="0"/>
                    <w:jc w:val="center"/>
                    <w:rPr>
                      <w:rFonts w:hint="eastAsia" w:ascii="宋体" w:hAnsi="宋体" w:eastAsia="宋体"/>
                      <w:color w:val="auto"/>
                      <w:kern w:val="2"/>
                      <w:sz w:val="21"/>
                      <w:szCs w:val="21"/>
                    </w:rPr>
                  </w:pPr>
                  <w:r>
                    <w:rPr>
                      <w:rFonts w:hint="eastAsia" w:ascii="宋体" w:hAnsi="宋体" w:eastAsia="宋体"/>
                      <w:color w:val="auto"/>
                      <w:kern w:val="2"/>
                      <w:sz w:val="21"/>
                      <w:szCs w:val="21"/>
                    </w:rPr>
                    <w:t>不涉及</w:t>
                  </w:r>
                </w:p>
              </w:tc>
            </w:tr>
            <w:tr w14:paraId="3DBC1AB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75" w:type="dxa"/>
                  <w:vAlign w:val="center"/>
                </w:tcPr>
                <w:p w14:paraId="440EAF55">
                  <w:pPr>
                    <w:spacing w:after="0"/>
                    <w:jc w:val="both"/>
                    <w:rPr>
                      <w:rFonts w:hint="eastAsia" w:ascii="宋体" w:hAnsi="宋体" w:eastAsia="宋体"/>
                      <w:color w:val="auto"/>
                      <w:kern w:val="2"/>
                      <w:sz w:val="21"/>
                      <w:szCs w:val="21"/>
                    </w:rPr>
                  </w:pPr>
                  <w:r>
                    <w:rPr>
                      <w:rFonts w:ascii="宋体" w:hAnsi="宋体" w:eastAsia="宋体"/>
                      <w:color w:val="auto"/>
                      <w:kern w:val="2"/>
                      <w:sz w:val="21"/>
                      <w:szCs w:val="21"/>
                    </w:rPr>
                    <w:t>纳入排污许可管理的建设项目，无证排污或者不按证排污的</w:t>
                  </w:r>
                  <w:r>
                    <w:rPr>
                      <w:rFonts w:hint="eastAsia" w:ascii="宋体" w:hAnsi="宋体" w:eastAsia="宋体"/>
                      <w:color w:val="auto"/>
                      <w:kern w:val="2"/>
                      <w:sz w:val="21"/>
                      <w:szCs w:val="21"/>
                    </w:rPr>
                    <w:t>，</w:t>
                  </w:r>
                  <w:r>
                    <w:rPr>
                      <w:rStyle w:val="53"/>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2783" w:type="dxa"/>
                  <w:vAlign w:val="center"/>
                </w:tcPr>
                <w:p w14:paraId="02692EF8">
                  <w:pPr>
                    <w:spacing w:after="0"/>
                    <w:jc w:val="both"/>
                    <w:rPr>
                      <w:rFonts w:hint="eastAsia" w:ascii="宋体" w:hAnsi="宋体" w:eastAsia="宋体"/>
                      <w:color w:val="auto"/>
                      <w:kern w:val="2"/>
                      <w:sz w:val="21"/>
                      <w:szCs w:val="21"/>
                    </w:rPr>
                  </w:pPr>
                  <w:r>
                    <w:rPr>
                      <w:rFonts w:ascii="宋体" w:hAnsi="宋体" w:eastAsia="宋体"/>
                      <w:color w:val="auto"/>
                      <w:kern w:val="2"/>
                      <w:sz w:val="21"/>
                      <w:szCs w:val="21"/>
                    </w:rPr>
                    <w:t>本项目属于排污许可登记管理，已办理排污许可登记。</w:t>
                  </w:r>
                </w:p>
              </w:tc>
              <w:tc>
                <w:tcPr>
                  <w:tcW w:w="822" w:type="dxa"/>
                  <w:vAlign w:val="center"/>
                </w:tcPr>
                <w:p w14:paraId="183B8077">
                  <w:pPr>
                    <w:spacing w:after="0"/>
                    <w:jc w:val="center"/>
                    <w:rPr>
                      <w:rFonts w:hint="eastAsia" w:ascii="宋体" w:hAnsi="宋体" w:eastAsia="宋体"/>
                      <w:color w:val="auto"/>
                      <w:kern w:val="2"/>
                      <w:sz w:val="21"/>
                      <w:szCs w:val="21"/>
                    </w:rPr>
                  </w:pPr>
                  <w:r>
                    <w:rPr>
                      <w:rFonts w:hint="eastAsia" w:ascii="宋体" w:hAnsi="宋体" w:eastAsia="宋体"/>
                      <w:color w:val="auto"/>
                      <w:kern w:val="2"/>
                      <w:sz w:val="21"/>
                      <w:szCs w:val="21"/>
                    </w:rPr>
                    <w:t>相符</w:t>
                  </w:r>
                </w:p>
              </w:tc>
            </w:tr>
            <w:tr w14:paraId="42C6544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75" w:type="dxa"/>
                  <w:vAlign w:val="center"/>
                </w:tcPr>
                <w:p w14:paraId="7458D163">
                  <w:pPr>
                    <w:spacing w:after="0"/>
                    <w:jc w:val="both"/>
                    <w:rPr>
                      <w:rFonts w:hint="eastAsia" w:ascii="宋体" w:hAnsi="宋体" w:eastAsia="宋体"/>
                      <w:color w:val="auto"/>
                      <w:kern w:val="2"/>
                      <w:sz w:val="21"/>
                      <w:szCs w:val="21"/>
                    </w:rPr>
                  </w:pPr>
                  <w:r>
                    <w:rPr>
                      <w:rFonts w:ascii="宋体" w:hAnsi="宋体" w:eastAsia="宋体"/>
                      <w:color w:val="auto"/>
                      <w:kern w:val="2"/>
                      <w:sz w:val="21"/>
                      <w:szCs w:val="21"/>
                    </w:rPr>
                    <w:t>分期建设、分期投入生产或者使用依法应当分期验收的建设项目，其分期建设、分期投入生产或者使用的环境保护设施防治环境污染和生态破坏的能力不能满足其相应主体工程需要的</w:t>
                  </w:r>
                  <w:r>
                    <w:rPr>
                      <w:rFonts w:hint="eastAsia" w:ascii="宋体" w:hAnsi="宋体" w:eastAsia="宋体"/>
                      <w:color w:val="auto"/>
                      <w:kern w:val="2"/>
                      <w:sz w:val="21"/>
                      <w:szCs w:val="21"/>
                    </w:rPr>
                    <w:t>，</w:t>
                  </w:r>
                  <w:r>
                    <w:rPr>
                      <w:rStyle w:val="53"/>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2783" w:type="dxa"/>
                  <w:vAlign w:val="center"/>
                </w:tcPr>
                <w:p w14:paraId="0E65C20C">
                  <w:pPr>
                    <w:spacing w:after="0"/>
                    <w:jc w:val="both"/>
                    <w:rPr>
                      <w:rFonts w:hint="eastAsia" w:ascii="宋体" w:hAnsi="宋体" w:eastAsia="宋体"/>
                      <w:color w:val="auto"/>
                      <w:kern w:val="2"/>
                      <w:sz w:val="21"/>
                      <w:szCs w:val="21"/>
                    </w:rPr>
                  </w:pPr>
                  <w:r>
                    <w:rPr>
                      <w:rFonts w:ascii="宋体" w:hAnsi="宋体" w:eastAsia="宋体"/>
                      <w:color w:val="auto"/>
                      <w:kern w:val="2"/>
                      <w:sz w:val="21"/>
                      <w:szCs w:val="21"/>
                    </w:rPr>
                    <w:t>本项目属于分期建设、分期验收项目，分期建设、使用的环境保护设施处理能力能够满足该项目主体工程整体需要。</w:t>
                  </w:r>
                </w:p>
              </w:tc>
              <w:tc>
                <w:tcPr>
                  <w:tcW w:w="822" w:type="dxa"/>
                  <w:vAlign w:val="center"/>
                </w:tcPr>
                <w:p w14:paraId="70D1FC3B">
                  <w:pPr>
                    <w:spacing w:after="0"/>
                    <w:jc w:val="center"/>
                    <w:rPr>
                      <w:rFonts w:hint="eastAsia" w:ascii="宋体" w:hAnsi="宋体" w:eastAsia="宋体"/>
                      <w:color w:val="auto"/>
                      <w:kern w:val="2"/>
                      <w:sz w:val="21"/>
                      <w:szCs w:val="21"/>
                    </w:rPr>
                  </w:pPr>
                  <w:r>
                    <w:rPr>
                      <w:rFonts w:hint="eastAsia" w:ascii="宋体" w:hAnsi="宋体" w:eastAsia="宋体"/>
                      <w:color w:val="auto"/>
                      <w:kern w:val="2"/>
                      <w:sz w:val="21"/>
                      <w:szCs w:val="21"/>
                    </w:rPr>
                    <w:t>相符</w:t>
                  </w:r>
                </w:p>
              </w:tc>
            </w:tr>
            <w:tr w14:paraId="3C0E659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75" w:type="dxa"/>
                  <w:vAlign w:val="center"/>
                </w:tcPr>
                <w:p w14:paraId="4D9BF08C">
                  <w:pPr>
                    <w:spacing w:after="0"/>
                    <w:jc w:val="both"/>
                    <w:rPr>
                      <w:rFonts w:hint="eastAsia" w:ascii="宋体" w:hAnsi="宋体" w:eastAsia="宋体"/>
                      <w:color w:val="auto"/>
                      <w:kern w:val="2"/>
                      <w:sz w:val="21"/>
                      <w:szCs w:val="21"/>
                    </w:rPr>
                  </w:pPr>
                  <w:r>
                    <w:rPr>
                      <w:rFonts w:ascii="宋体" w:hAnsi="宋体" w:eastAsia="宋体"/>
                      <w:color w:val="auto"/>
                      <w:kern w:val="2"/>
                      <w:sz w:val="21"/>
                      <w:szCs w:val="21"/>
                    </w:rPr>
                    <w:t>建设单位因该建设项目违反国家和地方环境保护法律法规受到处罚，被责令改正，尚未改正完成的</w:t>
                  </w:r>
                  <w:r>
                    <w:rPr>
                      <w:rFonts w:hint="eastAsia" w:ascii="宋体" w:hAnsi="宋体" w:eastAsia="宋体"/>
                      <w:color w:val="auto"/>
                      <w:kern w:val="2"/>
                      <w:sz w:val="21"/>
                      <w:szCs w:val="21"/>
                    </w:rPr>
                    <w:t>，</w:t>
                  </w:r>
                  <w:r>
                    <w:rPr>
                      <w:rStyle w:val="53"/>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2783" w:type="dxa"/>
                  <w:vAlign w:val="center"/>
                </w:tcPr>
                <w:p w14:paraId="72681302">
                  <w:pPr>
                    <w:spacing w:after="0"/>
                    <w:jc w:val="both"/>
                    <w:rPr>
                      <w:rFonts w:hint="eastAsia" w:ascii="宋体" w:hAnsi="宋体" w:eastAsia="宋体"/>
                      <w:color w:val="auto"/>
                      <w:kern w:val="2"/>
                      <w:sz w:val="21"/>
                      <w:szCs w:val="21"/>
                    </w:rPr>
                  </w:pPr>
                  <w:r>
                    <w:rPr>
                      <w:rFonts w:hint="eastAsia" w:ascii="宋体" w:hAnsi="宋体" w:eastAsia="宋体"/>
                      <w:color w:val="auto"/>
                      <w:kern w:val="2"/>
                      <w:sz w:val="21"/>
                      <w:szCs w:val="21"/>
                    </w:rPr>
                    <w:t>本</w:t>
                  </w:r>
                  <w:r>
                    <w:rPr>
                      <w:rFonts w:ascii="宋体" w:hAnsi="宋体" w:eastAsia="宋体"/>
                      <w:color w:val="auto"/>
                      <w:kern w:val="2"/>
                      <w:sz w:val="21"/>
                      <w:szCs w:val="21"/>
                    </w:rPr>
                    <w:t>建设单位</w:t>
                  </w:r>
                  <w:r>
                    <w:rPr>
                      <w:rFonts w:hint="eastAsia" w:ascii="宋体" w:hAnsi="宋体" w:eastAsia="宋体"/>
                      <w:color w:val="auto"/>
                      <w:kern w:val="2"/>
                      <w:sz w:val="21"/>
                      <w:szCs w:val="21"/>
                    </w:rPr>
                    <w:t>不涉及</w:t>
                  </w:r>
                  <w:r>
                    <w:rPr>
                      <w:rFonts w:ascii="宋体" w:hAnsi="宋体" w:eastAsia="宋体"/>
                      <w:color w:val="auto"/>
                      <w:kern w:val="2"/>
                      <w:sz w:val="21"/>
                      <w:szCs w:val="21"/>
                    </w:rPr>
                    <w:t>违反国家和地方环境保护法律法规</w:t>
                  </w:r>
                  <w:r>
                    <w:rPr>
                      <w:rFonts w:hint="eastAsia" w:ascii="宋体" w:hAnsi="宋体" w:eastAsia="宋体"/>
                      <w:color w:val="auto"/>
                      <w:kern w:val="2"/>
                      <w:sz w:val="21"/>
                      <w:szCs w:val="21"/>
                    </w:rPr>
                    <w:t>。</w:t>
                  </w:r>
                </w:p>
              </w:tc>
              <w:tc>
                <w:tcPr>
                  <w:tcW w:w="822" w:type="dxa"/>
                  <w:vAlign w:val="center"/>
                </w:tcPr>
                <w:p w14:paraId="1DAE2000">
                  <w:pPr>
                    <w:spacing w:after="0"/>
                    <w:jc w:val="center"/>
                    <w:rPr>
                      <w:rFonts w:hint="eastAsia" w:ascii="宋体" w:hAnsi="宋体" w:eastAsia="宋体"/>
                      <w:color w:val="auto"/>
                      <w:kern w:val="2"/>
                      <w:sz w:val="21"/>
                      <w:szCs w:val="21"/>
                    </w:rPr>
                  </w:pPr>
                  <w:r>
                    <w:rPr>
                      <w:rFonts w:hint="eastAsia" w:ascii="宋体" w:hAnsi="宋体" w:eastAsia="宋体"/>
                      <w:color w:val="auto"/>
                      <w:kern w:val="2"/>
                      <w:sz w:val="21"/>
                      <w:szCs w:val="21"/>
                    </w:rPr>
                    <w:t>不涉及</w:t>
                  </w:r>
                </w:p>
              </w:tc>
            </w:tr>
            <w:tr w14:paraId="4BE822B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75" w:type="dxa"/>
                  <w:vAlign w:val="center"/>
                </w:tcPr>
                <w:p w14:paraId="0F5CE1B3">
                  <w:pPr>
                    <w:spacing w:after="0"/>
                    <w:jc w:val="both"/>
                    <w:rPr>
                      <w:rFonts w:hint="eastAsia" w:ascii="宋体" w:hAnsi="宋体" w:eastAsia="宋体"/>
                      <w:color w:val="auto"/>
                      <w:kern w:val="2"/>
                      <w:sz w:val="21"/>
                      <w:szCs w:val="21"/>
                    </w:rPr>
                  </w:pPr>
                  <w:r>
                    <w:rPr>
                      <w:rFonts w:ascii="宋体" w:hAnsi="宋体" w:eastAsia="宋体"/>
                      <w:color w:val="auto"/>
                      <w:kern w:val="2"/>
                      <w:sz w:val="21"/>
                      <w:szCs w:val="21"/>
                    </w:rPr>
                    <w:t>验收报告的基础资料数据明显不实，内容存在重大缺项、遗漏，或者验收结论不明确、不合理的</w:t>
                  </w:r>
                  <w:r>
                    <w:rPr>
                      <w:rFonts w:hint="eastAsia" w:ascii="宋体" w:hAnsi="宋体" w:eastAsia="宋体"/>
                      <w:color w:val="auto"/>
                      <w:kern w:val="2"/>
                      <w:sz w:val="21"/>
                      <w:szCs w:val="21"/>
                    </w:rPr>
                    <w:t>，</w:t>
                  </w:r>
                  <w:r>
                    <w:rPr>
                      <w:rStyle w:val="53"/>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2783" w:type="dxa"/>
                  <w:vAlign w:val="center"/>
                </w:tcPr>
                <w:p w14:paraId="794B4333">
                  <w:pPr>
                    <w:spacing w:after="0"/>
                    <w:jc w:val="both"/>
                    <w:rPr>
                      <w:rFonts w:hint="eastAsia" w:ascii="宋体" w:hAnsi="宋体" w:eastAsia="宋体"/>
                      <w:color w:val="auto"/>
                      <w:kern w:val="2"/>
                      <w:sz w:val="21"/>
                      <w:szCs w:val="21"/>
                    </w:rPr>
                  </w:pPr>
                  <w:r>
                    <w:rPr>
                      <w:rFonts w:hint="eastAsia" w:ascii="宋体" w:hAnsi="宋体" w:eastAsia="宋体"/>
                      <w:color w:val="auto"/>
                      <w:kern w:val="2"/>
                      <w:sz w:val="21"/>
                      <w:szCs w:val="21"/>
                    </w:rPr>
                    <w:t>本项目</w:t>
                  </w:r>
                  <w:r>
                    <w:rPr>
                      <w:rFonts w:ascii="宋体" w:hAnsi="宋体" w:eastAsia="宋体"/>
                      <w:color w:val="auto"/>
                      <w:kern w:val="2"/>
                      <w:sz w:val="21"/>
                      <w:szCs w:val="21"/>
                    </w:rPr>
                    <w:t>验收报告的基础资料数据</w:t>
                  </w:r>
                  <w:r>
                    <w:rPr>
                      <w:rFonts w:hint="eastAsia" w:ascii="宋体" w:hAnsi="宋体" w:eastAsia="宋体"/>
                      <w:color w:val="auto"/>
                      <w:kern w:val="2"/>
                      <w:sz w:val="21"/>
                      <w:szCs w:val="21"/>
                    </w:rPr>
                    <w:t>真实</w:t>
                  </w:r>
                  <w:r>
                    <w:rPr>
                      <w:rFonts w:ascii="宋体" w:hAnsi="宋体" w:eastAsia="宋体"/>
                      <w:color w:val="auto"/>
                      <w:kern w:val="2"/>
                      <w:sz w:val="21"/>
                      <w:szCs w:val="21"/>
                    </w:rPr>
                    <w:t>，内容</w:t>
                  </w:r>
                  <w:r>
                    <w:rPr>
                      <w:rFonts w:hint="eastAsia" w:ascii="宋体" w:hAnsi="宋体" w:eastAsia="宋体"/>
                      <w:color w:val="auto"/>
                      <w:kern w:val="2"/>
                      <w:sz w:val="21"/>
                      <w:szCs w:val="21"/>
                    </w:rPr>
                    <w:t>不</w:t>
                  </w:r>
                  <w:r>
                    <w:rPr>
                      <w:rFonts w:ascii="宋体" w:hAnsi="宋体" w:eastAsia="宋体"/>
                      <w:color w:val="auto"/>
                      <w:kern w:val="2"/>
                      <w:sz w:val="21"/>
                      <w:szCs w:val="21"/>
                    </w:rPr>
                    <w:t>存在重大缺项、遗漏，验收结论明确、合理</w:t>
                  </w:r>
                  <w:r>
                    <w:rPr>
                      <w:rFonts w:hint="eastAsia" w:ascii="宋体" w:hAnsi="宋体" w:eastAsia="宋体"/>
                      <w:color w:val="auto"/>
                      <w:kern w:val="2"/>
                      <w:sz w:val="21"/>
                      <w:szCs w:val="21"/>
                    </w:rPr>
                    <w:t>。</w:t>
                  </w:r>
                </w:p>
              </w:tc>
              <w:tc>
                <w:tcPr>
                  <w:tcW w:w="822" w:type="dxa"/>
                  <w:vAlign w:val="center"/>
                </w:tcPr>
                <w:p w14:paraId="575DFE0D">
                  <w:pPr>
                    <w:spacing w:after="0"/>
                    <w:jc w:val="center"/>
                    <w:rPr>
                      <w:rFonts w:hint="eastAsia" w:ascii="宋体" w:hAnsi="宋体" w:eastAsia="宋体"/>
                      <w:color w:val="auto"/>
                      <w:kern w:val="2"/>
                      <w:sz w:val="21"/>
                      <w:szCs w:val="21"/>
                    </w:rPr>
                  </w:pPr>
                  <w:r>
                    <w:rPr>
                      <w:rFonts w:hint="eastAsia" w:ascii="宋体" w:hAnsi="宋体" w:eastAsia="宋体"/>
                      <w:color w:val="auto"/>
                      <w:kern w:val="2"/>
                      <w:sz w:val="21"/>
                      <w:szCs w:val="21"/>
                    </w:rPr>
                    <w:t>不涉及</w:t>
                  </w:r>
                </w:p>
              </w:tc>
            </w:tr>
            <w:tr w14:paraId="29F91DF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75" w:type="dxa"/>
                  <w:vAlign w:val="center"/>
                </w:tcPr>
                <w:p w14:paraId="2389D40D">
                  <w:pPr>
                    <w:spacing w:after="0"/>
                    <w:jc w:val="both"/>
                    <w:rPr>
                      <w:rFonts w:hint="eastAsia" w:ascii="宋体" w:hAnsi="宋体" w:eastAsia="宋体"/>
                      <w:color w:val="auto"/>
                      <w:kern w:val="2"/>
                      <w:sz w:val="21"/>
                      <w:szCs w:val="21"/>
                    </w:rPr>
                  </w:pPr>
                  <w:r>
                    <w:rPr>
                      <w:rFonts w:ascii="宋体" w:hAnsi="宋体" w:eastAsia="宋体"/>
                      <w:color w:val="auto"/>
                      <w:kern w:val="2"/>
                      <w:sz w:val="21"/>
                      <w:szCs w:val="21"/>
                    </w:rPr>
                    <w:t>其他环境保护法律法规规章等规定不得通过环境保护验收的</w:t>
                  </w:r>
                  <w:r>
                    <w:rPr>
                      <w:rFonts w:hint="eastAsia" w:ascii="宋体" w:hAnsi="宋体" w:eastAsia="宋体"/>
                      <w:color w:val="auto"/>
                      <w:kern w:val="2"/>
                      <w:sz w:val="21"/>
                      <w:szCs w:val="21"/>
                    </w:rPr>
                    <w:t>，</w:t>
                  </w:r>
                  <w:r>
                    <w:rPr>
                      <w:rStyle w:val="53"/>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2783" w:type="dxa"/>
                  <w:vAlign w:val="center"/>
                </w:tcPr>
                <w:p w14:paraId="7998C851">
                  <w:pPr>
                    <w:spacing w:after="0"/>
                    <w:jc w:val="both"/>
                    <w:rPr>
                      <w:rFonts w:hint="eastAsia" w:ascii="宋体" w:hAnsi="宋体" w:eastAsia="宋体"/>
                      <w:color w:val="auto"/>
                      <w:kern w:val="2"/>
                      <w:sz w:val="21"/>
                      <w:szCs w:val="21"/>
                    </w:rPr>
                  </w:pPr>
                  <w:r>
                    <w:rPr>
                      <w:rFonts w:hint="eastAsia" w:ascii="宋体" w:hAnsi="宋体" w:eastAsia="宋体"/>
                      <w:color w:val="auto"/>
                      <w:kern w:val="2"/>
                      <w:sz w:val="21"/>
                      <w:szCs w:val="21"/>
                    </w:rPr>
                    <w:t>本项目符合</w:t>
                  </w:r>
                  <w:r>
                    <w:rPr>
                      <w:rFonts w:ascii="宋体" w:hAnsi="宋体" w:eastAsia="宋体"/>
                      <w:color w:val="auto"/>
                      <w:kern w:val="2"/>
                      <w:sz w:val="21"/>
                      <w:szCs w:val="21"/>
                    </w:rPr>
                    <w:t>其他环境保护法律法规规章</w:t>
                  </w:r>
                  <w:r>
                    <w:rPr>
                      <w:rFonts w:hint="eastAsia" w:ascii="宋体" w:hAnsi="宋体" w:eastAsia="宋体"/>
                      <w:color w:val="auto"/>
                      <w:kern w:val="2"/>
                      <w:sz w:val="21"/>
                      <w:szCs w:val="21"/>
                    </w:rPr>
                    <w:t>的</w:t>
                  </w:r>
                  <w:r>
                    <w:rPr>
                      <w:rFonts w:ascii="宋体" w:hAnsi="宋体" w:eastAsia="宋体"/>
                      <w:color w:val="auto"/>
                      <w:kern w:val="2"/>
                      <w:sz w:val="21"/>
                      <w:szCs w:val="21"/>
                    </w:rPr>
                    <w:t>规定</w:t>
                  </w:r>
                  <w:r>
                    <w:rPr>
                      <w:rFonts w:hint="eastAsia" w:ascii="宋体" w:hAnsi="宋体" w:eastAsia="宋体"/>
                      <w:color w:val="auto"/>
                      <w:kern w:val="2"/>
                      <w:sz w:val="21"/>
                      <w:szCs w:val="21"/>
                    </w:rPr>
                    <w:t>。</w:t>
                  </w:r>
                </w:p>
              </w:tc>
              <w:tc>
                <w:tcPr>
                  <w:tcW w:w="822" w:type="dxa"/>
                  <w:vAlign w:val="center"/>
                </w:tcPr>
                <w:p w14:paraId="7549C435">
                  <w:pPr>
                    <w:spacing w:after="0"/>
                    <w:jc w:val="center"/>
                    <w:rPr>
                      <w:rFonts w:hint="eastAsia" w:ascii="宋体" w:hAnsi="宋体" w:eastAsia="宋体"/>
                      <w:color w:val="auto"/>
                      <w:kern w:val="2"/>
                      <w:sz w:val="21"/>
                      <w:szCs w:val="21"/>
                    </w:rPr>
                  </w:pPr>
                  <w:r>
                    <w:rPr>
                      <w:rFonts w:hint="eastAsia" w:ascii="宋体" w:hAnsi="宋体" w:eastAsia="宋体"/>
                      <w:color w:val="auto"/>
                      <w:kern w:val="2"/>
                      <w:sz w:val="21"/>
                      <w:szCs w:val="21"/>
                    </w:rPr>
                    <w:t>不涉及</w:t>
                  </w:r>
                </w:p>
              </w:tc>
            </w:tr>
          </w:tbl>
          <w:p w14:paraId="398B520B">
            <w:pPr>
              <w:rPr>
                <w:color w:val="auto"/>
              </w:rPr>
            </w:pPr>
          </w:p>
        </w:tc>
      </w:tr>
    </w:tbl>
    <w:p w14:paraId="19AAF436">
      <w:pPr>
        <w:spacing w:after="0" w:line="360" w:lineRule="auto"/>
        <w:rPr>
          <w:rFonts w:eastAsia="仿宋_GB2312"/>
          <w:b/>
          <w:color w:val="auto"/>
          <w:sz w:val="21"/>
          <w:szCs w:val="21"/>
          <w:highlight w:val="yellow"/>
        </w:rPr>
      </w:pPr>
    </w:p>
    <w:p w14:paraId="4E676EB8">
      <w:pPr>
        <w:spacing w:after="0" w:line="360" w:lineRule="auto"/>
        <w:rPr>
          <w:rFonts w:eastAsia="仿宋_GB2312"/>
          <w:b/>
          <w:color w:val="auto"/>
          <w:sz w:val="21"/>
          <w:szCs w:val="21"/>
          <w:highlight w:val="yellow"/>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710F5E09">
      <w:pPr>
        <w:spacing w:after="0" w:line="440" w:lineRule="exact"/>
        <w:rPr>
          <w:rFonts w:eastAsia="仿宋_GB2312"/>
          <w:b/>
          <w:color w:val="auto"/>
          <w:sz w:val="21"/>
          <w:szCs w:val="21"/>
        </w:rPr>
      </w:pPr>
      <w:r>
        <w:rPr>
          <w:rFonts w:eastAsia="仿宋_GB2312"/>
          <w:b/>
          <w:color w:val="auto"/>
          <w:sz w:val="21"/>
          <w:szCs w:val="21"/>
        </w:rPr>
        <w:t>表八</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3F2D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2" w:hRule="atLeast"/>
          <w:jc w:val="center"/>
        </w:trPr>
        <w:tc>
          <w:tcPr>
            <w:tcW w:w="8924" w:type="dxa"/>
          </w:tcPr>
          <w:p w14:paraId="75976D43">
            <w:pPr>
              <w:spacing w:after="0" w:line="520" w:lineRule="exact"/>
              <w:jc w:val="both"/>
              <w:rPr>
                <w:rFonts w:eastAsia="黑体"/>
                <w:color w:val="auto"/>
                <w:sz w:val="24"/>
                <w:szCs w:val="24"/>
              </w:rPr>
            </w:pPr>
            <w:r>
              <w:rPr>
                <w:rFonts w:eastAsia="黑体"/>
                <w:color w:val="auto"/>
                <w:sz w:val="24"/>
                <w:szCs w:val="24"/>
              </w:rPr>
              <w:t>验收监测结论：</w:t>
            </w:r>
          </w:p>
          <w:p w14:paraId="4D47960E">
            <w:pPr>
              <w:spacing w:after="0" w:line="480" w:lineRule="exact"/>
              <w:ind w:firstLine="482" w:firstLineChars="200"/>
              <w:jc w:val="both"/>
              <w:textAlignment w:val="baseline"/>
              <w:rPr>
                <w:rFonts w:eastAsia="宋体"/>
                <w:b/>
                <w:bCs/>
                <w:color w:val="auto"/>
                <w:sz w:val="24"/>
                <w:szCs w:val="24"/>
              </w:rPr>
            </w:pPr>
            <w:bookmarkStart w:id="21" w:name="_Toc504492863"/>
            <w:bookmarkStart w:id="22" w:name="_Toc501703566"/>
            <w:r>
              <w:rPr>
                <w:rFonts w:eastAsia="宋体"/>
                <w:b/>
                <w:bCs/>
                <w:color w:val="auto"/>
                <w:sz w:val="24"/>
                <w:szCs w:val="24"/>
              </w:rPr>
              <w:t>1、环境保护设施调试效果</w:t>
            </w:r>
            <w:bookmarkEnd w:id="21"/>
            <w:bookmarkEnd w:id="22"/>
          </w:p>
          <w:p w14:paraId="4E547485">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（1）验收监测期间，项目正常生产，各项污染防治设施运行稳定，符合验收监测期间对生产工况的要求。</w:t>
            </w:r>
          </w:p>
          <w:p w14:paraId="1906FF91">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（2）</w:t>
            </w:r>
            <w:r>
              <w:rPr>
                <w:rFonts w:hint="eastAsia" w:eastAsia="宋体"/>
                <w:bCs/>
                <w:color w:val="auto"/>
                <w:kern w:val="2"/>
                <w:sz w:val="24"/>
                <w:szCs w:val="24"/>
              </w:rPr>
              <w:t>项目实际建设的性质、规模、地点、生产工艺均与环评及批复一致。</w:t>
            </w:r>
          </w:p>
          <w:p w14:paraId="3C870AB5">
            <w:pPr>
              <w:spacing w:after="0" w:line="460" w:lineRule="exact"/>
              <w:ind w:firstLine="480" w:firstLineChars="200"/>
              <w:jc w:val="both"/>
              <w:textAlignment w:val="baseline"/>
              <w:rPr>
                <w:rFonts w:eastAsia="宋体"/>
                <w:bCs/>
                <w:color w:val="auto"/>
                <w:kern w:val="2"/>
                <w:sz w:val="24"/>
                <w:szCs w:val="24"/>
              </w:rPr>
            </w:pPr>
            <w:r>
              <w:rPr>
                <w:rFonts w:hint="eastAsia" w:eastAsia="宋体"/>
                <w:bCs/>
                <w:color w:val="auto"/>
                <w:kern w:val="2"/>
                <w:sz w:val="24"/>
                <w:szCs w:val="24"/>
              </w:rPr>
              <w:t>根据本项目实际建设情况与《污染影响类建设项目重大变动清单（试行）的通知》（环办环评函[2020]688号）的对比分析可知：本项目不存在重大变动，且本项目符合《建设项目竣工环境保护验收暂行办法》（国环规环评【2017】4号），满足验收条件。</w:t>
            </w:r>
          </w:p>
          <w:p w14:paraId="36433667">
            <w:pPr>
              <w:spacing w:after="0" w:line="460" w:lineRule="exact"/>
              <w:ind w:firstLine="480" w:firstLineChars="200"/>
              <w:jc w:val="both"/>
              <w:rPr>
                <w:rFonts w:hint="default" w:eastAsia="微软雅黑"/>
                <w:bCs/>
                <w:color w:val="auto"/>
                <w:kern w:val="2"/>
                <w:sz w:val="24"/>
                <w:szCs w:val="24"/>
                <w:lang w:val="en-US" w:eastAsia="zh-CN"/>
              </w:rPr>
            </w:pPr>
            <w:r>
              <w:rPr>
                <w:rFonts w:eastAsia="宋体"/>
                <w:bCs/>
                <w:color w:val="auto"/>
                <w:kern w:val="2"/>
                <w:sz w:val="24"/>
                <w:szCs w:val="24"/>
              </w:rPr>
              <w:t>（3）</w:t>
            </w:r>
            <w:r>
              <w:rPr>
                <w:rFonts w:hint="eastAsia" w:eastAsia="宋体"/>
                <w:bCs/>
                <w:color w:val="auto"/>
                <w:kern w:val="2"/>
                <w:sz w:val="24"/>
                <w:szCs w:val="24"/>
                <w:lang w:val="en-US" w:eastAsia="zh-CN"/>
              </w:rPr>
              <w:t>废水：</w:t>
            </w:r>
            <w:r>
              <w:rPr>
                <w:rFonts w:hint="eastAsia" w:ascii="Times New Roman" w:hAnsi="Times New Roman" w:eastAsia="宋体" w:cs="Times New Roman"/>
                <w:color w:val="auto"/>
                <w:kern w:val="2"/>
                <w:sz w:val="24"/>
                <w:szCs w:val="20"/>
                <w:lang w:val="en-US" w:eastAsia="zh-CN"/>
              </w:rPr>
              <w:t>本项目废水主要为生活污水和循环冷却水，生活污水经化粪池处理后与循环冷却水排水一同通过厂区总排口排入延津县第一污水处理厂进一步处理。</w:t>
            </w:r>
            <w:r>
              <w:rPr>
                <w:rFonts w:hint="default" w:ascii="Times New Roman" w:hAnsi="Times New Roman" w:eastAsia="宋体" w:cs="Times New Roman"/>
                <w:color w:val="auto"/>
                <w:kern w:val="2"/>
                <w:sz w:val="24"/>
                <w:szCs w:val="24"/>
                <w:lang w:val="en-US" w:eastAsia="zh-CN"/>
              </w:rPr>
              <w:t>根据监测结果，本项目厂区总排口水质</w:t>
            </w:r>
            <w:r>
              <w:rPr>
                <w:rFonts w:hint="default" w:ascii="Times New Roman" w:hAnsi="Times New Roman" w:eastAsia="宋体" w:cs="Times New Roman"/>
                <w:color w:val="auto"/>
                <w:sz w:val="24"/>
                <w:szCs w:val="24"/>
                <w:highlight w:val="none"/>
                <w:lang w:val="en-US" w:eastAsia="zh-CN"/>
              </w:rPr>
              <w:t>化学需氧量</w:t>
            </w:r>
            <w:r>
              <w:rPr>
                <w:rFonts w:hint="default" w:ascii="Times New Roman" w:hAnsi="Times New Roman" w:eastAsia="宋体" w:cs="Times New Roman"/>
                <w:color w:val="auto"/>
                <w:kern w:val="2"/>
                <w:sz w:val="24"/>
                <w:szCs w:val="24"/>
                <w:lang w:val="en-US" w:eastAsia="zh-CN"/>
              </w:rPr>
              <w:t>95-105mg/L、</w:t>
            </w:r>
            <w:r>
              <w:rPr>
                <w:rFonts w:hint="default" w:ascii="Times New Roman" w:hAnsi="Times New Roman" w:eastAsia="宋体" w:cs="Times New Roman"/>
                <w:color w:val="auto"/>
                <w:sz w:val="24"/>
                <w:szCs w:val="24"/>
                <w:highlight w:val="none"/>
                <w:lang w:val="en-US" w:eastAsia="zh-CN"/>
              </w:rPr>
              <w:t>BOD</w:t>
            </w:r>
            <w:r>
              <w:rPr>
                <w:rFonts w:hint="default"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kern w:val="2"/>
                <w:sz w:val="24"/>
                <w:szCs w:val="24"/>
                <w:lang w:val="en-US" w:eastAsia="zh-CN"/>
              </w:rPr>
              <w:t>34.3-38.5mg/L、</w:t>
            </w:r>
            <w:r>
              <w:rPr>
                <w:rFonts w:hint="default" w:ascii="Times New Roman" w:hAnsi="Times New Roman" w:eastAsia="宋体" w:cs="Times New Roman"/>
                <w:color w:val="auto"/>
                <w:sz w:val="24"/>
                <w:szCs w:val="24"/>
                <w:highlight w:val="none"/>
                <w:lang w:val="en-US" w:eastAsia="zh-CN"/>
              </w:rPr>
              <w:t>悬浮物</w:t>
            </w:r>
            <w:r>
              <w:rPr>
                <w:rFonts w:hint="default" w:ascii="Times New Roman" w:hAnsi="Times New Roman" w:eastAsia="宋体" w:cs="Times New Roman"/>
                <w:color w:val="auto"/>
                <w:kern w:val="2"/>
                <w:sz w:val="24"/>
                <w:szCs w:val="24"/>
                <w:lang w:val="en-US" w:eastAsia="zh-CN"/>
              </w:rPr>
              <w:t>32-44mg/L、</w:t>
            </w:r>
            <w:r>
              <w:rPr>
                <w:rFonts w:hint="default" w:ascii="Times New Roman" w:hAnsi="Times New Roman" w:eastAsia="宋体" w:cs="Times New Roman"/>
                <w:color w:val="auto"/>
                <w:sz w:val="24"/>
                <w:szCs w:val="24"/>
                <w:highlight w:val="none"/>
                <w:lang w:val="en-US" w:eastAsia="zh-CN"/>
              </w:rPr>
              <w:t>氨氮5.02-5.23</w:t>
            </w:r>
            <w:r>
              <w:rPr>
                <w:rFonts w:hint="default" w:ascii="Times New Roman" w:hAnsi="Times New Roman" w:eastAsia="宋体" w:cs="Times New Roman"/>
                <w:color w:val="auto"/>
                <w:kern w:val="2"/>
                <w:sz w:val="24"/>
                <w:szCs w:val="24"/>
                <w:lang w:val="en-US" w:eastAsia="zh-CN"/>
              </w:rPr>
              <w:t>mg/L、</w:t>
            </w:r>
            <w:r>
              <w:rPr>
                <w:rFonts w:hint="default" w:ascii="Times New Roman" w:hAnsi="Times New Roman" w:eastAsia="宋体" w:cs="Times New Roman"/>
                <w:color w:val="auto"/>
                <w:sz w:val="24"/>
                <w:szCs w:val="24"/>
                <w:highlight w:val="none"/>
                <w:lang w:val="en-US" w:eastAsia="zh-CN"/>
              </w:rPr>
              <w:t>总磷0.72-0.86</w:t>
            </w:r>
            <w:r>
              <w:rPr>
                <w:rFonts w:hint="default" w:ascii="Times New Roman" w:hAnsi="Times New Roman" w:eastAsia="宋体" w:cs="Times New Roman"/>
                <w:color w:val="auto"/>
                <w:kern w:val="2"/>
                <w:sz w:val="24"/>
                <w:szCs w:val="24"/>
                <w:lang w:val="en-US" w:eastAsia="zh-CN"/>
              </w:rPr>
              <w:t>mg/L</w:t>
            </w:r>
            <w:r>
              <w:rPr>
                <w:rFonts w:hint="default" w:ascii="Times New Roman" w:hAnsi="Times New Roman" w:eastAsia="宋体" w:cs="Times New Roman"/>
                <w:color w:val="auto"/>
                <w:sz w:val="24"/>
                <w:szCs w:val="24"/>
                <w:highlight w:val="none"/>
                <w:lang w:val="en-US" w:eastAsia="zh-CN"/>
              </w:rPr>
              <w:t>、总氮</w:t>
            </w:r>
            <w:r>
              <w:rPr>
                <w:rFonts w:hint="default" w:ascii="Times New Roman" w:hAnsi="Times New Roman" w:eastAsia="宋体" w:cs="Times New Roman"/>
                <w:color w:val="auto"/>
                <w:kern w:val="2"/>
                <w:sz w:val="24"/>
                <w:szCs w:val="24"/>
                <w:lang w:val="en-US" w:eastAsia="zh-CN"/>
              </w:rPr>
              <w:t>7.8-8.17mg/L，均能够满足</w:t>
            </w:r>
            <w:r>
              <w:rPr>
                <w:rFonts w:hint="default" w:ascii="Times New Roman" w:hAnsi="Times New Roman" w:eastAsia="宋体" w:cs="Times New Roman"/>
                <w:color w:val="auto"/>
                <w:sz w:val="24"/>
                <w:szCs w:val="24"/>
                <w:highlight w:val="none"/>
              </w:rPr>
              <w:t>满足延津县第一污水处理厂收水标准（COD 350mg/L、</w:t>
            </w:r>
            <w:r>
              <w:rPr>
                <w:rFonts w:hint="default" w:ascii="Times New Roman" w:hAnsi="Times New Roman" w:eastAsia="宋体" w:cs="Times New Roman"/>
                <w:color w:val="auto"/>
                <w:sz w:val="24"/>
                <w:szCs w:val="24"/>
                <w:highlight w:val="none"/>
                <w:lang w:val="en-US" w:eastAsia="zh-CN"/>
              </w:rPr>
              <w:t>BOD</w:t>
            </w:r>
            <w:r>
              <w:rPr>
                <w:rFonts w:hint="default"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lang w:val="en-US" w:eastAsia="zh-CN"/>
              </w:rPr>
              <w:t xml:space="preserve"> 150</w:t>
            </w:r>
            <w:r>
              <w:rPr>
                <w:rFonts w:hint="default" w:ascii="Times New Roman" w:hAnsi="Times New Roman" w:eastAsia="宋体" w:cs="Times New Roman"/>
                <w:color w:val="auto"/>
                <w:sz w:val="24"/>
                <w:szCs w:val="24"/>
                <w:highlight w:val="none"/>
              </w:rPr>
              <w:t>mg/L</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SS 2</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0mg/L、NH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40mg/L、TP</w:t>
            </w:r>
            <w:r>
              <w:rPr>
                <w:rFonts w:hint="default" w:ascii="Times New Roman" w:hAnsi="Times New Roman" w:eastAsia="宋体" w:cs="Times New Roman"/>
                <w:color w:val="auto"/>
                <w:sz w:val="24"/>
                <w:szCs w:val="24"/>
                <w:highlight w:val="none"/>
                <w:lang w:val="en-US" w:eastAsia="zh-CN"/>
              </w:rPr>
              <w:t xml:space="preserve"> 4</w:t>
            </w:r>
            <w:r>
              <w:rPr>
                <w:rFonts w:hint="default" w:ascii="Times New Roman" w:hAnsi="Times New Roman" w:eastAsia="宋体" w:cs="Times New Roman"/>
                <w:color w:val="auto"/>
                <w:sz w:val="24"/>
                <w:szCs w:val="24"/>
                <w:highlight w:val="none"/>
              </w:rPr>
              <w:t>mg/L、TN</w:t>
            </w:r>
            <w:r>
              <w:rPr>
                <w:rFonts w:hint="default" w:ascii="Times New Roman" w:hAnsi="Times New Roman" w:eastAsia="宋体" w:cs="Times New Roman"/>
                <w:color w:val="auto"/>
                <w:sz w:val="24"/>
                <w:szCs w:val="24"/>
                <w:highlight w:val="none"/>
                <w:lang w:val="en-US" w:eastAsia="zh-CN"/>
              </w:rPr>
              <w:t xml:space="preserve"> 60</w:t>
            </w:r>
            <w:r>
              <w:rPr>
                <w:rFonts w:hint="default" w:ascii="Times New Roman" w:hAnsi="Times New Roman" w:eastAsia="宋体" w:cs="Times New Roman"/>
                <w:color w:val="auto"/>
                <w:sz w:val="24"/>
                <w:szCs w:val="24"/>
                <w:highlight w:val="none"/>
              </w:rPr>
              <w:t>mg/L）的限值要求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同时也满足《污水综合排放标准》（GB8978-1996）3级标准（SS 400mg/L、COD 500mg/L、BOD</w:t>
            </w:r>
            <w:r>
              <w:rPr>
                <w:rFonts w:hint="default"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lang w:val="en-US" w:eastAsia="zh-CN"/>
              </w:rPr>
              <w:t xml:space="preserve"> 300mg/L）</w:t>
            </w:r>
            <w:r>
              <w:rPr>
                <w:rFonts w:hint="default" w:ascii="Times New Roman" w:hAnsi="Times New Roman" w:eastAsia="宋体" w:cs="Times New Roman"/>
                <w:color w:val="auto"/>
                <w:sz w:val="24"/>
                <w:szCs w:val="24"/>
                <w:highlight w:val="none"/>
              </w:rPr>
              <w:t>的限值要求</w:t>
            </w:r>
            <w:r>
              <w:rPr>
                <w:rFonts w:hint="default" w:ascii="Times New Roman" w:hAnsi="Times New Roman" w:eastAsia="宋体" w:cs="Times New Roman"/>
                <w:color w:val="auto"/>
                <w:sz w:val="24"/>
                <w:szCs w:val="24"/>
                <w:highlight w:val="none"/>
                <w:lang w:val="en-US" w:eastAsia="zh-CN"/>
              </w:rPr>
              <w:t>。</w:t>
            </w:r>
            <w:r>
              <w:rPr>
                <w:rFonts w:eastAsia="宋体"/>
                <w:color w:val="auto"/>
                <w:kern w:val="2"/>
                <w:sz w:val="24"/>
                <w:szCs w:val="24"/>
                <w:highlight w:val="none"/>
              </w:rPr>
              <w:t>本项目</w:t>
            </w:r>
            <w:r>
              <w:rPr>
                <w:rFonts w:hint="eastAsia" w:eastAsia="宋体"/>
                <w:color w:val="auto"/>
                <w:kern w:val="2"/>
                <w:sz w:val="24"/>
                <w:szCs w:val="24"/>
                <w:highlight w:val="none"/>
                <w:lang w:val="en-US" w:eastAsia="zh-CN"/>
              </w:rPr>
              <w:t>一期工程废水</w:t>
            </w:r>
            <w:r>
              <w:rPr>
                <w:rFonts w:hint="eastAsia" w:eastAsia="宋体"/>
                <w:color w:val="auto"/>
                <w:kern w:val="2"/>
                <w:sz w:val="24"/>
                <w:szCs w:val="24"/>
                <w:highlight w:val="none"/>
              </w:rPr>
              <w:t>污染物</w:t>
            </w:r>
            <w:r>
              <w:rPr>
                <w:rFonts w:hint="eastAsia" w:eastAsia="宋体"/>
                <w:color w:val="auto"/>
                <w:kern w:val="2"/>
                <w:sz w:val="24"/>
                <w:szCs w:val="24"/>
                <w:highlight w:val="none"/>
                <w:lang w:val="en-US" w:eastAsia="zh-CN"/>
              </w:rPr>
              <w:t>实际</w:t>
            </w:r>
            <w:r>
              <w:rPr>
                <w:rFonts w:hint="eastAsia" w:eastAsia="宋体"/>
                <w:color w:val="auto"/>
                <w:kern w:val="2"/>
                <w:sz w:val="24"/>
                <w:szCs w:val="24"/>
                <w:highlight w:val="none"/>
              </w:rPr>
              <w:t>排放量为</w:t>
            </w:r>
            <w:r>
              <w:rPr>
                <w:rFonts w:hint="default" w:ascii="Times New Roman" w:hAnsi="Times New Roman" w:cs="Times New Roman"/>
                <w:color w:val="auto"/>
                <w:sz w:val="24"/>
                <w:szCs w:val="24"/>
                <w:highlight w:val="none"/>
              </w:rPr>
              <w:t>COD 0.005</w:t>
            </w:r>
            <w:r>
              <w:rPr>
                <w:rFonts w:hint="eastAsia" w:ascii="Times New Roman" w:hAnsi="Times New Roman" w:cs="Times New Roman"/>
                <w:color w:val="auto"/>
                <w:sz w:val="24"/>
                <w:szCs w:val="24"/>
                <w:highlight w:val="none"/>
                <w:lang w:val="en-US" w:eastAsia="zh-CN"/>
              </w:rPr>
              <w:t>400</w:t>
            </w:r>
            <w:r>
              <w:rPr>
                <w:rFonts w:hint="default" w:ascii="Times New Roman" w:hAnsi="Times New Roman" w:cs="Times New Roman"/>
                <w:color w:val="auto"/>
                <w:sz w:val="24"/>
                <w:szCs w:val="24"/>
                <w:highlight w:val="none"/>
              </w:rPr>
              <w:t>t/a、</w:t>
            </w:r>
            <w:r>
              <w:rPr>
                <w:rFonts w:hint="eastAsia" w:ascii="Times New Roman" w:hAnsi="Times New Roman" w:cs="Times New Roman"/>
                <w:color w:val="auto"/>
                <w:sz w:val="24"/>
                <w:szCs w:val="24"/>
                <w:highlight w:val="none"/>
                <w:lang w:val="en-US" w:eastAsia="zh-CN"/>
              </w:rPr>
              <w:t>BOD</w:t>
            </w:r>
            <w:r>
              <w:rPr>
                <w:rFonts w:hint="eastAsia" w:ascii="Times New Roman" w:hAnsi="Times New Roman" w:cs="Times New Roman"/>
                <w:color w:val="auto"/>
                <w:sz w:val="24"/>
                <w:szCs w:val="24"/>
                <w:highlight w:val="none"/>
                <w:vertAlign w:val="subscript"/>
                <w:lang w:val="en-US" w:eastAsia="zh-CN"/>
              </w:rPr>
              <w:t>5</w:t>
            </w:r>
            <w:r>
              <w:rPr>
                <w:rFonts w:hint="eastAsia" w:ascii="Times New Roman" w:hAnsi="Times New Roman" w:cs="Times New Roman"/>
                <w:color w:val="auto"/>
                <w:sz w:val="24"/>
                <w:szCs w:val="24"/>
                <w:highlight w:val="none"/>
                <w:lang w:val="en-US" w:eastAsia="zh-CN"/>
              </w:rPr>
              <w:t>0.002700</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vertAlign w:val="baseline"/>
                <w:lang w:val="en-US" w:eastAsia="zh-CN"/>
              </w:rPr>
              <w:t>、</w:t>
            </w:r>
            <w:r>
              <w:rPr>
                <w:rFonts w:hint="eastAsia" w:cs="Times New Roman"/>
                <w:color w:val="auto"/>
                <w:sz w:val="24"/>
                <w:szCs w:val="24"/>
                <w:highlight w:val="none"/>
                <w:lang w:val="en-US" w:eastAsia="zh-CN"/>
              </w:rPr>
              <w:t>SS</w:t>
            </w:r>
            <w:r>
              <w:rPr>
                <w:rFonts w:hint="default" w:ascii="Times New Roman" w:hAnsi="Times New Roman" w:cs="Times New Roman"/>
                <w:color w:val="auto"/>
                <w:sz w:val="24"/>
                <w:szCs w:val="24"/>
                <w:highlight w:val="none"/>
                <w:vertAlign w:val="baseline"/>
                <w:lang w:val="en-US" w:eastAsia="zh-CN"/>
              </w:rPr>
              <w:t xml:space="preserve"> 0.002</w:t>
            </w:r>
            <w:r>
              <w:rPr>
                <w:rFonts w:hint="eastAsia" w:ascii="Times New Roman" w:hAnsi="Times New Roman" w:cs="Times New Roman"/>
                <w:color w:val="auto"/>
                <w:sz w:val="24"/>
                <w:szCs w:val="24"/>
                <w:highlight w:val="none"/>
                <w:vertAlign w:val="baseline"/>
                <w:lang w:val="en-US" w:eastAsia="zh-CN"/>
              </w:rPr>
              <w:t>700</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rPr>
              <w:t>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 0.0002</w:t>
            </w:r>
            <w:r>
              <w:rPr>
                <w:rFonts w:hint="eastAsia" w:ascii="Times New Roman" w:hAnsi="Times New Roman" w:cs="Times New Roman"/>
                <w:color w:val="auto"/>
                <w:sz w:val="24"/>
                <w:szCs w:val="24"/>
                <w:highlight w:val="none"/>
                <w:lang w:val="en-US" w:eastAsia="zh-CN"/>
              </w:rPr>
              <w:t>70</w:t>
            </w:r>
            <w:r>
              <w:rPr>
                <w:rFonts w:hint="default" w:ascii="Times New Roman" w:hAnsi="Times New Roman" w:cs="Times New Roman"/>
                <w:color w:val="auto"/>
                <w:sz w:val="24"/>
                <w:szCs w:val="24"/>
                <w:highlight w:val="none"/>
              </w:rPr>
              <w:t>t/a、T</w:t>
            </w:r>
            <w:r>
              <w:rPr>
                <w:rFonts w:hint="default" w:ascii="Times New Roman" w:hAnsi="Times New Roman" w:cs="Times New Roman"/>
                <w:color w:val="auto"/>
                <w:sz w:val="24"/>
                <w:szCs w:val="24"/>
                <w:highlight w:val="none"/>
                <w:lang w:val="en-US" w:eastAsia="zh-CN"/>
              </w:rPr>
              <w:t>P</w:t>
            </w:r>
            <w:r>
              <w:rPr>
                <w:rFonts w:hint="default" w:ascii="Times New Roman" w:hAnsi="Times New Roman" w:cs="Times New Roman"/>
                <w:color w:val="auto"/>
                <w:sz w:val="24"/>
                <w:szCs w:val="24"/>
                <w:highlight w:val="none"/>
              </w:rPr>
              <w:t xml:space="preserve"> 0.0000</w:t>
            </w:r>
            <w:r>
              <w:rPr>
                <w:rFonts w:hint="eastAsia" w:ascii="Times New Roman" w:hAnsi="Times New Roman" w:cs="Times New Roman"/>
                <w:color w:val="auto"/>
                <w:sz w:val="24"/>
                <w:szCs w:val="24"/>
                <w:highlight w:val="none"/>
                <w:lang w:val="en-US" w:eastAsia="zh-CN"/>
              </w:rPr>
              <w:t>54</w:t>
            </w:r>
            <w:r>
              <w:rPr>
                <w:rFonts w:hint="default" w:ascii="Times New Roman" w:hAnsi="Times New Roman" w:cs="Times New Roman"/>
                <w:color w:val="auto"/>
                <w:sz w:val="24"/>
                <w:szCs w:val="24"/>
                <w:highlight w:val="none"/>
              </w:rPr>
              <w:t>t/a、T</w:t>
            </w:r>
            <w:r>
              <w:rPr>
                <w:rFonts w:hint="default" w:ascii="Times New Roman" w:hAnsi="Times New Roman" w:cs="Times New Roman"/>
                <w:color w:val="auto"/>
                <w:sz w:val="24"/>
                <w:szCs w:val="24"/>
                <w:highlight w:val="none"/>
                <w:lang w:val="en-US" w:eastAsia="zh-CN"/>
              </w:rPr>
              <w:t>N</w:t>
            </w:r>
            <w:r>
              <w:rPr>
                <w:rFonts w:hint="default" w:ascii="Times New Roman" w:hAnsi="Times New Roman" w:cs="Times New Roman"/>
                <w:color w:val="auto"/>
                <w:sz w:val="24"/>
                <w:szCs w:val="24"/>
                <w:highlight w:val="none"/>
              </w:rPr>
              <w:t xml:space="preserve"> 0.0002</w:t>
            </w:r>
            <w:r>
              <w:rPr>
                <w:rFonts w:hint="eastAsia" w:ascii="Times New Roman" w:hAnsi="Times New Roman" w:cs="Times New Roman"/>
                <w:color w:val="auto"/>
                <w:sz w:val="24"/>
                <w:szCs w:val="24"/>
                <w:highlight w:val="none"/>
                <w:lang w:val="en-US" w:eastAsia="zh-CN"/>
              </w:rPr>
              <w:t>70</w:t>
            </w:r>
            <w:r>
              <w:rPr>
                <w:rFonts w:hint="default" w:ascii="Times New Roman" w:hAnsi="Times New Roman" w:cs="Times New Roman"/>
                <w:color w:val="auto"/>
                <w:sz w:val="24"/>
                <w:szCs w:val="24"/>
                <w:highlight w:val="none"/>
              </w:rPr>
              <w:t>t/a</w:t>
            </w:r>
            <w:r>
              <w:rPr>
                <w:rFonts w:hint="eastAsia" w:ascii="Times New Roman" w:hAnsi="Times New Roman" w:cs="Times New Roman"/>
                <w:color w:val="auto"/>
                <w:sz w:val="24"/>
                <w:szCs w:val="24"/>
                <w:highlight w:val="none"/>
                <w:lang w:val="en-US" w:eastAsia="zh-CN"/>
              </w:rPr>
              <w:t>,</w:t>
            </w:r>
            <w:r>
              <w:rPr>
                <w:rFonts w:hint="eastAsia" w:eastAsia="宋体"/>
                <w:color w:val="auto"/>
                <w:kern w:val="2"/>
                <w:sz w:val="24"/>
                <w:szCs w:val="24"/>
                <w:highlight w:val="none"/>
                <w:lang w:val="en-US" w:eastAsia="zh-CN"/>
              </w:rPr>
              <w:t>满足一期工程</w:t>
            </w:r>
            <w:r>
              <w:rPr>
                <w:rFonts w:hint="eastAsia" w:eastAsia="宋体"/>
                <w:color w:val="auto"/>
                <w:kern w:val="2"/>
                <w:sz w:val="24"/>
                <w:szCs w:val="24"/>
                <w:highlight w:val="none"/>
              </w:rPr>
              <w:t>污染物环评批复允许排放量</w:t>
            </w:r>
            <w:r>
              <w:rPr>
                <w:rFonts w:hint="default" w:ascii="Times New Roman" w:hAnsi="Times New Roman" w:cs="Times New Roman"/>
                <w:color w:val="auto"/>
                <w:sz w:val="24"/>
                <w:szCs w:val="24"/>
                <w:highlight w:val="none"/>
              </w:rPr>
              <w:t>COD 0.005976t/a、</w:t>
            </w:r>
            <w:r>
              <w:rPr>
                <w:rFonts w:hint="eastAsia" w:ascii="Times New Roman" w:hAnsi="Times New Roman" w:cs="Times New Roman"/>
                <w:color w:val="auto"/>
                <w:sz w:val="24"/>
                <w:szCs w:val="24"/>
                <w:highlight w:val="none"/>
                <w:lang w:val="en-US" w:eastAsia="zh-CN"/>
              </w:rPr>
              <w:t>BOD</w:t>
            </w:r>
            <w:r>
              <w:rPr>
                <w:rFonts w:hint="eastAsia" w:ascii="Times New Roman" w:hAnsi="Times New Roman" w:cs="Times New Roman"/>
                <w:color w:val="auto"/>
                <w:sz w:val="24"/>
                <w:szCs w:val="24"/>
                <w:highlight w:val="none"/>
                <w:vertAlign w:val="subscript"/>
                <w:lang w:val="en-US" w:eastAsia="zh-CN"/>
              </w:rPr>
              <w:t>5</w:t>
            </w:r>
            <w:r>
              <w:rPr>
                <w:rFonts w:hint="eastAsia" w:ascii="Times New Roman" w:hAnsi="Times New Roman" w:cs="Times New Roman"/>
                <w:color w:val="auto"/>
                <w:sz w:val="24"/>
                <w:szCs w:val="24"/>
                <w:highlight w:val="none"/>
                <w:lang w:val="en-US" w:eastAsia="zh-CN"/>
              </w:rPr>
              <w:t>0.002988</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vertAlign w:val="baseline"/>
                <w:lang w:val="en-US" w:eastAsia="zh-CN"/>
              </w:rPr>
              <w:t>、</w:t>
            </w:r>
            <w:r>
              <w:rPr>
                <w:rFonts w:hint="eastAsia" w:cs="Times New Roman"/>
                <w:color w:val="auto"/>
                <w:sz w:val="24"/>
                <w:szCs w:val="24"/>
                <w:highlight w:val="none"/>
                <w:lang w:val="en-US" w:eastAsia="zh-CN"/>
              </w:rPr>
              <w:t>SS</w:t>
            </w:r>
            <w:r>
              <w:rPr>
                <w:rFonts w:hint="default" w:ascii="Times New Roman" w:hAnsi="Times New Roman" w:cs="Times New Roman"/>
                <w:color w:val="auto"/>
                <w:sz w:val="24"/>
                <w:szCs w:val="24"/>
                <w:highlight w:val="none"/>
                <w:vertAlign w:val="baseline"/>
                <w:lang w:val="en-US" w:eastAsia="zh-CN"/>
              </w:rPr>
              <w:t xml:space="preserve"> 0.002988</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rPr>
              <w:t>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 0.000299t/a、T</w:t>
            </w:r>
            <w:r>
              <w:rPr>
                <w:rFonts w:hint="default" w:ascii="Times New Roman" w:hAnsi="Times New Roman" w:cs="Times New Roman"/>
                <w:color w:val="auto"/>
                <w:sz w:val="24"/>
                <w:szCs w:val="24"/>
                <w:highlight w:val="none"/>
                <w:lang w:val="en-US" w:eastAsia="zh-CN"/>
              </w:rPr>
              <w:t>P</w:t>
            </w:r>
            <w:r>
              <w:rPr>
                <w:rFonts w:hint="default" w:ascii="Times New Roman" w:hAnsi="Times New Roman" w:cs="Times New Roman"/>
                <w:color w:val="auto"/>
                <w:sz w:val="24"/>
                <w:szCs w:val="24"/>
                <w:highlight w:val="none"/>
              </w:rPr>
              <w:t xml:space="preserve"> 0.00006t/a、T</w:t>
            </w:r>
            <w:r>
              <w:rPr>
                <w:rFonts w:hint="default" w:ascii="Times New Roman" w:hAnsi="Times New Roman" w:cs="Times New Roman"/>
                <w:color w:val="auto"/>
                <w:sz w:val="24"/>
                <w:szCs w:val="24"/>
                <w:highlight w:val="none"/>
                <w:lang w:val="en-US" w:eastAsia="zh-CN"/>
              </w:rPr>
              <w:t>N</w:t>
            </w:r>
            <w:r>
              <w:rPr>
                <w:rFonts w:hint="default" w:ascii="Times New Roman" w:hAnsi="Times New Roman" w:cs="Times New Roman"/>
                <w:color w:val="auto"/>
                <w:sz w:val="24"/>
                <w:szCs w:val="24"/>
                <w:highlight w:val="none"/>
              </w:rPr>
              <w:t xml:space="preserve"> 0.000299t/a</w:t>
            </w:r>
            <w:r>
              <w:rPr>
                <w:rFonts w:hint="eastAsia" w:ascii="宋体" w:hAnsi="宋体" w:eastAsia="宋体" w:cs="宋体"/>
                <w:color w:val="auto"/>
                <w:sz w:val="24"/>
                <w:szCs w:val="24"/>
                <w:highlight w:val="none"/>
                <w:lang w:val="en-US" w:eastAsia="zh-CN"/>
              </w:rPr>
              <w:t>的限值。</w:t>
            </w:r>
          </w:p>
          <w:p w14:paraId="68589649">
            <w:pPr>
              <w:spacing w:after="0" w:line="460" w:lineRule="exact"/>
              <w:ind w:firstLine="480" w:firstLineChars="200"/>
              <w:jc w:val="both"/>
              <w:rPr>
                <w:rFonts w:hint="default" w:ascii="Times New Roman" w:hAnsi="Times New Roman" w:eastAsia="宋体" w:cs="Times New Roman"/>
                <w:bCs/>
                <w:color w:val="auto"/>
                <w:kern w:val="2"/>
                <w:sz w:val="24"/>
                <w:szCs w:val="24"/>
              </w:rPr>
            </w:pPr>
            <w:r>
              <w:rPr>
                <w:rFonts w:hint="eastAsia" w:eastAsia="宋体"/>
                <w:bCs/>
                <w:color w:val="auto"/>
                <w:kern w:val="2"/>
                <w:sz w:val="24"/>
                <w:szCs w:val="24"/>
                <w:lang w:eastAsia="zh-CN"/>
              </w:rPr>
              <w:t>（</w:t>
            </w:r>
            <w:r>
              <w:rPr>
                <w:rFonts w:hint="eastAsia" w:eastAsia="宋体"/>
                <w:bCs/>
                <w:color w:val="auto"/>
                <w:kern w:val="2"/>
                <w:sz w:val="24"/>
                <w:szCs w:val="24"/>
                <w:lang w:val="en-US" w:eastAsia="zh-CN"/>
              </w:rPr>
              <w:t>4</w:t>
            </w:r>
            <w:r>
              <w:rPr>
                <w:rFonts w:hint="eastAsia" w:eastAsia="宋体"/>
                <w:bCs/>
                <w:color w:val="auto"/>
                <w:kern w:val="2"/>
                <w:sz w:val="24"/>
                <w:szCs w:val="24"/>
                <w:lang w:eastAsia="zh-CN"/>
              </w:rPr>
              <w:t>）</w:t>
            </w:r>
            <w:r>
              <w:rPr>
                <w:rFonts w:hint="eastAsia" w:eastAsia="宋体"/>
                <w:bCs/>
                <w:color w:val="auto"/>
                <w:kern w:val="2"/>
                <w:sz w:val="24"/>
                <w:szCs w:val="24"/>
                <w:lang w:val="en-US" w:eastAsia="zh-CN"/>
              </w:rPr>
              <w:t>废气：</w:t>
            </w:r>
            <w:r>
              <w:rPr>
                <w:rFonts w:eastAsia="宋体"/>
                <w:color w:val="auto"/>
                <w:kern w:val="2"/>
                <w:sz w:val="24"/>
                <w:szCs w:val="20"/>
              </w:rPr>
              <w:t>本项目</w:t>
            </w:r>
            <w:r>
              <w:rPr>
                <w:rFonts w:eastAsia="宋体"/>
                <w:color w:val="auto"/>
                <w:kern w:val="2"/>
                <w:sz w:val="24"/>
                <w:szCs w:val="24"/>
              </w:rPr>
              <w:t>有组织</w:t>
            </w:r>
            <w:r>
              <w:rPr>
                <w:rFonts w:hint="eastAsia" w:eastAsia="宋体"/>
                <w:color w:val="auto"/>
                <w:kern w:val="2"/>
                <w:sz w:val="24"/>
                <w:szCs w:val="20"/>
                <w:lang w:val="en-US" w:eastAsia="zh-CN"/>
              </w:rPr>
              <w:t>废气主要为吹瓶工序产生的非甲烷总烃。项目</w:t>
            </w:r>
            <w:r>
              <w:rPr>
                <w:rFonts w:hint="eastAsia" w:eastAsia="宋体"/>
                <w:color w:val="auto"/>
                <w:kern w:val="2"/>
                <w:sz w:val="24"/>
                <w:szCs w:val="20"/>
              </w:rPr>
              <w:t>对吹</w:t>
            </w:r>
            <w:r>
              <w:rPr>
                <w:rFonts w:hint="eastAsia" w:eastAsia="宋体"/>
                <w:color w:val="auto"/>
                <w:kern w:val="2"/>
                <w:sz w:val="24"/>
                <w:szCs w:val="20"/>
                <w:lang w:val="en-US" w:eastAsia="zh-CN"/>
              </w:rPr>
              <w:t>瓶工序进行</w:t>
            </w:r>
            <w:r>
              <w:rPr>
                <w:rFonts w:hint="eastAsia" w:eastAsia="宋体"/>
                <w:color w:val="auto"/>
                <w:kern w:val="2"/>
                <w:sz w:val="24"/>
                <w:szCs w:val="20"/>
              </w:rPr>
              <w:t>密闭，吹</w:t>
            </w:r>
            <w:r>
              <w:rPr>
                <w:rFonts w:hint="eastAsia" w:eastAsia="宋体"/>
                <w:color w:val="auto"/>
                <w:kern w:val="2"/>
                <w:sz w:val="24"/>
                <w:szCs w:val="20"/>
                <w:lang w:val="en-US" w:eastAsia="zh-CN"/>
              </w:rPr>
              <w:t>瓶</w:t>
            </w:r>
            <w:r>
              <w:rPr>
                <w:rFonts w:eastAsia="宋体"/>
                <w:color w:val="auto"/>
                <w:kern w:val="2"/>
                <w:sz w:val="24"/>
                <w:szCs w:val="20"/>
              </w:rPr>
              <w:t>废气经</w:t>
            </w:r>
            <w:r>
              <w:rPr>
                <w:rFonts w:hint="eastAsia" w:eastAsia="宋体"/>
                <w:color w:val="auto"/>
                <w:kern w:val="2"/>
                <w:sz w:val="24"/>
                <w:szCs w:val="20"/>
              </w:rPr>
              <w:t>负压</w:t>
            </w:r>
            <w:r>
              <w:rPr>
                <w:rFonts w:eastAsia="宋体"/>
                <w:color w:val="auto"/>
                <w:kern w:val="2"/>
                <w:sz w:val="24"/>
                <w:szCs w:val="20"/>
              </w:rPr>
              <w:t>收集至1套</w:t>
            </w:r>
            <w:r>
              <w:rPr>
                <w:rFonts w:hint="eastAsia" w:eastAsia="宋体"/>
                <w:color w:val="auto"/>
                <w:kern w:val="2"/>
                <w:sz w:val="24"/>
                <w:szCs w:val="20"/>
                <w:lang w:eastAsia="zh-CN"/>
              </w:rPr>
              <w:t>“</w:t>
            </w:r>
            <w:r>
              <w:rPr>
                <w:rFonts w:eastAsia="宋体"/>
                <w:color w:val="auto"/>
                <w:kern w:val="2"/>
                <w:sz w:val="24"/>
                <w:szCs w:val="20"/>
              </w:rPr>
              <w:t>活性炭吸/脱附+催化燃烧</w:t>
            </w:r>
            <w:r>
              <w:rPr>
                <w:rFonts w:hint="eastAsia" w:eastAsia="宋体"/>
                <w:color w:val="auto"/>
                <w:kern w:val="2"/>
                <w:sz w:val="24"/>
                <w:szCs w:val="20"/>
                <w:lang w:eastAsia="zh-CN"/>
              </w:rPr>
              <w:t>”</w:t>
            </w:r>
            <w:r>
              <w:rPr>
                <w:rFonts w:hint="eastAsia" w:eastAsia="宋体"/>
                <w:color w:val="auto"/>
                <w:kern w:val="2"/>
                <w:sz w:val="24"/>
                <w:szCs w:val="20"/>
                <w:lang w:val="en-US" w:eastAsia="zh-CN"/>
              </w:rPr>
              <w:t>装置进行处理，处理后的废气</w:t>
            </w:r>
            <w:r>
              <w:rPr>
                <w:rFonts w:eastAsia="宋体"/>
                <w:color w:val="auto"/>
                <w:kern w:val="2"/>
                <w:sz w:val="24"/>
                <w:szCs w:val="20"/>
              </w:rPr>
              <w:t>经1根15m高排气筒排放</w:t>
            </w:r>
            <w:r>
              <w:rPr>
                <w:rFonts w:hint="eastAsia" w:eastAsia="宋体"/>
                <w:color w:val="auto"/>
                <w:kern w:val="2"/>
                <w:sz w:val="24"/>
                <w:szCs w:val="20"/>
                <w:lang w:eastAsia="zh-CN"/>
              </w:rPr>
              <w:t>，</w:t>
            </w:r>
            <w:r>
              <w:rPr>
                <w:rFonts w:hint="default" w:ascii="Times New Roman" w:hAnsi="Times New Roman" w:eastAsia="宋体" w:cs="Times New Roman"/>
                <w:color w:val="auto"/>
                <w:kern w:val="2"/>
                <w:sz w:val="24"/>
                <w:szCs w:val="24"/>
                <w:lang w:val="en-US" w:eastAsia="zh-CN"/>
              </w:rPr>
              <w:t>根据监测结果，</w:t>
            </w:r>
            <w:r>
              <w:rPr>
                <w:rFonts w:eastAsia="宋体"/>
                <w:color w:val="auto"/>
                <w:kern w:val="2"/>
                <w:sz w:val="24"/>
                <w:szCs w:val="24"/>
              </w:rPr>
              <w:t>活性炭吸/脱附+催化燃烧</w:t>
            </w:r>
            <w:r>
              <w:rPr>
                <w:rFonts w:hint="eastAsia" w:eastAsia="宋体"/>
                <w:bCs/>
                <w:color w:val="auto"/>
                <w:kern w:val="2"/>
                <w:sz w:val="24"/>
                <w:szCs w:val="24"/>
              </w:rPr>
              <w:t>装置15m高排气筒出口有组织非甲烷总烃浓度为</w:t>
            </w:r>
            <w:r>
              <w:rPr>
                <w:rFonts w:hint="eastAsia" w:eastAsia="宋体"/>
                <w:bCs/>
                <w:color w:val="auto"/>
                <w:kern w:val="2"/>
                <w:sz w:val="24"/>
                <w:szCs w:val="24"/>
                <w:lang w:val="en-US" w:eastAsia="zh-CN"/>
              </w:rPr>
              <w:t>1.20</w:t>
            </w:r>
            <w:r>
              <w:rPr>
                <w:rFonts w:eastAsia="宋体"/>
                <w:bCs/>
                <w:color w:val="auto"/>
                <w:kern w:val="2"/>
                <w:sz w:val="24"/>
                <w:szCs w:val="24"/>
              </w:rPr>
              <w:t>~</w:t>
            </w:r>
            <w:r>
              <w:rPr>
                <w:rFonts w:hint="eastAsia" w:eastAsia="宋体"/>
                <w:bCs/>
                <w:color w:val="auto"/>
                <w:kern w:val="2"/>
                <w:sz w:val="24"/>
                <w:szCs w:val="24"/>
                <w:lang w:val="en-US" w:eastAsia="zh-CN"/>
              </w:rPr>
              <w:t>1.29</w:t>
            </w:r>
            <w:r>
              <w:rPr>
                <w:rFonts w:eastAsia="宋体"/>
                <w:bCs/>
                <w:color w:val="auto"/>
                <w:kern w:val="2"/>
                <w:sz w:val="24"/>
                <w:szCs w:val="24"/>
              </w:rPr>
              <w:t>mg/m</w:t>
            </w:r>
            <w:r>
              <w:rPr>
                <w:rFonts w:eastAsia="宋体"/>
                <w:bCs/>
                <w:color w:val="auto"/>
                <w:kern w:val="2"/>
                <w:sz w:val="24"/>
                <w:szCs w:val="24"/>
                <w:vertAlign w:val="superscript"/>
              </w:rPr>
              <w:t>3</w:t>
            </w:r>
            <w:r>
              <w:rPr>
                <w:rFonts w:hint="eastAsia" w:eastAsia="宋体"/>
                <w:bCs/>
                <w:color w:val="auto"/>
                <w:kern w:val="2"/>
                <w:sz w:val="24"/>
                <w:szCs w:val="24"/>
              </w:rPr>
              <w:t>，排放速率为</w:t>
            </w:r>
            <w:r>
              <w:rPr>
                <w:rFonts w:hint="eastAsia" w:eastAsia="宋体"/>
                <w:bCs/>
                <w:color w:val="auto"/>
                <w:kern w:val="2"/>
                <w:sz w:val="24"/>
                <w:szCs w:val="24"/>
                <w:lang w:val="en-US" w:eastAsia="zh-CN"/>
              </w:rPr>
              <w:t>0.006</w:t>
            </w:r>
            <w:r>
              <w:rPr>
                <w:rFonts w:eastAsia="宋体"/>
                <w:bCs/>
                <w:color w:val="auto"/>
                <w:kern w:val="2"/>
                <w:sz w:val="24"/>
                <w:szCs w:val="24"/>
              </w:rPr>
              <w:t>~</w:t>
            </w:r>
            <w:r>
              <w:rPr>
                <w:rFonts w:hint="eastAsia" w:eastAsia="宋体"/>
                <w:bCs/>
                <w:color w:val="auto"/>
                <w:kern w:val="2"/>
                <w:sz w:val="24"/>
                <w:szCs w:val="24"/>
                <w:lang w:val="en-US" w:eastAsia="zh-CN"/>
              </w:rPr>
              <w:t>0.007</w:t>
            </w:r>
            <w:r>
              <w:rPr>
                <w:rFonts w:eastAsia="宋体"/>
                <w:bCs/>
                <w:color w:val="auto"/>
                <w:kern w:val="2"/>
                <w:sz w:val="24"/>
                <w:szCs w:val="24"/>
              </w:rPr>
              <w:t>kg/h</w:t>
            </w:r>
            <w:r>
              <w:rPr>
                <w:rFonts w:hint="eastAsia" w:eastAsia="宋体"/>
                <w:bCs/>
                <w:color w:val="auto"/>
                <w:kern w:val="2"/>
                <w:sz w:val="24"/>
                <w:szCs w:val="24"/>
              </w:rPr>
              <w:t>，</w:t>
            </w:r>
            <w:r>
              <w:rPr>
                <w:rFonts w:hint="eastAsia" w:eastAsia="宋体"/>
                <w:bCs/>
                <w:color w:val="auto"/>
                <w:kern w:val="2"/>
                <w:sz w:val="24"/>
                <w:szCs w:val="24"/>
                <w:highlight w:val="none"/>
              </w:rPr>
              <w:t>去除效率为</w:t>
            </w:r>
            <w:r>
              <w:rPr>
                <w:rFonts w:hint="eastAsia" w:eastAsia="宋体"/>
                <w:bCs/>
                <w:color w:val="auto"/>
                <w:kern w:val="2"/>
                <w:sz w:val="24"/>
                <w:szCs w:val="24"/>
                <w:highlight w:val="none"/>
                <w:lang w:val="en-US" w:eastAsia="zh-CN"/>
              </w:rPr>
              <w:t>95.96-96.7</w:t>
            </w:r>
            <w:r>
              <w:rPr>
                <w:rFonts w:hint="eastAsia" w:eastAsia="宋体"/>
                <w:bCs/>
                <w:color w:val="auto"/>
                <w:kern w:val="2"/>
                <w:sz w:val="24"/>
                <w:szCs w:val="24"/>
                <w:highlight w:val="none"/>
              </w:rPr>
              <w:t>%，</w:t>
            </w:r>
            <w:r>
              <w:rPr>
                <w:rFonts w:hint="eastAsia" w:eastAsia="宋体"/>
                <w:bCs/>
                <w:color w:val="auto"/>
                <w:kern w:val="2"/>
                <w:sz w:val="24"/>
                <w:szCs w:val="24"/>
              </w:rPr>
              <w:t>能够</w:t>
            </w:r>
            <w:r>
              <w:rPr>
                <w:rFonts w:eastAsia="宋体"/>
                <w:bCs/>
                <w:color w:val="auto"/>
                <w:sz w:val="24"/>
                <w:szCs w:val="24"/>
              </w:rPr>
              <w:t>满足</w:t>
            </w:r>
            <w:r>
              <w:rPr>
                <w:rFonts w:hint="default" w:ascii="Times New Roman" w:hAnsi="Times New Roman" w:eastAsia="宋体" w:cs="Times New Roman"/>
                <w:bCs/>
                <w:color w:val="auto"/>
                <w:sz w:val="24"/>
                <w:szCs w:val="24"/>
              </w:rPr>
              <w:t>《合成树脂工业污染物排放标准》（GB31572-2015）</w:t>
            </w:r>
            <w:r>
              <w:rPr>
                <w:rFonts w:hint="default" w:ascii="Times New Roman" w:hAnsi="Times New Roman" w:eastAsia="宋体" w:cs="Times New Roman"/>
                <w:color w:val="auto"/>
                <w:sz w:val="24"/>
                <w:szCs w:val="24"/>
                <w:highlight w:val="none"/>
              </w:rPr>
              <w:t>（含2024年修改单）</w:t>
            </w:r>
            <w:r>
              <w:rPr>
                <w:rFonts w:hint="default" w:ascii="Times New Roman" w:hAnsi="Times New Roman" w:eastAsia="宋体" w:cs="Times New Roman"/>
                <w:color w:val="auto"/>
                <w:sz w:val="24"/>
                <w:szCs w:val="24"/>
                <w:highlight w:val="none"/>
                <w:lang w:val="en-US" w:eastAsia="zh-CN"/>
              </w:rPr>
              <w:t>中</w:t>
            </w:r>
            <w:r>
              <w:rPr>
                <w:rFonts w:hint="eastAsia" w:eastAsia="宋体"/>
                <w:bCs/>
                <w:color w:val="auto"/>
                <w:kern w:val="2"/>
                <w:sz w:val="24"/>
                <w:szCs w:val="24"/>
              </w:rPr>
              <w:t>有组织非甲烷总烃</w:t>
            </w:r>
            <w:r>
              <w:rPr>
                <w:rFonts w:eastAsia="宋体"/>
                <w:color w:val="auto"/>
                <w:sz w:val="24"/>
                <w:szCs w:val="24"/>
              </w:rPr>
              <w:t>排放浓度</w:t>
            </w:r>
            <w:r>
              <w:rPr>
                <w:rFonts w:hint="eastAsia" w:eastAsia="宋体"/>
                <w:color w:val="auto"/>
                <w:sz w:val="24"/>
                <w:szCs w:val="24"/>
              </w:rPr>
              <w:t>6</w:t>
            </w:r>
            <w:r>
              <w:rPr>
                <w:rFonts w:eastAsia="宋体"/>
                <w:color w:val="auto"/>
                <w:sz w:val="24"/>
                <w:szCs w:val="24"/>
              </w:rPr>
              <w:t>0mg/m</w:t>
            </w:r>
            <w:r>
              <w:rPr>
                <w:rFonts w:eastAsia="宋体"/>
                <w:color w:val="auto"/>
                <w:sz w:val="24"/>
                <w:szCs w:val="24"/>
                <w:vertAlign w:val="superscript"/>
              </w:rPr>
              <w:t>3</w:t>
            </w:r>
            <w:r>
              <w:rPr>
                <w:rFonts w:eastAsia="宋体"/>
                <w:color w:val="auto"/>
                <w:sz w:val="24"/>
                <w:szCs w:val="24"/>
              </w:rPr>
              <w:t>的标准限值</w:t>
            </w:r>
            <w:r>
              <w:rPr>
                <w:rFonts w:hint="eastAsia" w:eastAsia="宋体"/>
                <w:color w:val="auto"/>
                <w:sz w:val="24"/>
                <w:szCs w:val="24"/>
              </w:rPr>
              <w:t>；</w:t>
            </w:r>
            <w:r>
              <w:rPr>
                <w:rFonts w:hint="eastAsia" w:eastAsia="宋体"/>
                <w:color w:val="auto"/>
                <w:sz w:val="24"/>
                <w:szCs w:val="24"/>
                <w:lang w:val="en-US" w:eastAsia="zh-CN"/>
              </w:rPr>
              <w:t>还</w:t>
            </w:r>
            <w:r>
              <w:rPr>
                <w:rFonts w:hint="eastAsia" w:eastAsia="宋体"/>
                <w:color w:val="auto"/>
                <w:sz w:val="24"/>
                <w:szCs w:val="24"/>
              </w:rPr>
              <w:t>能够满足《关于全省开展工业企业挥发性有机物专项治理工作中排放建议值的通知》（豫环攻坚办（2017）162号）其他行业有机废气排放口</w:t>
            </w:r>
            <w:r>
              <w:rPr>
                <w:rFonts w:hint="eastAsia" w:eastAsia="宋体"/>
                <w:bCs/>
                <w:color w:val="auto"/>
                <w:kern w:val="2"/>
                <w:sz w:val="24"/>
                <w:szCs w:val="24"/>
              </w:rPr>
              <w:t>有组织非甲烷总烃</w:t>
            </w:r>
            <w:r>
              <w:rPr>
                <w:rFonts w:eastAsia="宋体"/>
                <w:color w:val="auto"/>
                <w:sz w:val="24"/>
                <w:szCs w:val="24"/>
              </w:rPr>
              <w:t>排放浓度</w:t>
            </w:r>
            <w:r>
              <w:rPr>
                <w:rFonts w:hint="eastAsia" w:eastAsia="宋体"/>
                <w:color w:val="auto"/>
                <w:sz w:val="24"/>
                <w:szCs w:val="24"/>
              </w:rPr>
              <w:t>8</w:t>
            </w:r>
            <w:r>
              <w:rPr>
                <w:rFonts w:eastAsia="宋体"/>
                <w:color w:val="auto"/>
                <w:sz w:val="24"/>
                <w:szCs w:val="24"/>
              </w:rPr>
              <w:t>0mg/m</w:t>
            </w:r>
            <w:r>
              <w:rPr>
                <w:rFonts w:eastAsia="宋体"/>
                <w:color w:val="auto"/>
                <w:sz w:val="24"/>
                <w:szCs w:val="24"/>
                <w:vertAlign w:val="superscript"/>
              </w:rPr>
              <w:t>3</w:t>
            </w:r>
            <w:r>
              <w:rPr>
                <w:rFonts w:hint="eastAsia" w:eastAsia="宋体"/>
                <w:color w:val="auto"/>
                <w:sz w:val="24"/>
                <w:szCs w:val="24"/>
              </w:rPr>
              <w:t>，去除率≥70%</w:t>
            </w:r>
            <w:r>
              <w:rPr>
                <w:rFonts w:eastAsia="宋体"/>
                <w:color w:val="auto"/>
                <w:sz w:val="24"/>
                <w:szCs w:val="24"/>
              </w:rPr>
              <w:t>的标准限值</w:t>
            </w:r>
            <w:r>
              <w:rPr>
                <w:rFonts w:hint="eastAsia" w:eastAsia="宋体"/>
                <w:color w:val="auto"/>
                <w:sz w:val="24"/>
                <w:szCs w:val="24"/>
                <w:lang w:eastAsia="zh-CN"/>
              </w:rPr>
              <w:t>；</w:t>
            </w:r>
            <w:r>
              <w:rPr>
                <w:rFonts w:hint="default" w:ascii="Times New Roman" w:hAnsi="Times New Roman" w:eastAsia="宋体" w:cs="Times New Roman"/>
                <w:bCs/>
                <w:color w:val="auto"/>
                <w:sz w:val="24"/>
                <w:highlight w:val="none"/>
              </w:rPr>
              <w:t>同时能够满足</w:t>
            </w:r>
            <w:r>
              <w:rPr>
                <w:rFonts w:hint="default" w:ascii="Times New Roman" w:hAnsi="Times New Roman" w:eastAsia="宋体" w:cs="Times New Roman"/>
                <w:bCs/>
                <w:color w:val="auto"/>
                <w:kern w:val="21"/>
                <w:sz w:val="24"/>
                <w:highlight w:val="none"/>
              </w:rPr>
              <w:t>《河南省重污染天气重点行业应急减排措施制定技术指南（202</w:t>
            </w:r>
            <w:r>
              <w:rPr>
                <w:rFonts w:hint="default" w:ascii="Times New Roman" w:hAnsi="Times New Roman" w:eastAsia="宋体" w:cs="Times New Roman"/>
                <w:bCs/>
                <w:color w:val="auto"/>
                <w:kern w:val="21"/>
                <w:sz w:val="24"/>
                <w:highlight w:val="none"/>
                <w:lang w:val="en-US" w:eastAsia="zh-CN"/>
              </w:rPr>
              <w:t>4</w:t>
            </w:r>
            <w:r>
              <w:rPr>
                <w:rFonts w:hint="default" w:ascii="Times New Roman" w:hAnsi="Times New Roman" w:eastAsia="宋体" w:cs="Times New Roman"/>
                <w:bCs/>
                <w:color w:val="auto"/>
                <w:kern w:val="21"/>
                <w:sz w:val="24"/>
                <w:highlight w:val="none"/>
              </w:rPr>
              <w:t>年修订版）》</w:t>
            </w:r>
            <w:r>
              <w:rPr>
                <w:rFonts w:hint="default" w:ascii="Times New Roman" w:hAnsi="Times New Roman" w:eastAsia="宋体" w:cs="Times New Roman"/>
                <w:bCs/>
                <w:color w:val="auto"/>
                <w:kern w:val="21"/>
                <w:sz w:val="24"/>
                <w:highlight w:val="none"/>
                <w:lang w:val="en-US" w:eastAsia="zh-CN"/>
              </w:rPr>
              <w:t>及其补充说明</w:t>
            </w:r>
            <w:r>
              <w:rPr>
                <w:rFonts w:hint="default" w:ascii="Times New Roman" w:hAnsi="Times New Roman" w:eastAsia="宋体" w:cs="Times New Roman"/>
                <w:bCs/>
                <w:color w:val="auto"/>
                <w:kern w:val="21"/>
                <w:sz w:val="24"/>
                <w:highlight w:val="none"/>
              </w:rPr>
              <w:t>中塑料制品业A级企业全厂非甲烷总烃排放浓度不高于</w:t>
            </w:r>
            <w:r>
              <w:rPr>
                <w:rFonts w:hint="default" w:ascii="Times New Roman" w:hAnsi="Times New Roman" w:eastAsia="宋体" w:cs="Times New Roman"/>
                <w:bCs/>
                <w:color w:val="auto"/>
                <w:kern w:val="21"/>
                <w:sz w:val="24"/>
                <w:highlight w:val="none"/>
                <w:lang w:val="en-US" w:eastAsia="zh-CN"/>
              </w:rPr>
              <w:t>2</w:t>
            </w:r>
            <w:r>
              <w:rPr>
                <w:rFonts w:hint="default" w:ascii="Times New Roman" w:hAnsi="Times New Roman" w:eastAsia="宋体" w:cs="Times New Roman"/>
                <w:bCs/>
                <w:color w:val="auto"/>
                <w:kern w:val="21"/>
                <w:sz w:val="24"/>
                <w:highlight w:val="none"/>
              </w:rPr>
              <w:t>0mg/m</w:t>
            </w:r>
            <w:r>
              <w:rPr>
                <w:rFonts w:hint="default" w:ascii="Times New Roman" w:hAnsi="Times New Roman" w:eastAsia="宋体" w:cs="Times New Roman"/>
                <w:bCs/>
                <w:color w:val="auto"/>
                <w:kern w:val="21"/>
                <w:sz w:val="24"/>
                <w:highlight w:val="none"/>
                <w:vertAlign w:val="superscript"/>
              </w:rPr>
              <w:t>3</w:t>
            </w:r>
            <w:r>
              <w:rPr>
                <w:rFonts w:hint="default" w:ascii="Times New Roman" w:hAnsi="Times New Roman" w:eastAsia="宋体" w:cs="Times New Roman"/>
                <w:bCs/>
                <w:color w:val="auto"/>
                <w:kern w:val="21"/>
                <w:sz w:val="24"/>
                <w:highlight w:val="none"/>
              </w:rPr>
              <w:t>的限值要求</w:t>
            </w:r>
            <w:r>
              <w:rPr>
                <w:rFonts w:hint="default" w:ascii="Times New Roman" w:hAnsi="Times New Roman" w:eastAsia="宋体" w:cs="Times New Roman"/>
                <w:bCs/>
                <w:color w:val="auto"/>
                <w:kern w:val="21"/>
                <w:sz w:val="24"/>
                <w:highlight w:val="none"/>
                <w:lang w:eastAsia="zh-CN"/>
              </w:rPr>
              <w:t>。</w:t>
            </w:r>
          </w:p>
          <w:p w14:paraId="708139FF">
            <w:pPr>
              <w:spacing w:after="0" w:line="460" w:lineRule="exact"/>
              <w:ind w:firstLine="480" w:firstLineChars="200"/>
              <w:jc w:val="both"/>
              <w:textAlignment w:val="baseline"/>
              <w:rPr>
                <w:rFonts w:hint="default" w:ascii="Times New Roman" w:hAnsi="Times New Roman" w:eastAsia="宋体" w:cs="Times New Roman"/>
                <w:bCs/>
                <w:color w:val="auto"/>
                <w:sz w:val="24"/>
                <w:szCs w:val="24"/>
                <w:lang w:val="en-US"/>
              </w:rPr>
            </w:pPr>
            <w:r>
              <w:rPr>
                <w:rFonts w:hint="default" w:ascii="Times New Roman" w:hAnsi="Times New Roman" w:eastAsia="宋体" w:cs="Times New Roman"/>
                <w:bCs/>
                <w:color w:val="auto"/>
                <w:sz w:val="24"/>
                <w:szCs w:val="24"/>
              </w:rPr>
              <w:t>非甲烷总烃厂界上风向、下风向厂界外浓度限值排放浓度值范围为：</w:t>
            </w:r>
            <w:r>
              <w:rPr>
                <w:rFonts w:hint="default" w:ascii="Times New Roman" w:hAnsi="Times New Roman" w:eastAsia="宋体" w:cs="Times New Roman"/>
                <w:bCs/>
                <w:color w:val="auto"/>
                <w:kern w:val="2"/>
                <w:sz w:val="24"/>
                <w:szCs w:val="24"/>
              </w:rPr>
              <w:t>0.</w:t>
            </w:r>
            <w:r>
              <w:rPr>
                <w:rFonts w:hint="default" w:ascii="Times New Roman" w:hAnsi="Times New Roman" w:eastAsia="宋体" w:cs="Times New Roman"/>
                <w:bCs/>
                <w:color w:val="auto"/>
                <w:kern w:val="2"/>
                <w:sz w:val="24"/>
                <w:szCs w:val="24"/>
                <w:lang w:val="en-US" w:eastAsia="zh-CN"/>
              </w:rPr>
              <w:t>49</w:t>
            </w:r>
            <w:r>
              <w:rPr>
                <w:rFonts w:hint="default" w:ascii="Times New Roman" w:hAnsi="Times New Roman" w:eastAsia="宋体" w:cs="Times New Roman"/>
                <w:bCs/>
                <w:color w:val="auto"/>
                <w:kern w:val="2"/>
                <w:sz w:val="24"/>
                <w:szCs w:val="24"/>
              </w:rPr>
              <w:t>~0.</w:t>
            </w:r>
            <w:r>
              <w:rPr>
                <w:rFonts w:hint="default" w:ascii="Times New Roman" w:hAnsi="Times New Roman" w:eastAsia="宋体" w:cs="Times New Roman"/>
                <w:bCs/>
                <w:color w:val="auto"/>
                <w:kern w:val="2"/>
                <w:sz w:val="24"/>
                <w:szCs w:val="24"/>
                <w:lang w:val="en-US" w:eastAsia="zh-CN"/>
              </w:rPr>
              <w:t>91</w:t>
            </w:r>
            <w:r>
              <w:rPr>
                <w:rFonts w:hint="default" w:ascii="Times New Roman" w:hAnsi="Times New Roman" w:eastAsia="宋体" w:cs="Times New Roman"/>
                <w:bCs/>
                <w:color w:val="auto"/>
                <w:kern w:val="2"/>
                <w:sz w:val="24"/>
                <w:szCs w:val="24"/>
              </w:rPr>
              <w:t>mg/m</w:t>
            </w:r>
            <w:r>
              <w:rPr>
                <w:rFonts w:hint="default" w:ascii="Times New Roman" w:hAnsi="Times New Roman" w:eastAsia="宋体" w:cs="Times New Roman"/>
                <w:bCs/>
                <w:color w:val="auto"/>
                <w:kern w:val="2"/>
                <w:sz w:val="24"/>
                <w:szCs w:val="24"/>
                <w:vertAlign w:val="superscript"/>
              </w:rPr>
              <w:t>3</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color w:val="auto"/>
                <w:sz w:val="24"/>
                <w:szCs w:val="24"/>
                <w:highlight w:val="none"/>
                <w:lang w:val="en-US" w:eastAsia="zh-CN"/>
              </w:rPr>
              <w:t>厂区内监控点处1h平均浓度范围为：</w:t>
            </w:r>
            <w:r>
              <w:rPr>
                <w:rFonts w:hint="default" w:ascii="Times New Roman" w:hAnsi="Times New Roman" w:eastAsia="宋体" w:cs="Times New Roman"/>
                <w:bCs/>
                <w:color w:val="auto"/>
                <w:kern w:val="2"/>
                <w:sz w:val="24"/>
                <w:szCs w:val="24"/>
                <w:lang w:val="en-US" w:eastAsia="zh-CN"/>
              </w:rPr>
              <w:t>1.1</w:t>
            </w:r>
            <w:r>
              <w:rPr>
                <w:rFonts w:hint="default" w:ascii="Times New Roman" w:hAnsi="Times New Roman" w:eastAsia="宋体" w:cs="Times New Roman"/>
                <w:bCs/>
                <w:color w:val="auto"/>
                <w:kern w:val="2"/>
                <w:sz w:val="24"/>
                <w:szCs w:val="24"/>
              </w:rPr>
              <w:t>~</w:t>
            </w:r>
            <w:r>
              <w:rPr>
                <w:rFonts w:hint="default" w:ascii="Times New Roman" w:hAnsi="Times New Roman" w:eastAsia="宋体" w:cs="Times New Roman"/>
                <w:bCs/>
                <w:color w:val="auto"/>
                <w:kern w:val="2"/>
                <w:sz w:val="24"/>
                <w:szCs w:val="24"/>
                <w:lang w:val="en-US" w:eastAsia="zh-CN"/>
              </w:rPr>
              <w:t>1.19</w:t>
            </w:r>
            <w:r>
              <w:rPr>
                <w:rFonts w:hint="default" w:ascii="Times New Roman" w:hAnsi="Times New Roman" w:eastAsia="宋体" w:cs="Times New Roman"/>
                <w:bCs/>
                <w:color w:val="auto"/>
                <w:kern w:val="2"/>
                <w:sz w:val="24"/>
                <w:szCs w:val="24"/>
              </w:rPr>
              <w:t xml:space="preserve"> mg/m</w:t>
            </w:r>
            <w:r>
              <w:rPr>
                <w:rFonts w:hint="default" w:ascii="Times New Roman" w:hAnsi="Times New Roman" w:eastAsia="宋体" w:cs="Times New Roman"/>
                <w:bCs/>
                <w:color w:val="auto"/>
                <w:kern w:val="2"/>
                <w:sz w:val="24"/>
                <w:szCs w:val="24"/>
                <w:vertAlign w:val="superscript"/>
              </w:rPr>
              <w:t>3</w:t>
            </w:r>
            <w:r>
              <w:rPr>
                <w:rFonts w:hint="default" w:ascii="Times New Roman" w:hAnsi="Times New Roman" w:eastAsia="宋体" w:cs="Times New Roman"/>
                <w:bCs/>
                <w:color w:val="auto"/>
                <w:sz w:val="24"/>
                <w:szCs w:val="24"/>
              </w:rPr>
              <w:t>，监控点处任意一次平均浓度</w:t>
            </w:r>
            <w:r>
              <w:rPr>
                <w:rFonts w:hint="default" w:ascii="Times New Roman" w:hAnsi="Times New Roman" w:eastAsia="宋体" w:cs="Times New Roman"/>
                <w:bCs/>
                <w:color w:val="auto"/>
                <w:sz w:val="24"/>
                <w:szCs w:val="24"/>
                <w:lang w:val="en-US" w:eastAsia="zh-CN"/>
              </w:rPr>
              <w:t>范围为：</w:t>
            </w:r>
            <w:r>
              <w:rPr>
                <w:rFonts w:hint="default" w:ascii="Times New Roman" w:hAnsi="Times New Roman" w:eastAsia="宋体" w:cs="Times New Roman"/>
                <w:bCs/>
                <w:color w:val="auto"/>
                <w:kern w:val="2"/>
                <w:sz w:val="24"/>
                <w:szCs w:val="24"/>
                <w:lang w:val="en-US" w:eastAsia="zh-CN"/>
              </w:rPr>
              <w:t>1.2</w:t>
            </w:r>
            <w:r>
              <w:rPr>
                <w:rFonts w:hint="default" w:ascii="Times New Roman" w:hAnsi="Times New Roman" w:eastAsia="宋体" w:cs="Times New Roman"/>
                <w:bCs/>
                <w:color w:val="auto"/>
                <w:kern w:val="2"/>
                <w:sz w:val="24"/>
                <w:szCs w:val="24"/>
              </w:rPr>
              <w:t>~</w:t>
            </w:r>
            <w:r>
              <w:rPr>
                <w:rFonts w:hint="default" w:ascii="Times New Roman" w:hAnsi="Times New Roman" w:eastAsia="宋体" w:cs="Times New Roman"/>
                <w:bCs/>
                <w:color w:val="auto"/>
                <w:kern w:val="2"/>
                <w:sz w:val="24"/>
                <w:szCs w:val="24"/>
                <w:lang w:val="en-US" w:eastAsia="zh-CN"/>
              </w:rPr>
              <w:t>1.28</w:t>
            </w:r>
            <w:r>
              <w:rPr>
                <w:rFonts w:hint="default" w:ascii="Times New Roman" w:hAnsi="Times New Roman" w:eastAsia="宋体" w:cs="Times New Roman"/>
                <w:bCs/>
                <w:color w:val="auto"/>
                <w:kern w:val="2"/>
                <w:sz w:val="24"/>
                <w:szCs w:val="24"/>
              </w:rPr>
              <w:t>mg/m</w:t>
            </w:r>
            <w:r>
              <w:rPr>
                <w:rFonts w:hint="default" w:ascii="Times New Roman" w:hAnsi="Times New Roman" w:eastAsia="宋体" w:cs="Times New Roman"/>
                <w:bCs/>
                <w:color w:val="auto"/>
                <w:kern w:val="2"/>
                <w:sz w:val="24"/>
                <w:szCs w:val="24"/>
                <w:vertAlign w:val="superscript"/>
              </w:rPr>
              <w:t>3</w:t>
            </w:r>
            <w:r>
              <w:rPr>
                <w:rFonts w:hint="default" w:ascii="Times New Roman" w:hAnsi="Times New Roman" w:eastAsia="宋体" w:cs="Times New Roman"/>
                <w:bCs/>
                <w:color w:val="auto"/>
                <w:sz w:val="24"/>
                <w:szCs w:val="24"/>
              </w:rPr>
              <w:t>，能够满足《合成树脂工业污染物排放标准》（GB31572-2015）</w:t>
            </w:r>
            <w:r>
              <w:rPr>
                <w:rFonts w:hint="default" w:ascii="Times New Roman" w:hAnsi="Times New Roman" w:eastAsia="宋体" w:cs="Times New Roman"/>
                <w:color w:val="auto"/>
                <w:sz w:val="24"/>
                <w:szCs w:val="24"/>
                <w:highlight w:val="none"/>
              </w:rPr>
              <w:t>（含2024年修改单）</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bCs/>
                <w:color w:val="auto"/>
                <w:sz w:val="24"/>
                <w:szCs w:val="24"/>
              </w:rPr>
              <w:t>企业边界大气污染物浓度值限值非甲烷总烃4.0mg/m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的</w:t>
            </w:r>
            <w:r>
              <w:rPr>
                <w:rFonts w:hint="default" w:ascii="Times New Roman" w:hAnsi="Times New Roman" w:eastAsia="宋体" w:cs="Times New Roman"/>
                <w:bCs/>
                <w:color w:val="auto"/>
                <w:sz w:val="24"/>
                <w:szCs w:val="24"/>
                <w:lang w:eastAsia="zh-CN"/>
              </w:rPr>
              <w:t>限值</w:t>
            </w:r>
            <w:r>
              <w:rPr>
                <w:rFonts w:hint="default" w:ascii="Times New Roman" w:hAnsi="Times New Roman" w:eastAsia="宋体" w:cs="Times New Roman"/>
                <w:bCs/>
                <w:color w:val="auto"/>
                <w:sz w:val="24"/>
                <w:szCs w:val="24"/>
              </w:rPr>
              <w:t>要求，同时能够满足《关于全省开展工业企业挥发性有机物专项治理工作中排放建议值的通知》（豫环攻坚办[2017]162号）中非甲烷总烃厂界外浓度限值排放2.0mg/m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的限</w:t>
            </w:r>
            <w:r>
              <w:rPr>
                <w:rFonts w:hint="default" w:ascii="Times New Roman" w:hAnsi="Times New Roman" w:eastAsia="宋体" w:cs="Times New Roman"/>
                <w:bCs/>
                <w:color w:val="auto"/>
                <w:sz w:val="24"/>
                <w:szCs w:val="24"/>
                <w:lang w:val="en-US" w:eastAsia="zh-CN"/>
              </w:rPr>
              <w:t>值</w:t>
            </w:r>
            <w:r>
              <w:rPr>
                <w:rFonts w:hint="default" w:ascii="Times New Roman" w:hAnsi="Times New Roman" w:eastAsia="宋体" w:cs="Times New Roman"/>
                <w:bCs/>
                <w:color w:val="auto"/>
                <w:sz w:val="24"/>
                <w:szCs w:val="24"/>
              </w:rPr>
              <w:t>要求。</w:t>
            </w:r>
            <w:r>
              <w:rPr>
                <w:rFonts w:hint="default" w:ascii="Times New Roman" w:hAnsi="Times New Roman" w:eastAsia="宋体" w:cs="Times New Roman"/>
                <w:bCs/>
                <w:color w:val="auto"/>
                <w:sz w:val="24"/>
                <w:szCs w:val="24"/>
                <w:lang w:val="en-US" w:eastAsia="zh-CN"/>
              </w:rPr>
              <w:t>还</w:t>
            </w:r>
            <w:r>
              <w:rPr>
                <w:rFonts w:hint="default" w:ascii="Times New Roman" w:hAnsi="Times New Roman" w:eastAsia="宋体" w:cs="Times New Roman"/>
                <w:b w:val="0"/>
                <w:bCs w:val="0"/>
                <w:color w:val="auto"/>
                <w:sz w:val="24"/>
                <w:szCs w:val="24"/>
                <w:highlight w:val="none"/>
                <w:u w:val="none"/>
                <w:lang w:val="en-US" w:eastAsia="zh-CN"/>
              </w:rPr>
              <w:t>满足《挥发性有机物无组织排放控制标准》（GB 37822-2019）中非甲烷总烃厂区内监控点处1h平均浓度值6mg/m</w:t>
            </w:r>
            <w:r>
              <w:rPr>
                <w:rFonts w:hint="default" w:ascii="Times New Roman" w:hAnsi="Times New Roman" w:eastAsia="宋体" w:cs="Times New Roman"/>
                <w:b w:val="0"/>
                <w:bCs w:val="0"/>
                <w:color w:val="auto"/>
                <w:sz w:val="24"/>
                <w:szCs w:val="24"/>
                <w:highlight w:val="none"/>
                <w:u w:val="none"/>
                <w:vertAlign w:val="superscript"/>
                <w:lang w:val="en-US" w:eastAsia="zh-CN"/>
              </w:rPr>
              <w:t>3</w:t>
            </w:r>
            <w:r>
              <w:rPr>
                <w:rFonts w:hint="default" w:ascii="Times New Roman" w:hAnsi="Times New Roman" w:eastAsia="宋体" w:cs="Times New Roman"/>
                <w:b w:val="0"/>
                <w:bCs w:val="0"/>
                <w:color w:val="auto"/>
                <w:sz w:val="24"/>
                <w:szCs w:val="24"/>
                <w:highlight w:val="none"/>
                <w:u w:val="none"/>
                <w:lang w:val="en-US" w:eastAsia="zh-CN"/>
              </w:rPr>
              <w:t>、监控点处任意一次平均浓度值20mg/m</w:t>
            </w:r>
            <w:r>
              <w:rPr>
                <w:rFonts w:hint="default" w:ascii="Times New Roman" w:hAnsi="Times New Roman" w:eastAsia="宋体" w:cs="Times New Roman"/>
                <w:b w:val="0"/>
                <w:bCs w:val="0"/>
                <w:color w:val="auto"/>
                <w:sz w:val="24"/>
                <w:szCs w:val="24"/>
                <w:highlight w:val="none"/>
                <w:u w:val="none"/>
                <w:vertAlign w:val="superscript"/>
                <w:lang w:val="en-US" w:eastAsia="zh-CN"/>
              </w:rPr>
              <w:t>3</w:t>
            </w:r>
            <w:r>
              <w:rPr>
                <w:rFonts w:hint="eastAsia" w:ascii="Times New Roman" w:hAnsi="Times New Roman" w:eastAsia="宋体" w:cs="Times New Roman"/>
                <w:b w:val="0"/>
                <w:bCs w:val="0"/>
                <w:color w:val="auto"/>
                <w:sz w:val="24"/>
                <w:szCs w:val="24"/>
                <w:highlight w:val="none"/>
                <w:u w:val="none"/>
                <w:lang w:val="en-US" w:eastAsia="zh-CN"/>
              </w:rPr>
              <w:t>的限值要求。</w:t>
            </w:r>
          </w:p>
          <w:p w14:paraId="78E6F58F">
            <w:pPr>
              <w:spacing w:after="0" w:line="460" w:lineRule="exact"/>
              <w:ind w:firstLine="480" w:firstLineChars="200"/>
              <w:jc w:val="both"/>
              <w:textAlignment w:val="baseline"/>
              <w:rPr>
                <w:rFonts w:hint="default" w:eastAsia="宋体"/>
                <w:color w:val="auto"/>
                <w:sz w:val="24"/>
                <w:szCs w:val="24"/>
                <w:lang w:val="en-US" w:eastAsia="zh-CN"/>
              </w:rPr>
            </w:pPr>
            <w:r>
              <w:rPr>
                <w:rFonts w:hint="eastAsia" w:eastAsia="宋体"/>
                <w:color w:val="auto"/>
                <w:sz w:val="24"/>
                <w:szCs w:val="24"/>
                <w:lang w:val="en-US" w:eastAsia="zh-CN"/>
              </w:rPr>
              <w:t>（5）噪声：</w:t>
            </w:r>
            <w:r>
              <w:rPr>
                <w:rFonts w:hint="default" w:ascii="Times New Roman" w:hAnsi="Times New Roman" w:eastAsia="宋体" w:cs="Times New Roman"/>
                <w:color w:val="auto"/>
                <w:kern w:val="2"/>
                <w:sz w:val="24"/>
                <w:szCs w:val="24"/>
              </w:rPr>
              <w:t>本项目噪声主要</w:t>
            </w:r>
            <w:r>
              <w:rPr>
                <w:rFonts w:hint="default" w:ascii="Times New Roman" w:hAnsi="Times New Roman" w:eastAsia="宋体" w:cs="Times New Roman"/>
                <w:color w:val="auto"/>
                <w:kern w:val="2"/>
                <w:sz w:val="24"/>
                <w:szCs w:val="24"/>
                <w:lang w:val="en-US" w:eastAsia="zh-CN"/>
              </w:rPr>
              <w:t>为</w:t>
            </w:r>
            <w:r>
              <w:rPr>
                <w:rFonts w:hint="default" w:ascii="Times New Roman" w:hAnsi="Times New Roman" w:eastAsia="宋体" w:cs="Times New Roman"/>
                <w:color w:val="auto"/>
                <w:sz w:val="24"/>
                <w:szCs w:val="24"/>
              </w:rPr>
              <w:t>吹瓶机、环保风机、</w:t>
            </w:r>
            <w:r>
              <w:rPr>
                <w:rFonts w:hint="default" w:ascii="Times New Roman" w:hAnsi="Times New Roman" w:eastAsia="宋体" w:cs="Times New Roman"/>
                <w:color w:val="auto"/>
                <w:sz w:val="24"/>
                <w:szCs w:val="24"/>
                <w:lang w:val="en-US" w:eastAsia="zh-CN"/>
              </w:rPr>
              <w:t>冷水机</w:t>
            </w:r>
            <w:r>
              <w:rPr>
                <w:rFonts w:hint="default" w:ascii="Times New Roman" w:hAnsi="Times New Roman" w:eastAsia="宋体" w:cs="Times New Roman"/>
                <w:color w:val="auto"/>
                <w:kern w:val="2"/>
                <w:sz w:val="24"/>
                <w:szCs w:val="24"/>
              </w:rPr>
              <w:t>等</w:t>
            </w:r>
            <w:r>
              <w:rPr>
                <w:rFonts w:hint="eastAsia" w:ascii="Times New Roman" w:hAnsi="Times New Roman" w:eastAsia="宋体" w:cs="Times New Roman"/>
                <w:color w:val="auto"/>
                <w:kern w:val="2"/>
                <w:sz w:val="24"/>
                <w:szCs w:val="24"/>
                <w:lang w:val="en-US" w:eastAsia="zh-CN"/>
              </w:rPr>
              <w:t>设备运行产生的噪声，</w:t>
            </w:r>
            <w:r>
              <w:rPr>
                <w:rFonts w:eastAsia="宋体"/>
                <w:bCs/>
                <w:color w:val="auto"/>
                <w:kern w:val="2"/>
                <w:sz w:val="24"/>
                <w:szCs w:val="24"/>
              </w:rPr>
              <w:t>由监测结果可知，验收监测期间，本项目厂界噪声监测结果为：昼间5</w:t>
            </w:r>
            <w:r>
              <w:rPr>
                <w:rFonts w:hint="eastAsia" w:eastAsia="宋体"/>
                <w:bCs/>
                <w:color w:val="auto"/>
                <w:kern w:val="2"/>
                <w:sz w:val="24"/>
                <w:szCs w:val="24"/>
                <w:lang w:val="en-US" w:eastAsia="zh-CN"/>
              </w:rPr>
              <w:t>2</w:t>
            </w:r>
            <w:r>
              <w:rPr>
                <w:rFonts w:eastAsia="宋体"/>
                <w:bCs/>
                <w:color w:val="auto"/>
                <w:kern w:val="2"/>
                <w:sz w:val="24"/>
                <w:szCs w:val="24"/>
              </w:rPr>
              <w:t>~5</w:t>
            </w:r>
            <w:r>
              <w:rPr>
                <w:rFonts w:hint="eastAsia" w:eastAsia="宋体"/>
                <w:bCs/>
                <w:color w:val="auto"/>
                <w:kern w:val="2"/>
                <w:sz w:val="24"/>
                <w:szCs w:val="24"/>
                <w:lang w:val="en-US" w:eastAsia="zh-CN"/>
              </w:rPr>
              <w:t>3</w:t>
            </w:r>
            <w:r>
              <w:rPr>
                <w:rFonts w:eastAsia="宋体"/>
                <w:bCs/>
                <w:color w:val="auto"/>
                <w:kern w:val="2"/>
                <w:sz w:val="24"/>
                <w:szCs w:val="24"/>
              </w:rPr>
              <w:t>dB（A）</w:t>
            </w:r>
            <w:r>
              <w:rPr>
                <w:rFonts w:hint="eastAsia" w:eastAsia="宋体"/>
                <w:bCs/>
                <w:color w:val="auto"/>
                <w:kern w:val="2"/>
                <w:sz w:val="24"/>
                <w:szCs w:val="24"/>
                <w:lang w:eastAsia="zh-CN"/>
              </w:rPr>
              <w:t>、</w:t>
            </w:r>
            <w:r>
              <w:rPr>
                <w:rFonts w:hint="eastAsia" w:eastAsia="宋体"/>
                <w:bCs/>
                <w:color w:val="auto"/>
                <w:kern w:val="2"/>
                <w:sz w:val="24"/>
                <w:szCs w:val="24"/>
                <w:lang w:val="en-US" w:eastAsia="zh-CN"/>
              </w:rPr>
              <w:t>夜</w:t>
            </w:r>
            <w:r>
              <w:rPr>
                <w:rFonts w:eastAsia="宋体"/>
                <w:bCs/>
                <w:color w:val="auto"/>
                <w:kern w:val="2"/>
                <w:sz w:val="24"/>
                <w:szCs w:val="24"/>
              </w:rPr>
              <w:t>间</w:t>
            </w:r>
            <w:r>
              <w:rPr>
                <w:rFonts w:hint="eastAsia" w:eastAsia="宋体"/>
                <w:bCs/>
                <w:color w:val="auto"/>
                <w:kern w:val="2"/>
                <w:sz w:val="24"/>
                <w:szCs w:val="24"/>
                <w:lang w:val="en-US" w:eastAsia="zh-CN"/>
              </w:rPr>
              <w:t>41</w:t>
            </w:r>
            <w:r>
              <w:rPr>
                <w:rFonts w:eastAsia="宋体"/>
                <w:bCs/>
                <w:color w:val="auto"/>
                <w:kern w:val="2"/>
                <w:sz w:val="24"/>
                <w:szCs w:val="24"/>
              </w:rPr>
              <w:t>~</w:t>
            </w:r>
            <w:r>
              <w:rPr>
                <w:rFonts w:hint="eastAsia" w:eastAsia="宋体"/>
                <w:bCs/>
                <w:color w:val="auto"/>
                <w:kern w:val="2"/>
                <w:sz w:val="24"/>
                <w:szCs w:val="24"/>
                <w:lang w:val="en-US" w:eastAsia="zh-CN"/>
              </w:rPr>
              <w:t>43</w:t>
            </w:r>
            <w:r>
              <w:rPr>
                <w:rFonts w:eastAsia="宋体"/>
                <w:bCs/>
                <w:color w:val="auto"/>
                <w:kern w:val="2"/>
                <w:sz w:val="24"/>
                <w:szCs w:val="24"/>
              </w:rPr>
              <w:t>dB（A），符合《工业企业厂界环境噪声排放标准》（GB12348-2008）</w:t>
            </w:r>
            <w:r>
              <w:rPr>
                <w:rFonts w:hint="eastAsia" w:eastAsia="宋体"/>
                <w:bCs/>
                <w:color w:val="auto"/>
                <w:kern w:val="2"/>
                <w:sz w:val="24"/>
                <w:szCs w:val="24"/>
              </w:rPr>
              <w:t>2</w:t>
            </w:r>
            <w:r>
              <w:rPr>
                <w:rFonts w:eastAsia="宋体"/>
                <w:bCs/>
                <w:color w:val="auto"/>
                <w:kern w:val="2"/>
                <w:sz w:val="24"/>
                <w:szCs w:val="24"/>
              </w:rPr>
              <w:t>类标准：昼间6</w:t>
            </w:r>
            <w:r>
              <w:rPr>
                <w:rFonts w:hint="eastAsia" w:eastAsia="宋体"/>
                <w:bCs/>
                <w:color w:val="auto"/>
                <w:kern w:val="2"/>
                <w:sz w:val="24"/>
                <w:szCs w:val="24"/>
              </w:rPr>
              <w:t>0</w:t>
            </w:r>
            <w:r>
              <w:rPr>
                <w:rFonts w:eastAsia="宋体"/>
                <w:bCs/>
                <w:color w:val="auto"/>
                <w:kern w:val="2"/>
                <w:sz w:val="24"/>
                <w:szCs w:val="24"/>
              </w:rPr>
              <w:t>dB（A）</w:t>
            </w:r>
            <w:r>
              <w:rPr>
                <w:rFonts w:hint="eastAsia" w:eastAsia="宋体"/>
                <w:bCs/>
                <w:color w:val="auto"/>
                <w:kern w:val="2"/>
                <w:sz w:val="24"/>
                <w:szCs w:val="24"/>
                <w:lang w:eastAsia="zh-CN"/>
              </w:rPr>
              <w:t>、</w:t>
            </w:r>
            <w:r>
              <w:rPr>
                <w:rFonts w:hint="eastAsia" w:eastAsia="宋体"/>
                <w:bCs/>
                <w:color w:val="auto"/>
                <w:kern w:val="2"/>
                <w:sz w:val="24"/>
                <w:szCs w:val="24"/>
                <w:lang w:val="en-US" w:eastAsia="zh-CN"/>
              </w:rPr>
              <w:t>夜间5</w:t>
            </w:r>
            <w:r>
              <w:rPr>
                <w:rFonts w:hint="eastAsia" w:eastAsia="宋体"/>
                <w:bCs/>
                <w:color w:val="auto"/>
                <w:kern w:val="2"/>
                <w:sz w:val="24"/>
                <w:szCs w:val="24"/>
              </w:rPr>
              <w:t>0</w:t>
            </w:r>
            <w:r>
              <w:rPr>
                <w:rFonts w:eastAsia="宋体"/>
                <w:bCs/>
                <w:color w:val="auto"/>
                <w:kern w:val="2"/>
                <w:sz w:val="24"/>
                <w:szCs w:val="24"/>
              </w:rPr>
              <w:t>dB（A）的限值要求。</w:t>
            </w:r>
          </w:p>
          <w:p w14:paraId="48DD41F7">
            <w:pPr>
              <w:spacing w:after="0" w:line="460" w:lineRule="exact"/>
              <w:ind w:firstLine="480" w:firstLineChars="200"/>
              <w:jc w:val="both"/>
              <w:rPr>
                <w:rFonts w:hint="eastAsia" w:ascii="Times New Roman" w:hAnsi="Times New Roman" w:eastAsia="宋体" w:cs="Times New Roman"/>
                <w:color w:val="auto"/>
                <w:kern w:val="2"/>
                <w:sz w:val="24"/>
                <w:szCs w:val="24"/>
                <w:lang w:val="en-US" w:eastAsia="zh-CN"/>
              </w:rPr>
            </w:pPr>
            <w:r>
              <w:rPr>
                <w:rFonts w:hint="eastAsia" w:eastAsia="宋体"/>
                <w:bCs/>
                <w:color w:val="auto"/>
                <w:kern w:val="2"/>
                <w:sz w:val="24"/>
                <w:szCs w:val="24"/>
                <w:lang w:eastAsia="zh-CN"/>
              </w:rPr>
              <w:t>（</w:t>
            </w:r>
            <w:r>
              <w:rPr>
                <w:rFonts w:hint="eastAsia" w:eastAsia="宋体"/>
                <w:bCs/>
                <w:color w:val="auto"/>
                <w:kern w:val="2"/>
                <w:sz w:val="24"/>
                <w:szCs w:val="24"/>
                <w:lang w:val="en-US" w:eastAsia="zh-CN"/>
              </w:rPr>
              <w:t>6）固废：</w:t>
            </w:r>
            <w:r>
              <w:rPr>
                <w:rFonts w:hint="eastAsia" w:ascii="Times New Roman" w:hAnsi="Times New Roman" w:eastAsia="宋体" w:cs="Times New Roman"/>
                <w:color w:val="auto"/>
                <w:kern w:val="2"/>
                <w:sz w:val="24"/>
                <w:szCs w:val="24"/>
              </w:rPr>
              <w:t>本项目营运期固废包括一般固废和危险废物</w:t>
            </w:r>
            <w:r>
              <w:rPr>
                <w:rFonts w:hint="eastAsia" w:ascii="Times New Roman" w:hAnsi="Times New Roman" w:eastAsia="宋体" w:cs="Times New Roman"/>
                <w:color w:val="auto"/>
                <w:kern w:val="2"/>
                <w:sz w:val="24"/>
                <w:szCs w:val="24"/>
                <w:lang w:eastAsia="zh-CN"/>
              </w:rPr>
              <w:t>，</w:t>
            </w:r>
            <w:r>
              <w:rPr>
                <w:rFonts w:hint="eastAsia" w:ascii="Times New Roman" w:hAnsi="Times New Roman" w:eastAsia="宋体" w:cs="Times New Roman"/>
                <w:color w:val="auto"/>
                <w:kern w:val="2"/>
                <w:sz w:val="24"/>
                <w:szCs w:val="24"/>
              </w:rPr>
              <w:t>其中一般固废主要为原料包装产生的</w:t>
            </w:r>
            <w:r>
              <w:rPr>
                <w:rFonts w:hint="eastAsia" w:ascii="Times New Roman" w:hAnsi="Times New Roman" w:eastAsia="宋体" w:cs="Times New Roman"/>
                <w:color w:val="auto"/>
                <w:kern w:val="2"/>
                <w:sz w:val="24"/>
                <w:szCs w:val="24"/>
                <w:lang w:eastAsia="zh-CN"/>
              </w:rPr>
              <w:t>废纸箱</w:t>
            </w:r>
            <w:r>
              <w:rPr>
                <w:rFonts w:hint="eastAsia" w:ascii="Times New Roman" w:hAnsi="Times New Roman" w:eastAsia="宋体" w:cs="Times New Roman"/>
                <w:color w:val="auto"/>
                <w:kern w:val="2"/>
                <w:sz w:val="24"/>
                <w:szCs w:val="24"/>
              </w:rPr>
              <w:t>，</w:t>
            </w:r>
            <w:r>
              <w:rPr>
                <w:rFonts w:hint="eastAsia" w:ascii="Times New Roman" w:hAnsi="Times New Roman" w:eastAsia="宋体" w:cs="Times New Roman"/>
                <w:color w:val="auto"/>
                <w:kern w:val="2"/>
                <w:sz w:val="24"/>
                <w:szCs w:val="24"/>
                <w:lang w:val="en-US" w:eastAsia="zh-CN"/>
              </w:rPr>
              <w:t>吹瓶工序产生的不合格塑料瓶</w:t>
            </w:r>
            <w:r>
              <w:rPr>
                <w:rFonts w:hint="eastAsia" w:ascii="Times New Roman" w:hAnsi="Times New Roman" w:eastAsia="宋体" w:cs="Times New Roman"/>
                <w:color w:val="auto"/>
                <w:kern w:val="2"/>
                <w:sz w:val="24"/>
                <w:szCs w:val="24"/>
              </w:rPr>
              <w:t>，</w:t>
            </w:r>
            <w:r>
              <w:rPr>
                <w:rFonts w:hint="eastAsia" w:ascii="Times New Roman" w:hAnsi="Times New Roman" w:eastAsia="宋体" w:cs="Times New Roman"/>
                <w:color w:val="auto"/>
                <w:kern w:val="2"/>
                <w:sz w:val="24"/>
                <w:szCs w:val="24"/>
                <w:lang w:val="en-US" w:eastAsia="zh-CN"/>
              </w:rPr>
              <w:t>一般固废</w:t>
            </w:r>
            <w:r>
              <w:rPr>
                <w:rFonts w:hint="default" w:ascii="Times New Roman" w:hAnsi="Times New Roman" w:eastAsia="宋体" w:cs="Times New Roman"/>
                <w:color w:val="auto"/>
                <w:sz w:val="24"/>
                <w:szCs w:val="24"/>
              </w:rPr>
              <w:t>收集于一般固废暂存间暂存后，定期外售</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kern w:val="2"/>
                <w:sz w:val="24"/>
                <w:szCs w:val="24"/>
              </w:rPr>
              <w:t>危险废物为废气治理产生的废活性炭、废催化剂</w:t>
            </w:r>
            <w:r>
              <w:rPr>
                <w:rFonts w:hint="eastAsia" w:ascii="Times New Roman" w:hAnsi="Times New Roman" w:eastAsia="宋体" w:cs="Times New Roman"/>
                <w:color w:val="auto"/>
                <w:kern w:val="2"/>
                <w:sz w:val="24"/>
                <w:szCs w:val="24"/>
                <w:lang w:eastAsia="zh-CN"/>
              </w:rPr>
              <w:t>，</w:t>
            </w:r>
            <w:r>
              <w:rPr>
                <w:rFonts w:hint="eastAsia" w:ascii="Times New Roman" w:hAnsi="Times New Roman" w:eastAsia="宋体" w:cs="Times New Roman"/>
                <w:color w:val="auto"/>
                <w:kern w:val="2"/>
                <w:sz w:val="24"/>
                <w:szCs w:val="24"/>
                <w:lang w:val="en-US" w:eastAsia="zh-CN"/>
              </w:rPr>
              <w:t>危险废物于</w:t>
            </w:r>
            <w:r>
              <w:rPr>
                <w:rFonts w:hint="default" w:ascii="Times New Roman" w:hAnsi="Times New Roman" w:eastAsia="宋体" w:cs="Times New Roman"/>
                <w:color w:val="auto"/>
                <w:sz w:val="24"/>
                <w:szCs w:val="24"/>
              </w:rPr>
              <w:t>危废</w:t>
            </w:r>
            <w:r>
              <w:rPr>
                <w:rFonts w:hint="default" w:ascii="Times New Roman" w:hAnsi="Times New Roman" w:eastAsia="宋体" w:cs="Times New Roman"/>
                <w:color w:val="auto"/>
                <w:sz w:val="24"/>
                <w:szCs w:val="24"/>
                <w:lang w:val="en-US" w:eastAsia="zh-CN"/>
              </w:rPr>
              <w:t>贮存库</w:t>
            </w:r>
            <w:r>
              <w:rPr>
                <w:rFonts w:hint="default" w:ascii="Times New Roman" w:hAnsi="Times New Roman" w:eastAsia="宋体" w:cs="Times New Roman"/>
                <w:color w:val="auto"/>
                <w:sz w:val="24"/>
                <w:szCs w:val="24"/>
              </w:rPr>
              <w:t>内暂存，定期委托有相应类别危废资质单位安全处置</w:t>
            </w:r>
            <w:r>
              <w:rPr>
                <w:rFonts w:hint="eastAsia" w:ascii="Times New Roman" w:hAnsi="Times New Roman" w:eastAsia="宋体" w:cs="Times New Roman"/>
                <w:color w:val="auto"/>
                <w:sz w:val="24"/>
                <w:szCs w:val="24"/>
                <w:lang w:eastAsia="zh-CN"/>
              </w:rPr>
              <w:t>。</w:t>
            </w:r>
          </w:p>
          <w:p w14:paraId="52CB9266">
            <w:pPr>
              <w:spacing w:after="0" w:line="460" w:lineRule="exact"/>
              <w:ind w:firstLine="480" w:firstLineChars="200"/>
              <w:rPr>
                <w:rFonts w:ascii="宋体" w:hAnsi="Times New Roman" w:eastAsia="宋体"/>
                <w:bCs/>
                <w:color w:val="auto"/>
                <w:sz w:val="24"/>
                <w:szCs w:val="24"/>
              </w:rPr>
            </w:pPr>
            <w:r>
              <w:rPr>
                <w:rFonts w:hint="eastAsia" w:ascii="Times New Roman" w:hAnsi="Times New Roman" w:eastAsia="宋体"/>
                <w:color w:val="auto"/>
                <w:sz w:val="24"/>
                <w:szCs w:val="24"/>
              </w:rPr>
              <w:t>一般固废暂存间建设满足《一般工业固体废物贮存和填埋污染控制标准》（GB18599-2020）中防渗漏、防雨淋、防扬尘等环境保护要求，危废贮存库建设满足《危险废物贮存污染控制标准》（GB18597-2023）标准。</w:t>
            </w:r>
          </w:p>
          <w:p w14:paraId="42E7D56B">
            <w:pPr>
              <w:spacing w:after="0" w:line="460" w:lineRule="exact"/>
              <w:ind w:firstLine="480" w:firstLineChars="200"/>
              <w:jc w:val="both"/>
              <w:textAlignment w:val="baseline"/>
              <w:rPr>
                <w:bCs/>
                <w:color w:val="auto"/>
                <w:sz w:val="24"/>
                <w:szCs w:val="24"/>
                <w:highlight w:val="yellow"/>
              </w:rPr>
            </w:pPr>
            <w:bookmarkStart w:id="23" w:name="_Toc501703567"/>
            <w:bookmarkStart w:id="24" w:name="_Toc504492864"/>
            <w:r>
              <w:rPr>
                <w:rFonts w:eastAsia="宋体"/>
                <w:bCs/>
                <w:color w:val="auto"/>
                <w:sz w:val="24"/>
                <w:szCs w:val="24"/>
              </w:rPr>
              <w:t>（</w:t>
            </w:r>
            <w:r>
              <w:rPr>
                <w:rFonts w:hint="eastAsia" w:eastAsia="宋体"/>
                <w:bCs/>
                <w:color w:val="auto"/>
                <w:sz w:val="24"/>
                <w:szCs w:val="24"/>
                <w:lang w:val="en-US" w:eastAsia="zh-CN"/>
              </w:rPr>
              <w:t>7</w:t>
            </w:r>
            <w:r>
              <w:rPr>
                <w:rFonts w:eastAsia="宋体"/>
                <w:bCs/>
                <w:color w:val="auto"/>
                <w:sz w:val="24"/>
                <w:szCs w:val="24"/>
                <w:highlight w:val="none"/>
              </w:rPr>
              <w:t>）</w:t>
            </w:r>
            <w:r>
              <w:rPr>
                <w:rFonts w:hint="eastAsia" w:ascii="Times New Roman" w:hAnsi="Times New Roman" w:eastAsia="宋体"/>
                <w:bCs/>
                <w:color w:val="auto"/>
                <w:sz w:val="24"/>
                <w:szCs w:val="24"/>
              </w:rPr>
              <w:t>本项目按照最不利条件折算为满负荷情况下，</w:t>
            </w:r>
            <w:r>
              <w:rPr>
                <w:rFonts w:hint="eastAsia" w:ascii="Times New Roman" w:hAnsi="Times New Roman" w:eastAsia="宋体"/>
                <w:bCs/>
                <w:color w:val="auto"/>
                <w:sz w:val="24"/>
                <w:szCs w:val="24"/>
                <w:lang w:val="en-US" w:eastAsia="zh-CN"/>
              </w:rPr>
              <w:t>本次一期工程</w:t>
            </w:r>
            <w:r>
              <w:rPr>
                <w:rFonts w:hint="eastAsia" w:ascii="Times New Roman" w:hAnsi="Times New Roman" w:eastAsia="宋体"/>
                <w:bCs/>
                <w:color w:val="auto"/>
                <w:sz w:val="24"/>
                <w:szCs w:val="24"/>
              </w:rPr>
              <w:t>全厂大气污染物实际</w:t>
            </w:r>
            <w:r>
              <w:rPr>
                <w:rFonts w:hint="eastAsia" w:ascii="Times New Roman" w:hAnsi="Times New Roman" w:eastAsia="宋体" w:cs="宋体"/>
                <w:bCs/>
                <w:color w:val="auto"/>
                <w:sz w:val="24"/>
                <w:szCs w:val="21"/>
              </w:rPr>
              <w:t>排放量</w:t>
            </w:r>
            <w:r>
              <w:rPr>
                <w:rFonts w:hint="eastAsia" w:ascii="Times New Roman" w:hAnsi="Times New Roman" w:eastAsia="宋体"/>
                <w:bCs/>
                <w:color w:val="auto"/>
                <w:sz w:val="24"/>
                <w:szCs w:val="24"/>
                <w:lang w:val="en-US" w:eastAsia="zh-CN"/>
              </w:rPr>
              <w:t>非甲烷总烃0.</w:t>
            </w:r>
            <w:r>
              <w:rPr>
                <w:rFonts w:hint="eastAsia" w:eastAsia="宋体"/>
                <w:bCs/>
                <w:color w:val="auto"/>
                <w:sz w:val="24"/>
                <w:szCs w:val="24"/>
                <w:lang w:val="en-US" w:eastAsia="zh-CN"/>
              </w:rPr>
              <w:t>0368</w:t>
            </w:r>
            <w:r>
              <w:rPr>
                <w:rFonts w:hint="eastAsia" w:ascii="Times New Roman" w:hAnsi="Times New Roman" w:eastAsia="宋体"/>
                <w:bCs/>
                <w:color w:val="auto"/>
                <w:sz w:val="24"/>
                <w:szCs w:val="24"/>
              </w:rPr>
              <w:t>t/a，</w:t>
            </w:r>
            <w:r>
              <w:rPr>
                <w:rFonts w:ascii="Times New Roman" w:hAnsi="Times New Roman" w:eastAsia="宋体"/>
                <w:bCs/>
                <w:color w:val="auto"/>
                <w:sz w:val="24"/>
                <w:szCs w:val="24"/>
              </w:rPr>
              <w:t>满足环评批复</w:t>
            </w:r>
            <w:r>
              <w:rPr>
                <w:rFonts w:hint="eastAsia" w:ascii="Times New Roman" w:hAnsi="Times New Roman" w:eastAsia="宋体"/>
                <w:bCs/>
                <w:color w:val="auto"/>
                <w:sz w:val="24"/>
                <w:szCs w:val="24"/>
              </w:rPr>
              <w:t>中</w:t>
            </w:r>
            <w:r>
              <w:rPr>
                <w:rFonts w:hint="eastAsia" w:eastAsia="宋体"/>
                <w:bCs/>
                <w:color w:val="auto"/>
                <w:sz w:val="24"/>
                <w:szCs w:val="24"/>
                <w:lang w:val="en-US" w:eastAsia="zh-CN"/>
              </w:rPr>
              <w:t>吹瓶工序</w:t>
            </w:r>
            <w:r>
              <w:rPr>
                <w:rFonts w:hint="eastAsia" w:ascii="Times New Roman" w:hAnsi="Times New Roman" w:eastAsia="宋体"/>
                <w:bCs/>
                <w:color w:val="auto"/>
                <w:sz w:val="24"/>
                <w:szCs w:val="24"/>
                <w:lang w:val="en-US" w:eastAsia="zh-CN"/>
              </w:rPr>
              <w:t>非甲烷总烃0.</w:t>
            </w:r>
            <w:r>
              <w:rPr>
                <w:rFonts w:hint="eastAsia" w:eastAsia="宋体"/>
                <w:bCs/>
                <w:color w:val="auto"/>
                <w:sz w:val="24"/>
                <w:szCs w:val="24"/>
                <w:lang w:val="en-US" w:eastAsia="zh-CN"/>
              </w:rPr>
              <w:t>0434</w:t>
            </w:r>
            <w:r>
              <w:rPr>
                <w:rFonts w:hint="eastAsia" w:ascii="Times New Roman" w:hAnsi="Times New Roman" w:eastAsia="宋体"/>
                <w:bCs/>
                <w:color w:val="auto"/>
                <w:sz w:val="24"/>
                <w:szCs w:val="24"/>
              </w:rPr>
              <w:t>t/a的控制指标。</w:t>
            </w:r>
            <w:r>
              <w:rPr>
                <w:rFonts w:eastAsia="宋体"/>
                <w:color w:val="auto"/>
                <w:kern w:val="2"/>
                <w:sz w:val="24"/>
                <w:szCs w:val="24"/>
                <w:highlight w:val="none"/>
              </w:rPr>
              <w:t>本项目</w:t>
            </w:r>
            <w:r>
              <w:rPr>
                <w:rFonts w:hint="eastAsia" w:eastAsia="宋体"/>
                <w:color w:val="auto"/>
                <w:kern w:val="2"/>
                <w:sz w:val="24"/>
                <w:szCs w:val="24"/>
                <w:highlight w:val="none"/>
                <w:lang w:val="en-US" w:eastAsia="zh-CN"/>
              </w:rPr>
              <w:t>一期工程废水</w:t>
            </w:r>
            <w:r>
              <w:rPr>
                <w:rFonts w:hint="eastAsia" w:eastAsia="宋体"/>
                <w:color w:val="auto"/>
                <w:kern w:val="2"/>
                <w:sz w:val="24"/>
                <w:szCs w:val="24"/>
                <w:highlight w:val="none"/>
              </w:rPr>
              <w:t>污染物</w:t>
            </w:r>
            <w:r>
              <w:rPr>
                <w:rFonts w:hint="eastAsia" w:eastAsia="宋体"/>
                <w:color w:val="auto"/>
                <w:kern w:val="2"/>
                <w:sz w:val="24"/>
                <w:szCs w:val="24"/>
                <w:highlight w:val="none"/>
                <w:lang w:val="en-US" w:eastAsia="zh-CN"/>
              </w:rPr>
              <w:t>实际</w:t>
            </w:r>
            <w:r>
              <w:rPr>
                <w:rFonts w:hint="eastAsia" w:eastAsia="宋体"/>
                <w:color w:val="auto"/>
                <w:kern w:val="2"/>
                <w:sz w:val="24"/>
                <w:szCs w:val="24"/>
                <w:highlight w:val="none"/>
              </w:rPr>
              <w:t>排放量为</w:t>
            </w:r>
            <w:r>
              <w:rPr>
                <w:rFonts w:hint="default" w:ascii="Times New Roman" w:hAnsi="Times New Roman" w:cs="Times New Roman"/>
                <w:color w:val="auto"/>
                <w:sz w:val="24"/>
                <w:szCs w:val="24"/>
                <w:highlight w:val="none"/>
              </w:rPr>
              <w:t>COD 0.005</w:t>
            </w:r>
            <w:r>
              <w:rPr>
                <w:rFonts w:hint="eastAsia" w:ascii="Times New Roman" w:hAnsi="Times New Roman" w:cs="Times New Roman"/>
                <w:color w:val="auto"/>
                <w:sz w:val="24"/>
                <w:szCs w:val="24"/>
                <w:highlight w:val="none"/>
                <w:lang w:val="en-US" w:eastAsia="zh-CN"/>
              </w:rPr>
              <w:t>400</w:t>
            </w:r>
            <w:r>
              <w:rPr>
                <w:rFonts w:hint="default" w:ascii="Times New Roman" w:hAnsi="Times New Roman" w:cs="Times New Roman"/>
                <w:color w:val="auto"/>
                <w:sz w:val="24"/>
                <w:szCs w:val="24"/>
                <w:highlight w:val="none"/>
              </w:rPr>
              <w:t>t/a、</w:t>
            </w:r>
            <w:r>
              <w:rPr>
                <w:rFonts w:hint="eastAsia" w:ascii="Times New Roman" w:hAnsi="Times New Roman" w:cs="Times New Roman"/>
                <w:color w:val="auto"/>
                <w:sz w:val="24"/>
                <w:szCs w:val="24"/>
                <w:highlight w:val="none"/>
                <w:lang w:val="en-US" w:eastAsia="zh-CN"/>
              </w:rPr>
              <w:t>BOD</w:t>
            </w:r>
            <w:r>
              <w:rPr>
                <w:rFonts w:hint="eastAsia" w:ascii="Times New Roman" w:hAnsi="Times New Roman" w:cs="Times New Roman"/>
                <w:color w:val="auto"/>
                <w:sz w:val="24"/>
                <w:szCs w:val="24"/>
                <w:highlight w:val="none"/>
                <w:vertAlign w:val="subscript"/>
                <w:lang w:val="en-US" w:eastAsia="zh-CN"/>
              </w:rPr>
              <w:t>5</w:t>
            </w:r>
            <w:r>
              <w:rPr>
                <w:rFonts w:hint="eastAsia" w:ascii="Times New Roman" w:hAnsi="Times New Roman" w:cs="Times New Roman"/>
                <w:color w:val="auto"/>
                <w:sz w:val="24"/>
                <w:szCs w:val="24"/>
                <w:highlight w:val="none"/>
                <w:lang w:val="en-US" w:eastAsia="zh-CN"/>
              </w:rPr>
              <w:t>0.002700</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vertAlign w:val="baseline"/>
                <w:lang w:val="en-US" w:eastAsia="zh-CN"/>
              </w:rPr>
              <w:t>、</w:t>
            </w:r>
            <w:r>
              <w:rPr>
                <w:rFonts w:hint="eastAsia" w:cs="Times New Roman"/>
                <w:color w:val="auto"/>
                <w:sz w:val="24"/>
                <w:szCs w:val="24"/>
                <w:highlight w:val="none"/>
                <w:lang w:val="en-US" w:eastAsia="zh-CN"/>
              </w:rPr>
              <w:t>SS</w:t>
            </w:r>
            <w:r>
              <w:rPr>
                <w:rFonts w:hint="default" w:ascii="Times New Roman" w:hAnsi="Times New Roman" w:cs="Times New Roman"/>
                <w:color w:val="auto"/>
                <w:sz w:val="24"/>
                <w:szCs w:val="24"/>
                <w:highlight w:val="none"/>
                <w:vertAlign w:val="baseline"/>
                <w:lang w:val="en-US" w:eastAsia="zh-CN"/>
              </w:rPr>
              <w:t xml:space="preserve"> 0.002</w:t>
            </w:r>
            <w:r>
              <w:rPr>
                <w:rFonts w:hint="eastAsia" w:ascii="Times New Roman" w:hAnsi="Times New Roman" w:cs="Times New Roman"/>
                <w:color w:val="auto"/>
                <w:sz w:val="24"/>
                <w:szCs w:val="24"/>
                <w:highlight w:val="none"/>
                <w:vertAlign w:val="baseline"/>
                <w:lang w:val="en-US" w:eastAsia="zh-CN"/>
              </w:rPr>
              <w:t>700</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rPr>
              <w:t>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 0.0002</w:t>
            </w:r>
            <w:r>
              <w:rPr>
                <w:rFonts w:hint="eastAsia" w:ascii="Times New Roman" w:hAnsi="Times New Roman" w:cs="Times New Roman"/>
                <w:color w:val="auto"/>
                <w:sz w:val="24"/>
                <w:szCs w:val="24"/>
                <w:highlight w:val="none"/>
                <w:lang w:val="en-US" w:eastAsia="zh-CN"/>
              </w:rPr>
              <w:t>70</w:t>
            </w:r>
            <w:r>
              <w:rPr>
                <w:rFonts w:hint="default" w:ascii="Times New Roman" w:hAnsi="Times New Roman" w:cs="Times New Roman"/>
                <w:color w:val="auto"/>
                <w:sz w:val="24"/>
                <w:szCs w:val="24"/>
                <w:highlight w:val="none"/>
              </w:rPr>
              <w:t>t/a、T</w:t>
            </w:r>
            <w:r>
              <w:rPr>
                <w:rFonts w:hint="default" w:ascii="Times New Roman" w:hAnsi="Times New Roman" w:cs="Times New Roman"/>
                <w:color w:val="auto"/>
                <w:sz w:val="24"/>
                <w:szCs w:val="24"/>
                <w:highlight w:val="none"/>
                <w:lang w:val="en-US" w:eastAsia="zh-CN"/>
              </w:rPr>
              <w:t>P</w:t>
            </w:r>
            <w:r>
              <w:rPr>
                <w:rFonts w:hint="default" w:ascii="Times New Roman" w:hAnsi="Times New Roman" w:cs="Times New Roman"/>
                <w:color w:val="auto"/>
                <w:sz w:val="24"/>
                <w:szCs w:val="24"/>
                <w:highlight w:val="none"/>
              </w:rPr>
              <w:t xml:space="preserve"> 0.0000</w:t>
            </w:r>
            <w:r>
              <w:rPr>
                <w:rFonts w:hint="eastAsia" w:ascii="Times New Roman" w:hAnsi="Times New Roman" w:cs="Times New Roman"/>
                <w:color w:val="auto"/>
                <w:sz w:val="24"/>
                <w:szCs w:val="24"/>
                <w:highlight w:val="none"/>
                <w:lang w:val="en-US" w:eastAsia="zh-CN"/>
              </w:rPr>
              <w:t>54</w:t>
            </w:r>
            <w:r>
              <w:rPr>
                <w:rFonts w:hint="default" w:ascii="Times New Roman" w:hAnsi="Times New Roman" w:cs="Times New Roman"/>
                <w:color w:val="auto"/>
                <w:sz w:val="24"/>
                <w:szCs w:val="24"/>
                <w:highlight w:val="none"/>
              </w:rPr>
              <w:t>t/a、T</w:t>
            </w:r>
            <w:r>
              <w:rPr>
                <w:rFonts w:hint="default" w:ascii="Times New Roman" w:hAnsi="Times New Roman" w:cs="Times New Roman"/>
                <w:color w:val="auto"/>
                <w:sz w:val="24"/>
                <w:szCs w:val="24"/>
                <w:highlight w:val="none"/>
                <w:lang w:val="en-US" w:eastAsia="zh-CN"/>
              </w:rPr>
              <w:t>N</w:t>
            </w:r>
            <w:r>
              <w:rPr>
                <w:rFonts w:hint="default" w:ascii="Times New Roman" w:hAnsi="Times New Roman" w:cs="Times New Roman"/>
                <w:color w:val="auto"/>
                <w:sz w:val="24"/>
                <w:szCs w:val="24"/>
                <w:highlight w:val="none"/>
              </w:rPr>
              <w:t xml:space="preserve"> 0.0002</w:t>
            </w:r>
            <w:r>
              <w:rPr>
                <w:rFonts w:hint="eastAsia" w:ascii="Times New Roman" w:hAnsi="Times New Roman" w:cs="Times New Roman"/>
                <w:color w:val="auto"/>
                <w:sz w:val="24"/>
                <w:szCs w:val="24"/>
                <w:highlight w:val="none"/>
                <w:lang w:val="en-US" w:eastAsia="zh-CN"/>
              </w:rPr>
              <w:t>70</w:t>
            </w:r>
            <w:r>
              <w:rPr>
                <w:rFonts w:hint="default" w:ascii="Times New Roman" w:hAnsi="Times New Roman" w:cs="Times New Roman"/>
                <w:color w:val="auto"/>
                <w:sz w:val="24"/>
                <w:szCs w:val="24"/>
                <w:highlight w:val="none"/>
              </w:rPr>
              <w:t>t/a</w:t>
            </w:r>
            <w:r>
              <w:rPr>
                <w:rFonts w:hint="eastAsia" w:ascii="Times New Roman" w:hAnsi="Times New Roman" w:cs="Times New Roman"/>
                <w:color w:val="auto"/>
                <w:sz w:val="24"/>
                <w:szCs w:val="24"/>
                <w:highlight w:val="none"/>
                <w:lang w:val="en-US" w:eastAsia="zh-CN"/>
              </w:rPr>
              <w:t>,</w:t>
            </w:r>
            <w:r>
              <w:rPr>
                <w:rFonts w:hint="eastAsia" w:eastAsia="宋体"/>
                <w:color w:val="auto"/>
                <w:kern w:val="2"/>
                <w:sz w:val="24"/>
                <w:szCs w:val="24"/>
                <w:highlight w:val="none"/>
                <w:lang w:val="en-US" w:eastAsia="zh-CN"/>
              </w:rPr>
              <w:t>满足一期工程</w:t>
            </w:r>
            <w:r>
              <w:rPr>
                <w:rFonts w:hint="eastAsia" w:eastAsia="宋体"/>
                <w:color w:val="auto"/>
                <w:kern w:val="2"/>
                <w:sz w:val="24"/>
                <w:szCs w:val="24"/>
                <w:highlight w:val="none"/>
              </w:rPr>
              <w:t>污染物环评批复允许排放量</w:t>
            </w:r>
            <w:r>
              <w:rPr>
                <w:rFonts w:hint="default" w:ascii="Times New Roman" w:hAnsi="Times New Roman" w:cs="Times New Roman"/>
                <w:color w:val="auto"/>
                <w:sz w:val="24"/>
                <w:szCs w:val="24"/>
                <w:highlight w:val="none"/>
              </w:rPr>
              <w:t>COD 0.005976t/a、</w:t>
            </w:r>
            <w:r>
              <w:rPr>
                <w:rFonts w:hint="eastAsia" w:ascii="Times New Roman" w:hAnsi="Times New Roman" w:cs="Times New Roman"/>
                <w:color w:val="auto"/>
                <w:sz w:val="24"/>
                <w:szCs w:val="24"/>
                <w:highlight w:val="none"/>
                <w:lang w:val="en-US" w:eastAsia="zh-CN"/>
              </w:rPr>
              <w:t>BOD</w:t>
            </w:r>
            <w:r>
              <w:rPr>
                <w:rFonts w:hint="eastAsia" w:ascii="Times New Roman" w:hAnsi="Times New Roman" w:cs="Times New Roman"/>
                <w:color w:val="auto"/>
                <w:sz w:val="24"/>
                <w:szCs w:val="24"/>
                <w:highlight w:val="none"/>
                <w:vertAlign w:val="subscript"/>
                <w:lang w:val="en-US" w:eastAsia="zh-CN"/>
              </w:rPr>
              <w:t>5</w:t>
            </w:r>
            <w:r>
              <w:rPr>
                <w:rFonts w:hint="eastAsia" w:ascii="Times New Roman" w:hAnsi="Times New Roman" w:cs="Times New Roman"/>
                <w:color w:val="auto"/>
                <w:sz w:val="24"/>
                <w:szCs w:val="24"/>
                <w:highlight w:val="none"/>
                <w:lang w:val="en-US" w:eastAsia="zh-CN"/>
              </w:rPr>
              <w:t>0.002988</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vertAlign w:val="baseline"/>
                <w:lang w:val="en-US" w:eastAsia="zh-CN"/>
              </w:rPr>
              <w:t>、</w:t>
            </w:r>
            <w:r>
              <w:rPr>
                <w:rFonts w:hint="eastAsia" w:cs="Times New Roman"/>
                <w:color w:val="auto"/>
                <w:sz w:val="24"/>
                <w:szCs w:val="24"/>
                <w:highlight w:val="none"/>
                <w:lang w:val="en-US" w:eastAsia="zh-CN"/>
              </w:rPr>
              <w:t>SS</w:t>
            </w:r>
            <w:r>
              <w:rPr>
                <w:rFonts w:hint="default" w:ascii="Times New Roman" w:hAnsi="Times New Roman" w:cs="Times New Roman"/>
                <w:color w:val="auto"/>
                <w:sz w:val="24"/>
                <w:szCs w:val="24"/>
                <w:highlight w:val="none"/>
                <w:vertAlign w:val="baseline"/>
                <w:lang w:val="en-US" w:eastAsia="zh-CN"/>
              </w:rPr>
              <w:t xml:space="preserve"> 0.002988</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rPr>
              <w:t>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 0.000299t/a、T</w:t>
            </w:r>
            <w:r>
              <w:rPr>
                <w:rFonts w:hint="default" w:ascii="Times New Roman" w:hAnsi="Times New Roman" w:cs="Times New Roman"/>
                <w:color w:val="auto"/>
                <w:sz w:val="24"/>
                <w:szCs w:val="24"/>
                <w:highlight w:val="none"/>
                <w:lang w:val="en-US" w:eastAsia="zh-CN"/>
              </w:rPr>
              <w:t>P</w:t>
            </w:r>
            <w:r>
              <w:rPr>
                <w:rFonts w:hint="default" w:ascii="Times New Roman" w:hAnsi="Times New Roman" w:cs="Times New Roman"/>
                <w:color w:val="auto"/>
                <w:sz w:val="24"/>
                <w:szCs w:val="24"/>
                <w:highlight w:val="none"/>
              </w:rPr>
              <w:t xml:space="preserve"> 0.00006t/a、T</w:t>
            </w:r>
            <w:r>
              <w:rPr>
                <w:rFonts w:hint="default" w:ascii="Times New Roman" w:hAnsi="Times New Roman" w:cs="Times New Roman"/>
                <w:color w:val="auto"/>
                <w:sz w:val="24"/>
                <w:szCs w:val="24"/>
                <w:highlight w:val="none"/>
                <w:lang w:val="en-US" w:eastAsia="zh-CN"/>
              </w:rPr>
              <w:t>N</w:t>
            </w:r>
            <w:r>
              <w:rPr>
                <w:rFonts w:hint="default" w:ascii="Times New Roman" w:hAnsi="Times New Roman" w:cs="Times New Roman"/>
                <w:color w:val="auto"/>
                <w:sz w:val="24"/>
                <w:szCs w:val="24"/>
                <w:highlight w:val="none"/>
              </w:rPr>
              <w:t xml:space="preserve"> 0.000299t/a</w:t>
            </w:r>
            <w:r>
              <w:rPr>
                <w:rFonts w:hint="eastAsia" w:ascii="宋体" w:hAnsi="宋体" w:eastAsia="宋体" w:cs="宋体"/>
                <w:color w:val="auto"/>
                <w:sz w:val="24"/>
                <w:szCs w:val="24"/>
                <w:highlight w:val="none"/>
                <w:lang w:val="en-US" w:eastAsia="zh-CN"/>
              </w:rPr>
              <w:t>的限值。</w:t>
            </w:r>
          </w:p>
          <w:p w14:paraId="773DD7C5">
            <w:pPr>
              <w:spacing w:after="0" w:line="480" w:lineRule="exact"/>
              <w:ind w:firstLine="482" w:firstLineChars="200"/>
              <w:jc w:val="both"/>
              <w:textAlignment w:val="baseline"/>
              <w:rPr>
                <w:rFonts w:eastAsia="宋体"/>
                <w:b/>
                <w:bCs/>
                <w:color w:val="auto"/>
                <w:sz w:val="24"/>
                <w:szCs w:val="24"/>
              </w:rPr>
            </w:pPr>
            <w:r>
              <w:rPr>
                <w:rFonts w:eastAsia="宋体"/>
                <w:b/>
                <w:bCs/>
                <w:color w:val="auto"/>
                <w:sz w:val="24"/>
                <w:szCs w:val="24"/>
              </w:rPr>
              <w:t>2、环境管理检查结论</w:t>
            </w:r>
            <w:bookmarkEnd w:id="23"/>
            <w:bookmarkEnd w:id="24"/>
          </w:p>
          <w:p w14:paraId="1A8B8739">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项目执行了环保“三同时”制度；按照有关规定建立了相关环境保护管理制度；由专人负责公司环境管理工作。</w:t>
            </w:r>
          </w:p>
          <w:p w14:paraId="75CF437C">
            <w:pPr>
              <w:spacing w:after="0" w:line="480" w:lineRule="exact"/>
              <w:ind w:firstLine="480" w:firstLineChars="200"/>
              <w:jc w:val="both"/>
              <w:textAlignment w:val="baseline"/>
              <w:rPr>
                <w:rFonts w:eastAsia="宋体"/>
                <w:bCs/>
                <w:color w:val="auto"/>
                <w:sz w:val="24"/>
                <w:szCs w:val="24"/>
                <w:highlight w:val="yellow"/>
              </w:rPr>
            </w:pPr>
          </w:p>
          <w:p w14:paraId="2B5CEB94">
            <w:pPr>
              <w:spacing w:after="0" w:line="480" w:lineRule="exact"/>
              <w:ind w:firstLine="480" w:firstLineChars="200"/>
              <w:jc w:val="both"/>
              <w:textAlignment w:val="baseline"/>
              <w:rPr>
                <w:rFonts w:eastAsia="宋体"/>
                <w:bCs/>
                <w:color w:val="auto"/>
                <w:sz w:val="24"/>
                <w:szCs w:val="24"/>
                <w:highlight w:val="yellow"/>
              </w:rPr>
            </w:pPr>
          </w:p>
          <w:p w14:paraId="26C6463D">
            <w:pPr>
              <w:spacing w:after="0" w:line="480" w:lineRule="exact"/>
              <w:ind w:firstLine="480" w:firstLineChars="200"/>
              <w:jc w:val="both"/>
              <w:textAlignment w:val="baseline"/>
              <w:rPr>
                <w:rFonts w:eastAsia="宋体"/>
                <w:bCs/>
                <w:color w:val="auto"/>
                <w:sz w:val="24"/>
                <w:szCs w:val="24"/>
                <w:highlight w:val="yellow"/>
              </w:rPr>
            </w:pPr>
          </w:p>
          <w:p w14:paraId="5C70BE44">
            <w:pPr>
              <w:spacing w:after="0" w:line="480" w:lineRule="exact"/>
              <w:ind w:firstLine="480" w:firstLineChars="200"/>
              <w:jc w:val="both"/>
              <w:textAlignment w:val="baseline"/>
              <w:rPr>
                <w:rFonts w:eastAsia="宋体"/>
                <w:bCs/>
                <w:color w:val="auto"/>
                <w:sz w:val="24"/>
                <w:szCs w:val="24"/>
                <w:highlight w:val="yellow"/>
              </w:rPr>
            </w:pPr>
          </w:p>
          <w:p w14:paraId="1F8151DA">
            <w:pPr>
              <w:spacing w:after="0" w:line="480" w:lineRule="exact"/>
              <w:jc w:val="both"/>
              <w:textAlignment w:val="baseline"/>
              <w:rPr>
                <w:rFonts w:eastAsia="宋体"/>
                <w:bCs/>
                <w:color w:val="auto"/>
                <w:sz w:val="24"/>
                <w:szCs w:val="24"/>
                <w:highlight w:val="yellow"/>
              </w:rPr>
            </w:pPr>
          </w:p>
          <w:p w14:paraId="2272E4F5">
            <w:pPr>
              <w:spacing w:after="0" w:line="480" w:lineRule="exact"/>
              <w:jc w:val="both"/>
              <w:textAlignment w:val="baseline"/>
              <w:rPr>
                <w:rFonts w:eastAsia="宋体"/>
                <w:bCs/>
                <w:color w:val="auto"/>
                <w:sz w:val="24"/>
                <w:szCs w:val="24"/>
                <w:highlight w:val="yellow"/>
              </w:rPr>
            </w:pPr>
          </w:p>
          <w:p w14:paraId="6A7547B0">
            <w:pPr>
              <w:spacing w:after="0" w:line="480" w:lineRule="exact"/>
              <w:jc w:val="both"/>
              <w:textAlignment w:val="baseline"/>
              <w:rPr>
                <w:rFonts w:eastAsia="宋体"/>
                <w:bCs/>
                <w:color w:val="auto"/>
                <w:sz w:val="24"/>
                <w:szCs w:val="24"/>
                <w:highlight w:val="yellow"/>
              </w:rPr>
            </w:pPr>
          </w:p>
          <w:p w14:paraId="22F247A0">
            <w:pPr>
              <w:spacing w:after="0" w:line="480" w:lineRule="exact"/>
              <w:jc w:val="both"/>
              <w:textAlignment w:val="baseline"/>
              <w:rPr>
                <w:rFonts w:eastAsia="宋体"/>
                <w:bCs/>
                <w:color w:val="auto"/>
                <w:sz w:val="24"/>
                <w:szCs w:val="24"/>
                <w:highlight w:val="yellow"/>
              </w:rPr>
            </w:pPr>
          </w:p>
          <w:p w14:paraId="19FEE23F">
            <w:pPr>
              <w:spacing w:after="0" w:line="480" w:lineRule="exact"/>
              <w:jc w:val="both"/>
              <w:textAlignment w:val="baseline"/>
              <w:rPr>
                <w:rFonts w:eastAsia="宋体"/>
                <w:bCs/>
                <w:color w:val="auto"/>
                <w:sz w:val="24"/>
                <w:szCs w:val="24"/>
                <w:highlight w:val="yellow"/>
              </w:rPr>
            </w:pPr>
          </w:p>
          <w:p w14:paraId="3AD8AE49">
            <w:pPr>
              <w:spacing w:after="0" w:line="480" w:lineRule="exact"/>
              <w:jc w:val="both"/>
              <w:textAlignment w:val="baseline"/>
              <w:rPr>
                <w:rFonts w:eastAsia="宋体"/>
                <w:bCs/>
                <w:color w:val="auto"/>
                <w:sz w:val="24"/>
                <w:szCs w:val="24"/>
                <w:highlight w:val="yellow"/>
              </w:rPr>
            </w:pPr>
          </w:p>
          <w:p w14:paraId="0215BC4E">
            <w:pPr>
              <w:spacing w:after="0" w:line="480" w:lineRule="exact"/>
              <w:jc w:val="both"/>
              <w:textAlignment w:val="baseline"/>
              <w:rPr>
                <w:rFonts w:eastAsia="宋体"/>
                <w:bCs/>
                <w:color w:val="auto"/>
                <w:sz w:val="24"/>
                <w:szCs w:val="24"/>
                <w:highlight w:val="yellow"/>
              </w:rPr>
            </w:pPr>
          </w:p>
          <w:p w14:paraId="43382162">
            <w:pPr>
              <w:spacing w:after="0" w:line="480" w:lineRule="exact"/>
              <w:jc w:val="both"/>
              <w:textAlignment w:val="baseline"/>
              <w:rPr>
                <w:rFonts w:eastAsia="宋体"/>
                <w:bCs/>
                <w:color w:val="auto"/>
                <w:sz w:val="24"/>
                <w:szCs w:val="24"/>
                <w:highlight w:val="yellow"/>
              </w:rPr>
            </w:pPr>
          </w:p>
          <w:p w14:paraId="2CCD828E">
            <w:pPr>
              <w:spacing w:after="0" w:line="480" w:lineRule="exact"/>
              <w:jc w:val="both"/>
              <w:textAlignment w:val="baseline"/>
              <w:rPr>
                <w:rFonts w:eastAsia="宋体"/>
                <w:bCs/>
                <w:color w:val="auto"/>
                <w:sz w:val="24"/>
                <w:szCs w:val="24"/>
                <w:highlight w:val="yellow"/>
              </w:rPr>
            </w:pPr>
          </w:p>
          <w:p w14:paraId="5C5A0584">
            <w:pPr>
              <w:spacing w:after="0" w:line="480" w:lineRule="exact"/>
              <w:jc w:val="both"/>
              <w:textAlignment w:val="baseline"/>
              <w:rPr>
                <w:rFonts w:eastAsia="宋体"/>
                <w:bCs/>
                <w:color w:val="auto"/>
                <w:sz w:val="24"/>
                <w:szCs w:val="24"/>
                <w:highlight w:val="yellow"/>
              </w:rPr>
            </w:pPr>
          </w:p>
          <w:p w14:paraId="132C49A8">
            <w:pPr>
              <w:spacing w:after="0" w:line="480" w:lineRule="exact"/>
              <w:jc w:val="both"/>
              <w:textAlignment w:val="baseline"/>
              <w:rPr>
                <w:rFonts w:eastAsia="宋体"/>
                <w:bCs/>
                <w:color w:val="auto"/>
                <w:sz w:val="24"/>
                <w:szCs w:val="24"/>
                <w:highlight w:val="yellow"/>
              </w:rPr>
            </w:pPr>
          </w:p>
          <w:p w14:paraId="52127B6D">
            <w:pPr>
              <w:spacing w:after="0" w:line="480" w:lineRule="exact"/>
              <w:jc w:val="both"/>
              <w:textAlignment w:val="baseline"/>
              <w:rPr>
                <w:rFonts w:eastAsia="宋体"/>
                <w:bCs/>
                <w:color w:val="auto"/>
                <w:sz w:val="24"/>
                <w:szCs w:val="24"/>
                <w:highlight w:val="yellow"/>
              </w:rPr>
            </w:pPr>
          </w:p>
          <w:p w14:paraId="61E31875">
            <w:pPr>
              <w:spacing w:after="0" w:line="480" w:lineRule="exact"/>
              <w:jc w:val="both"/>
              <w:textAlignment w:val="baseline"/>
              <w:rPr>
                <w:rFonts w:eastAsia="宋体"/>
                <w:bCs/>
                <w:color w:val="auto"/>
                <w:sz w:val="24"/>
                <w:szCs w:val="24"/>
                <w:highlight w:val="yellow"/>
              </w:rPr>
            </w:pPr>
          </w:p>
          <w:p w14:paraId="6D76C642">
            <w:pPr>
              <w:spacing w:after="0" w:line="480" w:lineRule="exact"/>
              <w:jc w:val="both"/>
              <w:textAlignment w:val="baseline"/>
              <w:rPr>
                <w:rFonts w:eastAsia="宋体"/>
                <w:bCs/>
                <w:color w:val="auto"/>
                <w:sz w:val="24"/>
                <w:szCs w:val="24"/>
                <w:highlight w:val="yellow"/>
              </w:rPr>
            </w:pPr>
          </w:p>
          <w:p w14:paraId="1E5D20AF">
            <w:pPr>
              <w:spacing w:after="0" w:line="480" w:lineRule="exact"/>
              <w:jc w:val="both"/>
              <w:textAlignment w:val="baseline"/>
              <w:rPr>
                <w:rFonts w:eastAsia="宋体"/>
                <w:bCs/>
                <w:color w:val="auto"/>
                <w:sz w:val="24"/>
                <w:szCs w:val="24"/>
                <w:highlight w:val="yellow"/>
              </w:rPr>
            </w:pPr>
          </w:p>
          <w:p w14:paraId="57EC6591">
            <w:pPr>
              <w:spacing w:after="0" w:line="480" w:lineRule="exact"/>
              <w:jc w:val="both"/>
              <w:textAlignment w:val="baseline"/>
              <w:rPr>
                <w:rFonts w:eastAsia="宋体"/>
                <w:bCs/>
                <w:color w:val="auto"/>
                <w:sz w:val="24"/>
                <w:szCs w:val="24"/>
                <w:highlight w:val="yellow"/>
              </w:rPr>
            </w:pPr>
          </w:p>
          <w:p w14:paraId="2D5D2EF4">
            <w:pPr>
              <w:spacing w:after="0" w:line="480" w:lineRule="exact"/>
              <w:jc w:val="both"/>
              <w:textAlignment w:val="baseline"/>
              <w:rPr>
                <w:rFonts w:eastAsia="宋体"/>
                <w:bCs/>
                <w:color w:val="auto"/>
                <w:sz w:val="24"/>
                <w:szCs w:val="24"/>
                <w:highlight w:val="yellow"/>
              </w:rPr>
            </w:pPr>
          </w:p>
          <w:p w14:paraId="04FDA56F">
            <w:pPr>
              <w:spacing w:after="0" w:line="480" w:lineRule="exact"/>
              <w:jc w:val="both"/>
              <w:textAlignment w:val="baseline"/>
              <w:rPr>
                <w:rFonts w:eastAsia="宋体"/>
                <w:bCs/>
                <w:color w:val="auto"/>
                <w:sz w:val="24"/>
                <w:szCs w:val="24"/>
                <w:highlight w:val="yellow"/>
              </w:rPr>
            </w:pPr>
          </w:p>
          <w:p w14:paraId="6761DEF2">
            <w:pPr>
              <w:spacing w:after="0" w:line="480" w:lineRule="exact"/>
              <w:jc w:val="both"/>
              <w:textAlignment w:val="baseline"/>
              <w:rPr>
                <w:rFonts w:eastAsia="宋体"/>
                <w:bCs/>
                <w:color w:val="auto"/>
                <w:sz w:val="24"/>
                <w:szCs w:val="24"/>
                <w:highlight w:val="yellow"/>
              </w:rPr>
            </w:pPr>
          </w:p>
          <w:p w14:paraId="086D0432">
            <w:pPr>
              <w:spacing w:after="0" w:line="480" w:lineRule="exact"/>
              <w:jc w:val="both"/>
              <w:textAlignment w:val="baseline"/>
              <w:rPr>
                <w:rFonts w:eastAsia="宋体"/>
                <w:bCs/>
                <w:color w:val="auto"/>
                <w:sz w:val="24"/>
                <w:szCs w:val="24"/>
                <w:highlight w:val="yellow"/>
              </w:rPr>
            </w:pPr>
            <w:bookmarkStart w:id="25" w:name="_GoBack"/>
            <w:bookmarkEnd w:id="25"/>
          </w:p>
          <w:p w14:paraId="7D04C01C">
            <w:pPr>
              <w:spacing w:after="0" w:line="480" w:lineRule="exact"/>
              <w:jc w:val="both"/>
              <w:textAlignment w:val="baseline"/>
              <w:rPr>
                <w:rFonts w:eastAsia="宋体"/>
                <w:bCs/>
                <w:color w:val="auto"/>
                <w:sz w:val="24"/>
                <w:szCs w:val="24"/>
                <w:highlight w:val="yellow"/>
              </w:rPr>
            </w:pPr>
          </w:p>
        </w:tc>
      </w:tr>
    </w:tbl>
    <w:p w14:paraId="5D2FFD08">
      <w:pPr>
        <w:rPr>
          <w:color w:val="auto"/>
          <w:highlight w:val="yellow"/>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tbl>
      <w:tblPr>
        <w:tblStyle w:val="18"/>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796"/>
        <w:gridCol w:w="828"/>
        <w:gridCol w:w="1379"/>
        <w:gridCol w:w="1097"/>
        <w:gridCol w:w="987"/>
        <w:gridCol w:w="6"/>
        <w:gridCol w:w="511"/>
        <w:gridCol w:w="588"/>
        <w:gridCol w:w="966"/>
        <w:gridCol w:w="1299"/>
        <w:gridCol w:w="1819"/>
        <w:gridCol w:w="1016"/>
        <w:gridCol w:w="685"/>
        <w:gridCol w:w="406"/>
        <w:gridCol w:w="846"/>
        <w:gridCol w:w="1049"/>
      </w:tblGrid>
      <w:tr w14:paraId="513C3F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30" w:type="dxa"/>
            <w:vMerge w:val="restart"/>
            <w:tcMar>
              <w:left w:w="57" w:type="dxa"/>
              <w:right w:w="57" w:type="dxa"/>
            </w:tcMar>
            <w:textDirection w:val="tbRlV"/>
            <w:vAlign w:val="center"/>
          </w:tcPr>
          <w:p w14:paraId="150B00D6">
            <w:pPr>
              <w:spacing w:after="0"/>
              <w:ind w:left="113" w:right="113"/>
              <w:jc w:val="center"/>
              <w:rPr>
                <w:b/>
                <w:color w:val="auto"/>
                <w:kern w:val="2"/>
                <w:sz w:val="15"/>
                <w:szCs w:val="15"/>
                <w:highlight w:val="yellow"/>
              </w:rPr>
            </w:pPr>
            <w:r>
              <w:rPr>
                <w:b/>
                <w:color w:val="auto"/>
                <w:kern w:val="2"/>
                <w:sz w:val="15"/>
                <w:szCs w:val="15"/>
              </w:rPr>
              <mc:AlternateContent>
                <mc:Choice Requires="wps">
                  <w:drawing>
                    <wp:anchor distT="0" distB="0" distL="114300" distR="114300" simplePos="0" relativeHeight="251660288" behindDoc="0" locked="0" layoutInCell="1" allowOverlap="1">
                      <wp:simplePos x="0" y="0"/>
                      <wp:positionH relativeFrom="page">
                        <wp:posOffset>43283505</wp:posOffset>
                      </wp:positionH>
                      <wp:positionV relativeFrom="paragraph">
                        <wp:posOffset>-742950</wp:posOffset>
                      </wp:positionV>
                      <wp:extent cx="3001645" cy="307340"/>
                      <wp:effectExtent l="0" t="0" r="27940" b="16510"/>
                      <wp:wrapNone/>
                      <wp:docPr id="150" name="文本框 150"/>
                      <wp:cNvGraphicFramePr/>
                      <a:graphic xmlns:a="http://schemas.openxmlformats.org/drawingml/2006/main">
                        <a:graphicData uri="http://schemas.microsoft.com/office/word/2010/wordprocessingShape">
                          <wps:wsp>
                            <wps:cNvSpPr txBox="1"/>
                            <wps:spPr>
                              <a:xfrm>
                                <a:off x="0" y="0"/>
                                <a:ext cx="3001617" cy="307497"/>
                              </a:xfrm>
                              <a:prstGeom prst="rect">
                                <a:avLst/>
                              </a:prstGeom>
                              <a:solidFill>
                                <a:schemeClr val="lt1"/>
                              </a:solidFill>
                              <a:ln w="6350">
                                <a:solidFill>
                                  <a:schemeClr val="bg1"/>
                                </a:solidFill>
                              </a:ln>
                            </wps:spPr>
                            <wps:txbx>
                              <w:txbxContent>
                                <w:p w14:paraId="5BA28051">
                                  <w:pPr>
                                    <w:spacing w:line="300" w:lineRule="exact"/>
                                    <w:jc w:val="center"/>
                                    <w:rPr>
                                      <w:rFonts w:eastAsia="黑体"/>
                                      <w:b/>
                                      <w:color w:val="000000"/>
                                      <w:szCs w:val="21"/>
                                    </w:rPr>
                                  </w:pPr>
                                  <w:r>
                                    <w:rPr>
                                      <w:rFonts w:eastAsia="黑体"/>
                                      <w:b/>
                                      <w:color w:val="000000"/>
                                      <w:szCs w:val="21"/>
                                    </w:rPr>
                                    <w:t>建设项目竣工环境保护</w:t>
                                  </w:r>
                                  <w:r>
                                    <w:rPr>
                                      <w:rFonts w:hint="eastAsia" w:eastAsia="黑体"/>
                                      <w:b/>
                                      <w:color w:val="000000"/>
                                      <w:szCs w:val="21"/>
                                    </w:rPr>
                                    <w:t>“</w:t>
                                  </w:r>
                                  <w:r>
                                    <w:rPr>
                                      <w:rFonts w:eastAsia="黑体"/>
                                      <w:b/>
                                      <w:color w:val="000000"/>
                                      <w:szCs w:val="21"/>
                                    </w:rPr>
                                    <w:t>三同时</w:t>
                                  </w:r>
                                  <w:r>
                                    <w:rPr>
                                      <w:rFonts w:hint="eastAsia" w:eastAsia="黑体"/>
                                      <w:b/>
                                      <w:color w:val="000000"/>
                                      <w:szCs w:val="21"/>
                                    </w:rPr>
                                    <w:t>”</w:t>
                                  </w:r>
                                  <w:r>
                                    <w:rPr>
                                      <w:rFonts w:eastAsia="黑体"/>
                                      <w:b/>
                                      <w:color w:val="000000"/>
                                      <w:szCs w:val="21"/>
                                    </w:rPr>
                                    <w:t>验收登记表</w:t>
                                  </w:r>
                                </w:p>
                                <w:p w14:paraId="042189A2">
                                  <w:pPr>
                                    <w:spacing w:after="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08.15pt;margin-top:-58.5pt;height:24.2pt;width:236.35pt;mso-position-horizontal-relative:page;z-index:251660288;mso-width-relative:page;mso-height-relative:page;" fillcolor="#FFFFFF [3201]" filled="t" stroked="t" coordsize="21600,21600" o:gfxdata="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msa3bAAAADgEA&#10;AA8AAAAAAAAAAQAgAAAAIgAAAGRycy9kb3ducmV2LnhtbFBLAQIUABQAAAAIAIdO4kCB+6SFUAIA&#10;ALwEAAAOAAAAAAAAAAEAIAAAACoBAABkcnMvZTJvRG9jLnhtbFBLBQYAAAAABgAGAFkBAADsBQAA&#10;AAA=&#10;">
                      <v:fill on="t" focussize="0,0"/>
                      <v:stroke weight="0.5pt" color="#FFFFFF [3212]" joinstyle="round"/>
                      <v:imagedata o:title=""/>
                      <o:lock v:ext="edit" aspectratio="f"/>
                      <v:textbox>
                        <w:txbxContent>
                          <w:p w14:paraId="5BA28051">
                            <w:pPr>
                              <w:spacing w:line="300" w:lineRule="exact"/>
                              <w:jc w:val="center"/>
                              <w:rPr>
                                <w:rFonts w:eastAsia="黑体"/>
                                <w:b/>
                                <w:color w:val="000000"/>
                                <w:szCs w:val="21"/>
                              </w:rPr>
                            </w:pPr>
                            <w:r>
                              <w:rPr>
                                <w:rFonts w:eastAsia="黑体"/>
                                <w:b/>
                                <w:color w:val="000000"/>
                                <w:szCs w:val="21"/>
                              </w:rPr>
                              <w:t>建设项目竣工环境保护</w:t>
                            </w:r>
                            <w:r>
                              <w:rPr>
                                <w:rFonts w:hint="eastAsia" w:eastAsia="黑体"/>
                                <w:b/>
                                <w:color w:val="000000"/>
                                <w:szCs w:val="21"/>
                              </w:rPr>
                              <w:t>“</w:t>
                            </w:r>
                            <w:r>
                              <w:rPr>
                                <w:rFonts w:eastAsia="黑体"/>
                                <w:b/>
                                <w:color w:val="000000"/>
                                <w:szCs w:val="21"/>
                              </w:rPr>
                              <w:t>三同时</w:t>
                            </w:r>
                            <w:r>
                              <w:rPr>
                                <w:rFonts w:hint="eastAsia" w:eastAsia="黑体"/>
                                <w:b/>
                                <w:color w:val="000000"/>
                                <w:szCs w:val="21"/>
                              </w:rPr>
                              <w:t>”</w:t>
                            </w:r>
                            <w:r>
                              <w:rPr>
                                <w:rFonts w:eastAsia="黑体"/>
                                <w:b/>
                                <w:color w:val="000000"/>
                                <w:szCs w:val="21"/>
                              </w:rPr>
                              <w:t>验收登记表</w:t>
                            </w:r>
                          </w:p>
                          <w:p w14:paraId="042189A2">
                            <w:pPr>
                              <w:spacing w:after="0"/>
                            </w:pPr>
                          </w:p>
                        </w:txbxContent>
                      </v:textbox>
                    </v:shape>
                  </w:pict>
                </mc:Fallback>
              </mc:AlternateContent>
            </w:r>
            <w:r>
              <w:rPr>
                <w:b/>
                <w:color w:val="auto"/>
                <w:kern w:val="2"/>
                <w:sz w:val="15"/>
                <w:szCs w:val="15"/>
              </w:rPr>
              <w:t>建设项目</w:t>
            </w:r>
          </w:p>
        </w:tc>
        <w:tc>
          <w:tcPr>
            <w:tcW w:w="1964" w:type="dxa"/>
            <w:gridSpan w:val="2"/>
            <w:tcMar>
              <w:left w:w="57" w:type="dxa"/>
              <w:right w:w="57" w:type="dxa"/>
            </w:tcMar>
            <w:vAlign w:val="center"/>
          </w:tcPr>
          <w:p w14:paraId="622BDEEB">
            <w:pPr>
              <w:spacing w:after="0"/>
              <w:jc w:val="center"/>
              <w:rPr>
                <w:b/>
                <w:color w:val="auto"/>
                <w:kern w:val="2"/>
                <w:sz w:val="15"/>
                <w:szCs w:val="15"/>
              </w:rPr>
            </w:pPr>
            <w:r>
              <w:rPr>
                <w:rFonts w:eastAsia="宋体"/>
                <w:color w:val="auto"/>
                <w:kern w:val="2"/>
                <w:sz w:val="21"/>
              </w:rPr>
              <mc:AlternateContent>
                <mc:Choice Requires="wps">
                  <w:drawing>
                    <wp:anchor distT="0" distB="0" distL="114300" distR="114300" simplePos="0" relativeHeight="251659264" behindDoc="0" locked="0" layoutInCell="1" allowOverlap="1">
                      <wp:simplePos x="0" y="0"/>
                      <wp:positionH relativeFrom="column">
                        <wp:posOffset>62865</wp:posOffset>
                      </wp:positionH>
                      <wp:positionV relativeFrom="paragraph">
                        <wp:posOffset>-284480</wp:posOffset>
                      </wp:positionV>
                      <wp:extent cx="9110980" cy="307340"/>
                      <wp:effectExtent l="0" t="0" r="0" b="0"/>
                      <wp:wrapNone/>
                      <wp:docPr id="4" name="文本框 537"/>
                      <wp:cNvGraphicFramePr/>
                      <a:graphic xmlns:a="http://schemas.openxmlformats.org/drawingml/2006/main">
                        <a:graphicData uri="http://schemas.microsoft.com/office/word/2010/wordprocessingShape">
                          <wps:wsp>
                            <wps:cNvSpPr txBox="1">
                              <a:spLocks noChangeArrowheads="1"/>
                            </wps:cNvSpPr>
                            <wps:spPr bwMode="auto">
                              <a:xfrm>
                                <a:off x="0" y="0"/>
                                <a:ext cx="9110980" cy="307340"/>
                              </a:xfrm>
                              <a:prstGeom prst="rect">
                                <a:avLst/>
                              </a:prstGeom>
                              <a:noFill/>
                              <a:ln>
                                <a:noFill/>
                              </a:ln>
                            </wps:spPr>
                            <wps:txbx>
                              <w:txbxContent>
                                <w:p w14:paraId="2E2BD386">
                                  <w:pPr>
                                    <w:spacing w:after="0"/>
                                    <w:rPr>
                                      <w:rFonts w:hint="eastAsia" w:ascii="宋体" w:hAnsi="宋体" w:eastAsia="宋体"/>
                                      <w:b/>
                                      <w:bCs/>
                                      <w:color w:val="000000"/>
                                      <w:sz w:val="21"/>
                                      <w:szCs w:val="21"/>
                                    </w:rPr>
                                  </w:pPr>
                                  <w:r>
                                    <w:rPr>
                                      <w:rFonts w:ascii="宋体" w:hAnsi="宋体" w:eastAsia="宋体"/>
                                      <w:b/>
                                      <w:color w:val="000000"/>
                                      <w:sz w:val="21"/>
                                      <w:szCs w:val="21"/>
                                    </w:rPr>
                                    <w:t>填表单位（盖章）：</w:t>
                                  </w:r>
                                  <w:r>
                                    <w:rPr>
                                      <w:rFonts w:hint="eastAsia" w:ascii="宋体" w:hAnsi="宋体" w:eastAsia="宋体" w:cs="Times New Roman"/>
                                      <w:b/>
                                      <w:color w:val="000000"/>
                                      <w:sz w:val="21"/>
                                      <w:szCs w:val="21"/>
                                    </w:rPr>
                                    <w:t>河南</w:t>
                                  </w:r>
                                  <w:r>
                                    <w:rPr>
                                      <w:rFonts w:hint="eastAsia" w:ascii="宋体" w:hAnsi="宋体" w:eastAsia="宋体" w:cs="Times New Roman"/>
                                      <w:b/>
                                      <w:color w:val="000000"/>
                                      <w:sz w:val="21"/>
                                      <w:szCs w:val="21"/>
                                      <w:lang w:val="en-US" w:eastAsia="zh-CN"/>
                                    </w:rPr>
                                    <w:t>省养乐奇生物科技有限责任公司</w:t>
                                  </w:r>
                                  <w:r>
                                    <w:rPr>
                                      <w:rFonts w:hint="eastAsia" w:ascii="宋体" w:hAnsi="宋体" w:eastAsia="宋体" w:cs="Times New Roman"/>
                                      <w:b/>
                                      <w:color w:val="000000"/>
                                      <w:sz w:val="21"/>
                                      <w:szCs w:val="21"/>
                                    </w:rPr>
                                    <w:t xml:space="preserve"> </w:t>
                                  </w:r>
                                  <w:r>
                                    <w:rPr>
                                      <w:rFonts w:hint="eastAsia" w:ascii="宋体" w:hAnsi="宋体" w:eastAsia="宋体"/>
                                      <w:b/>
                                      <w:bCs/>
                                      <w:color w:val="000000"/>
                                      <w:sz w:val="21"/>
                                      <w:szCs w:val="21"/>
                                    </w:rPr>
                                    <w:t xml:space="preserve">                         填表人</w:t>
                                  </w:r>
                                  <w:r>
                                    <w:rPr>
                                      <w:rFonts w:ascii="宋体" w:hAnsi="宋体" w:eastAsia="宋体"/>
                                      <w:b/>
                                      <w:color w:val="000000"/>
                                      <w:sz w:val="21"/>
                                      <w:szCs w:val="21"/>
                                    </w:rPr>
                                    <w:t xml:space="preserve">（签字）：       </w:t>
                                  </w:r>
                                  <w:r>
                                    <w:rPr>
                                      <w:rFonts w:hint="eastAsia" w:ascii="宋体" w:hAnsi="宋体" w:eastAsia="宋体"/>
                                      <w:b/>
                                      <w:color w:val="000000"/>
                                      <w:sz w:val="21"/>
                                      <w:szCs w:val="21"/>
                                    </w:rPr>
                                    <w:t xml:space="preserve">       </w:t>
                                  </w:r>
                                  <w:r>
                                    <w:rPr>
                                      <w:rFonts w:ascii="宋体" w:hAnsi="宋体" w:eastAsia="宋体"/>
                                      <w:b/>
                                      <w:color w:val="000000"/>
                                      <w:sz w:val="21"/>
                                      <w:szCs w:val="21"/>
                                    </w:rPr>
                                    <w:t>项目经办人（签字）：</w:t>
                                  </w:r>
                                </w:p>
                              </w:txbxContent>
                            </wps:txbx>
                            <wps:bodyPr rot="0" vert="horz" wrap="square" lIns="91440" tIns="45720" rIns="91440" bIns="45720" anchor="t" anchorCtr="0" upright="1">
                              <a:noAutofit/>
                            </wps:bodyPr>
                          </wps:wsp>
                        </a:graphicData>
                      </a:graphic>
                    </wp:anchor>
                  </w:drawing>
                </mc:Choice>
                <mc:Fallback>
                  <w:pict>
                    <v:shape id="文本框 537" o:spid="_x0000_s1026" o:spt="202" type="#_x0000_t202" style="position:absolute;left:0pt;margin-left:4.95pt;margin-top:-22.4pt;height:24.2pt;width:717.4pt;z-index:251659264;mso-width-relative:page;mso-height-relative:page;" filled="f" stroked="f" coordsize="21600,21600" o:gfxdata="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DBu3PVAAAACAEAAA8A&#10;AAAAAAAAAQAgAAAAIgAAAGRycy9kb3ducmV2LnhtbFBLAQIUABQAAAAIAIdO4kD2I8mOGgIAABcE&#10;AAAOAAAAAAAAAAEAIAAAACQBAABkcnMvZTJvRG9jLnhtbFBLBQYAAAAABgAGAFkBAACwBQAAAAA=&#10;">
                      <v:fill on="f" focussize="0,0"/>
                      <v:stroke on="f"/>
                      <v:imagedata o:title=""/>
                      <o:lock v:ext="edit" aspectratio="f"/>
                      <v:textbox>
                        <w:txbxContent>
                          <w:p w14:paraId="2E2BD386">
                            <w:pPr>
                              <w:spacing w:after="0"/>
                              <w:rPr>
                                <w:rFonts w:hint="eastAsia" w:ascii="宋体" w:hAnsi="宋体" w:eastAsia="宋体"/>
                                <w:b/>
                                <w:bCs/>
                                <w:color w:val="000000"/>
                                <w:sz w:val="21"/>
                                <w:szCs w:val="21"/>
                              </w:rPr>
                            </w:pPr>
                            <w:r>
                              <w:rPr>
                                <w:rFonts w:ascii="宋体" w:hAnsi="宋体" w:eastAsia="宋体"/>
                                <w:b/>
                                <w:color w:val="000000"/>
                                <w:sz w:val="21"/>
                                <w:szCs w:val="21"/>
                              </w:rPr>
                              <w:t>填表单位（盖章）：</w:t>
                            </w:r>
                            <w:r>
                              <w:rPr>
                                <w:rFonts w:hint="eastAsia" w:ascii="宋体" w:hAnsi="宋体" w:eastAsia="宋体" w:cs="Times New Roman"/>
                                <w:b/>
                                <w:color w:val="000000"/>
                                <w:sz w:val="21"/>
                                <w:szCs w:val="21"/>
                              </w:rPr>
                              <w:t>河南</w:t>
                            </w:r>
                            <w:r>
                              <w:rPr>
                                <w:rFonts w:hint="eastAsia" w:ascii="宋体" w:hAnsi="宋体" w:eastAsia="宋体" w:cs="Times New Roman"/>
                                <w:b/>
                                <w:color w:val="000000"/>
                                <w:sz w:val="21"/>
                                <w:szCs w:val="21"/>
                                <w:lang w:val="en-US" w:eastAsia="zh-CN"/>
                              </w:rPr>
                              <w:t>省养乐奇生物科技有限责任公司</w:t>
                            </w:r>
                            <w:r>
                              <w:rPr>
                                <w:rFonts w:hint="eastAsia" w:ascii="宋体" w:hAnsi="宋体" w:eastAsia="宋体" w:cs="Times New Roman"/>
                                <w:b/>
                                <w:color w:val="000000"/>
                                <w:sz w:val="21"/>
                                <w:szCs w:val="21"/>
                              </w:rPr>
                              <w:t xml:space="preserve"> </w:t>
                            </w:r>
                            <w:r>
                              <w:rPr>
                                <w:rFonts w:hint="eastAsia" w:ascii="宋体" w:hAnsi="宋体" w:eastAsia="宋体"/>
                                <w:b/>
                                <w:bCs/>
                                <w:color w:val="000000"/>
                                <w:sz w:val="21"/>
                                <w:szCs w:val="21"/>
                              </w:rPr>
                              <w:t xml:space="preserve">                         填表人</w:t>
                            </w:r>
                            <w:r>
                              <w:rPr>
                                <w:rFonts w:ascii="宋体" w:hAnsi="宋体" w:eastAsia="宋体"/>
                                <w:b/>
                                <w:color w:val="000000"/>
                                <w:sz w:val="21"/>
                                <w:szCs w:val="21"/>
                              </w:rPr>
                              <w:t xml:space="preserve">（签字）：       </w:t>
                            </w:r>
                            <w:r>
                              <w:rPr>
                                <w:rFonts w:hint="eastAsia" w:ascii="宋体" w:hAnsi="宋体" w:eastAsia="宋体"/>
                                <w:b/>
                                <w:color w:val="000000"/>
                                <w:sz w:val="21"/>
                                <w:szCs w:val="21"/>
                              </w:rPr>
                              <w:t xml:space="preserve">       </w:t>
                            </w:r>
                            <w:r>
                              <w:rPr>
                                <w:rFonts w:ascii="宋体" w:hAnsi="宋体" w:eastAsia="宋体"/>
                                <w:b/>
                                <w:color w:val="000000"/>
                                <w:sz w:val="21"/>
                                <w:szCs w:val="21"/>
                              </w:rPr>
                              <w:t>项目经办人（签字）：</w:t>
                            </w:r>
                          </w:p>
                        </w:txbxContent>
                      </v:textbox>
                    </v:shape>
                  </w:pict>
                </mc:Fallback>
              </mc:AlternateContent>
            </w:r>
            <w:r>
              <w:rPr>
                <w:b/>
                <w:color w:val="auto"/>
                <w:kern w:val="2"/>
                <w:sz w:val="15"/>
                <w:szCs w:val="15"/>
              </w:rPr>
              <w:t>项目名称</w:t>
            </w:r>
          </w:p>
        </w:tc>
        <w:tc>
          <w:tcPr>
            <w:tcW w:w="5396" w:type="dxa"/>
            <w:gridSpan w:val="7"/>
            <w:tcMar>
              <w:left w:w="57" w:type="dxa"/>
              <w:right w:w="57" w:type="dxa"/>
            </w:tcMar>
            <w:vAlign w:val="center"/>
          </w:tcPr>
          <w:p w14:paraId="4813BAA8">
            <w:pPr>
              <w:spacing w:after="0"/>
              <w:jc w:val="center"/>
              <w:rPr>
                <w:color w:val="auto"/>
                <w:kern w:val="2"/>
                <w:sz w:val="15"/>
                <w:szCs w:val="15"/>
              </w:rPr>
            </w:pPr>
            <w:r>
              <w:rPr>
                <w:rFonts w:hint="eastAsia" w:ascii="Times New Roman" w:hAnsi="Times New Roman" w:cs="Times New Roman"/>
                <w:color w:val="auto"/>
                <w:kern w:val="2"/>
                <w:sz w:val="15"/>
                <w:szCs w:val="15"/>
                <w:lang w:val="en-US" w:eastAsia="zh-CN"/>
              </w:rPr>
              <w:t>年产6000万只塑料瓶项目（一期）</w:t>
            </w:r>
          </w:p>
        </w:tc>
        <w:tc>
          <w:tcPr>
            <w:tcW w:w="2265" w:type="dxa"/>
            <w:gridSpan w:val="2"/>
            <w:tcMar>
              <w:left w:w="57" w:type="dxa"/>
              <w:right w:w="57" w:type="dxa"/>
            </w:tcMar>
            <w:vAlign w:val="center"/>
          </w:tcPr>
          <w:p w14:paraId="37EC9E57">
            <w:pPr>
              <w:spacing w:after="0"/>
              <w:jc w:val="center"/>
              <w:rPr>
                <w:b/>
                <w:color w:val="auto"/>
                <w:kern w:val="2"/>
                <w:sz w:val="15"/>
                <w:szCs w:val="15"/>
              </w:rPr>
            </w:pPr>
            <w:r>
              <w:rPr>
                <w:b/>
                <w:color w:val="auto"/>
                <w:kern w:val="2"/>
                <w:sz w:val="15"/>
                <w:szCs w:val="15"/>
              </w:rPr>
              <w:t>项目代码</w:t>
            </w:r>
          </w:p>
        </w:tc>
        <w:tc>
          <w:tcPr>
            <w:tcW w:w="1819" w:type="dxa"/>
            <w:tcMar>
              <w:left w:w="57" w:type="dxa"/>
              <w:right w:w="57" w:type="dxa"/>
            </w:tcMar>
            <w:vAlign w:val="center"/>
          </w:tcPr>
          <w:p w14:paraId="0B834B3F">
            <w:pPr>
              <w:spacing w:after="0"/>
              <w:jc w:val="center"/>
              <w:rPr>
                <w:color w:val="auto"/>
                <w:kern w:val="2"/>
                <w:sz w:val="15"/>
                <w:szCs w:val="15"/>
              </w:rPr>
            </w:pPr>
            <w:r>
              <w:rPr>
                <w:rFonts w:hint="eastAsia" w:ascii="Times New Roman" w:hAnsi="Times New Roman" w:cs="Times New Roman"/>
                <w:color w:val="auto"/>
                <w:kern w:val="2"/>
                <w:sz w:val="15"/>
                <w:szCs w:val="15"/>
                <w:lang w:val="en-US" w:eastAsia="zh-CN"/>
              </w:rPr>
              <w:t>2510-410726-04-01-711063</w:t>
            </w:r>
          </w:p>
        </w:tc>
        <w:tc>
          <w:tcPr>
            <w:tcW w:w="1701" w:type="dxa"/>
            <w:gridSpan w:val="2"/>
            <w:tcMar>
              <w:left w:w="57" w:type="dxa"/>
              <w:right w:w="57" w:type="dxa"/>
            </w:tcMar>
            <w:vAlign w:val="center"/>
          </w:tcPr>
          <w:p w14:paraId="46EA68FB">
            <w:pPr>
              <w:spacing w:after="0"/>
              <w:jc w:val="center"/>
              <w:rPr>
                <w:color w:val="auto"/>
                <w:kern w:val="2"/>
                <w:sz w:val="15"/>
                <w:szCs w:val="15"/>
              </w:rPr>
            </w:pPr>
            <w:r>
              <w:rPr>
                <w:b/>
                <w:color w:val="auto"/>
                <w:kern w:val="2"/>
                <w:sz w:val="15"/>
                <w:szCs w:val="15"/>
              </w:rPr>
              <w:t>建设地点</w:t>
            </w:r>
          </w:p>
        </w:tc>
        <w:tc>
          <w:tcPr>
            <w:tcW w:w="2301" w:type="dxa"/>
            <w:gridSpan w:val="3"/>
            <w:tcMar>
              <w:left w:w="57" w:type="dxa"/>
              <w:right w:w="57" w:type="dxa"/>
            </w:tcMar>
            <w:vAlign w:val="center"/>
          </w:tcPr>
          <w:p w14:paraId="29CA4EC2">
            <w:pPr>
              <w:spacing w:after="0"/>
              <w:jc w:val="center"/>
              <w:rPr>
                <w:color w:val="auto"/>
                <w:kern w:val="2"/>
                <w:sz w:val="15"/>
                <w:szCs w:val="15"/>
              </w:rPr>
            </w:pPr>
            <w:r>
              <w:rPr>
                <w:rFonts w:hint="eastAsia" w:ascii="Times New Roman" w:hAnsi="Times New Roman" w:cs="Times New Roman"/>
                <w:color w:val="auto"/>
                <w:kern w:val="2"/>
                <w:sz w:val="15"/>
                <w:szCs w:val="15"/>
                <w:lang w:val="en-US" w:eastAsia="zh-CN"/>
              </w:rPr>
              <w:t>新乡市延津县先进制造业开发区南区创业园</w:t>
            </w:r>
          </w:p>
        </w:tc>
      </w:tr>
      <w:tr w14:paraId="4D6FAF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30" w:type="dxa"/>
            <w:vMerge w:val="continue"/>
            <w:tcMar>
              <w:left w:w="57" w:type="dxa"/>
              <w:right w:w="57" w:type="dxa"/>
            </w:tcMar>
            <w:vAlign w:val="center"/>
          </w:tcPr>
          <w:p w14:paraId="0F6453A1">
            <w:pPr>
              <w:spacing w:after="0"/>
              <w:rPr>
                <w:color w:val="auto"/>
                <w:kern w:val="2"/>
                <w:sz w:val="15"/>
                <w:szCs w:val="15"/>
                <w:highlight w:val="yellow"/>
              </w:rPr>
            </w:pPr>
          </w:p>
        </w:tc>
        <w:tc>
          <w:tcPr>
            <w:tcW w:w="1964" w:type="dxa"/>
            <w:gridSpan w:val="2"/>
            <w:tcMar>
              <w:left w:w="57" w:type="dxa"/>
              <w:right w:w="57" w:type="dxa"/>
            </w:tcMar>
            <w:vAlign w:val="center"/>
          </w:tcPr>
          <w:p w14:paraId="16E8F14D">
            <w:pPr>
              <w:spacing w:after="0"/>
              <w:jc w:val="center"/>
              <w:rPr>
                <w:color w:val="auto"/>
                <w:kern w:val="2"/>
                <w:sz w:val="15"/>
                <w:szCs w:val="15"/>
              </w:rPr>
            </w:pPr>
            <w:r>
              <w:rPr>
                <w:b/>
                <w:color w:val="auto"/>
                <w:kern w:val="2"/>
                <w:sz w:val="15"/>
                <w:szCs w:val="15"/>
              </w:rPr>
              <w:t>行业类别（分类管理名录）</w:t>
            </w:r>
          </w:p>
        </w:tc>
        <w:tc>
          <w:tcPr>
            <w:tcW w:w="5396" w:type="dxa"/>
            <w:gridSpan w:val="7"/>
            <w:tcMar>
              <w:left w:w="57" w:type="dxa"/>
              <w:right w:w="57" w:type="dxa"/>
            </w:tcMar>
            <w:vAlign w:val="center"/>
          </w:tcPr>
          <w:p w14:paraId="017DD817">
            <w:pPr>
              <w:spacing w:after="0"/>
              <w:jc w:val="center"/>
              <w:rPr>
                <w:color w:val="auto"/>
                <w:kern w:val="2"/>
                <w:sz w:val="15"/>
                <w:szCs w:val="15"/>
              </w:rPr>
            </w:pPr>
            <w:r>
              <w:rPr>
                <w:rFonts w:hint="eastAsia"/>
                <w:color w:val="auto"/>
                <w:kern w:val="2"/>
                <w:sz w:val="15"/>
                <w:szCs w:val="15"/>
              </w:rPr>
              <w:t>二十六、“橡胶和塑料制品业29”：第53条“塑料制品业292”</w:t>
            </w:r>
          </w:p>
        </w:tc>
        <w:tc>
          <w:tcPr>
            <w:tcW w:w="2265" w:type="dxa"/>
            <w:gridSpan w:val="2"/>
            <w:tcMar>
              <w:left w:w="57" w:type="dxa"/>
              <w:right w:w="57" w:type="dxa"/>
            </w:tcMar>
            <w:vAlign w:val="center"/>
          </w:tcPr>
          <w:p w14:paraId="53D797E9">
            <w:pPr>
              <w:spacing w:after="0"/>
              <w:jc w:val="center"/>
              <w:rPr>
                <w:b/>
                <w:color w:val="auto"/>
                <w:kern w:val="2"/>
                <w:sz w:val="15"/>
                <w:szCs w:val="15"/>
              </w:rPr>
            </w:pPr>
            <w:r>
              <w:rPr>
                <w:b/>
                <w:color w:val="auto"/>
                <w:kern w:val="2"/>
                <w:sz w:val="15"/>
                <w:szCs w:val="15"/>
              </w:rPr>
              <w:t>建设性质</w:t>
            </w:r>
          </w:p>
        </w:tc>
        <w:tc>
          <w:tcPr>
            <w:tcW w:w="1819" w:type="dxa"/>
            <w:tcMar>
              <w:left w:w="57" w:type="dxa"/>
              <w:right w:w="57" w:type="dxa"/>
            </w:tcMar>
            <w:vAlign w:val="center"/>
          </w:tcPr>
          <w:p w14:paraId="10EBB046">
            <w:pPr>
              <w:spacing w:after="0"/>
              <w:jc w:val="center"/>
              <w:rPr>
                <w:color w:val="auto"/>
                <w:kern w:val="2"/>
                <w:sz w:val="15"/>
                <w:szCs w:val="15"/>
              </w:rPr>
            </w:pPr>
            <w:r>
              <w:rPr>
                <w:rFonts w:hint="eastAsia"/>
                <w:b/>
                <w:color w:val="auto"/>
                <w:kern w:val="2"/>
                <w:sz w:val="15"/>
                <w:szCs w:val="15"/>
                <w:lang w:eastAsia="zh-CN"/>
              </w:rPr>
              <w:t>☑</w:t>
            </w:r>
            <w:r>
              <w:rPr>
                <w:b/>
                <w:color w:val="auto"/>
                <w:kern w:val="2"/>
                <w:sz w:val="15"/>
                <w:szCs w:val="15"/>
              </w:rPr>
              <w:t>新建</w:t>
            </w:r>
            <w:r>
              <w:rPr>
                <w:rFonts w:hint="eastAsia"/>
                <w:b/>
                <w:color w:val="auto"/>
                <w:kern w:val="2"/>
                <w:sz w:val="15"/>
                <w:szCs w:val="15"/>
              </w:rPr>
              <w:t xml:space="preserve"> </w:t>
            </w:r>
            <w:r>
              <w:rPr>
                <w:b/>
                <w:color w:val="auto"/>
                <w:kern w:val="2"/>
                <w:sz w:val="15"/>
                <w:szCs w:val="15"/>
              </w:rPr>
              <w:t>□改扩建  技术改造</w:t>
            </w:r>
          </w:p>
        </w:tc>
        <w:tc>
          <w:tcPr>
            <w:tcW w:w="1701" w:type="dxa"/>
            <w:gridSpan w:val="2"/>
            <w:tcMar>
              <w:left w:w="57" w:type="dxa"/>
              <w:right w:w="57" w:type="dxa"/>
            </w:tcMar>
            <w:vAlign w:val="center"/>
          </w:tcPr>
          <w:p w14:paraId="3CD61837">
            <w:pPr>
              <w:spacing w:after="0"/>
              <w:jc w:val="center"/>
              <w:rPr>
                <w:b/>
                <w:color w:val="auto"/>
                <w:kern w:val="2"/>
                <w:sz w:val="15"/>
                <w:szCs w:val="15"/>
              </w:rPr>
            </w:pPr>
            <w:r>
              <w:rPr>
                <w:b/>
                <w:color w:val="auto"/>
                <w:kern w:val="2"/>
                <w:sz w:val="15"/>
                <w:szCs w:val="15"/>
              </w:rPr>
              <w:t>项目厂区中心经度/纬度</w:t>
            </w:r>
          </w:p>
        </w:tc>
        <w:tc>
          <w:tcPr>
            <w:tcW w:w="2301" w:type="dxa"/>
            <w:gridSpan w:val="3"/>
            <w:tcMar>
              <w:left w:w="57" w:type="dxa"/>
              <w:right w:w="57" w:type="dxa"/>
            </w:tcMar>
            <w:vAlign w:val="center"/>
          </w:tcPr>
          <w:p w14:paraId="3A239B75">
            <w:pPr>
              <w:spacing w:after="0"/>
              <w:jc w:val="center"/>
              <w:rPr>
                <w:rFonts w:ascii="Times New Roman" w:hAnsi="Times New Roman" w:cs="Times New Roman"/>
                <w:b/>
                <w:color w:val="auto"/>
                <w:kern w:val="2"/>
                <w:sz w:val="15"/>
                <w:szCs w:val="15"/>
              </w:rPr>
            </w:pPr>
            <w:r>
              <w:rPr>
                <w:rFonts w:hint="eastAsia" w:ascii="Times New Roman" w:hAnsi="Times New Roman" w:cs="Times New Roman"/>
                <w:b/>
                <w:color w:val="auto"/>
                <w:kern w:val="2"/>
                <w:sz w:val="15"/>
                <w:szCs w:val="15"/>
              </w:rPr>
              <w:t>经度</w:t>
            </w:r>
            <w:r>
              <w:rPr>
                <w:rFonts w:hint="eastAsia" w:ascii="Times New Roman" w:hAnsi="Times New Roman" w:cs="Times New Roman"/>
                <w:b/>
                <w:color w:val="auto"/>
                <w:kern w:val="2"/>
                <w:sz w:val="15"/>
                <w:szCs w:val="15"/>
                <w:lang w:eastAsia="zh-CN"/>
              </w:rPr>
              <w:t>：</w:t>
            </w:r>
            <w:r>
              <w:rPr>
                <w:rFonts w:ascii="Times New Roman" w:hAnsi="Times New Roman" w:cs="Times New Roman"/>
                <w:b/>
                <w:color w:val="auto"/>
                <w:kern w:val="2"/>
                <w:sz w:val="15"/>
                <w:szCs w:val="15"/>
              </w:rPr>
              <w:t>114度</w:t>
            </w:r>
            <w:r>
              <w:rPr>
                <w:rFonts w:hint="eastAsia" w:ascii="Times New Roman" w:hAnsi="Times New Roman" w:cs="Times New Roman"/>
                <w:b/>
                <w:color w:val="auto"/>
                <w:kern w:val="2"/>
                <w:sz w:val="15"/>
                <w:szCs w:val="15"/>
                <w:lang w:val="en-US" w:eastAsia="zh-CN"/>
              </w:rPr>
              <w:t>7</w:t>
            </w:r>
            <w:r>
              <w:rPr>
                <w:rFonts w:ascii="Times New Roman" w:hAnsi="Times New Roman" w:cs="Times New Roman"/>
                <w:b/>
                <w:color w:val="auto"/>
                <w:kern w:val="2"/>
                <w:sz w:val="15"/>
                <w:szCs w:val="15"/>
              </w:rPr>
              <w:t>分</w:t>
            </w:r>
            <w:r>
              <w:rPr>
                <w:rFonts w:hint="eastAsia" w:ascii="Times New Roman" w:hAnsi="Times New Roman" w:cs="Times New Roman"/>
                <w:b/>
                <w:color w:val="auto"/>
                <w:kern w:val="2"/>
                <w:sz w:val="15"/>
                <w:szCs w:val="15"/>
                <w:lang w:val="en-US" w:eastAsia="zh-CN"/>
              </w:rPr>
              <w:t>24</w:t>
            </w:r>
            <w:r>
              <w:rPr>
                <w:rFonts w:ascii="Times New Roman" w:hAnsi="Times New Roman" w:cs="Times New Roman"/>
                <w:b/>
                <w:color w:val="auto"/>
                <w:kern w:val="2"/>
                <w:sz w:val="15"/>
                <w:szCs w:val="15"/>
              </w:rPr>
              <w:t>.74</w:t>
            </w:r>
            <w:r>
              <w:rPr>
                <w:rFonts w:hint="eastAsia" w:ascii="Times New Roman" w:hAnsi="Times New Roman" w:cs="Times New Roman"/>
                <w:b/>
                <w:color w:val="auto"/>
                <w:kern w:val="2"/>
                <w:sz w:val="15"/>
                <w:szCs w:val="15"/>
                <w:lang w:val="en-US" w:eastAsia="zh-CN"/>
              </w:rPr>
              <w:t>5</w:t>
            </w:r>
            <w:r>
              <w:rPr>
                <w:rFonts w:ascii="Times New Roman" w:hAnsi="Times New Roman" w:cs="Times New Roman"/>
                <w:b/>
                <w:color w:val="auto"/>
                <w:kern w:val="2"/>
                <w:sz w:val="15"/>
                <w:szCs w:val="15"/>
              </w:rPr>
              <w:t>秒</w:t>
            </w:r>
          </w:p>
          <w:p w14:paraId="7C6BC4F4">
            <w:pPr>
              <w:spacing w:after="0"/>
              <w:jc w:val="center"/>
              <w:rPr>
                <w:color w:val="auto"/>
                <w:kern w:val="2"/>
                <w:sz w:val="15"/>
                <w:szCs w:val="15"/>
              </w:rPr>
            </w:pPr>
            <w:r>
              <w:rPr>
                <w:rFonts w:hint="eastAsia" w:ascii="Times New Roman" w:hAnsi="Times New Roman" w:cs="Times New Roman"/>
                <w:b/>
                <w:color w:val="auto"/>
                <w:kern w:val="2"/>
                <w:sz w:val="15"/>
                <w:szCs w:val="15"/>
              </w:rPr>
              <w:t>纬度</w:t>
            </w:r>
            <w:r>
              <w:rPr>
                <w:rFonts w:hint="eastAsia" w:ascii="Times New Roman" w:hAnsi="Times New Roman" w:cs="Times New Roman"/>
                <w:b/>
                <w:color w:val="auto"/>
                <w:kern w:val="2"/>
                <w:sz w:val="15"/>
                <w:szCs w:val="15"/>
                <w:lang w:eastAsia="zh-CN"/>
              </w:rPr>
              <w:t>：</w:t>
            </w:r>
            <w:r>
              <w:rPr>
                <w:rFonts w:ascii="Times New Roman" w:hAnsi="Times New Roman" w:cs="Times New Roman"/>
                <w:b/>
                <w:color w:val="auto"/>
                <w:kern w:val="2"/>
                <w:sz w:val="15"/>
                <w:szCs w:val="15"/>
              </w:rPr>
              <w:t>35度1</w:t>
            </w:r>
            <w:r>
              <w:rPr>
                <w:rFonts w:hint="eastAsia" w:ascii="Times New Roman" w:hAnsi="Times New Roman" w:cs="Times New Roman"/>
                <w:b/>
                <w:color w:val="auto"/>
                <w:kern w:val="2"/>
                <w:sz w:val="15"/>
                <w:szCs w:val="15"/>
                <w:lang w:val="en-US" w:eastAsia="zh-CN"/>
              </w:rPr>
              <w:t>1</w:t>
            </w:r>
            <w:r>
              <w:rPr>
                <w:rFonts w:ascii="Times New Roman" w:hAnsi="Times New Roman" w:cs="Times New Roman"/>
                <w:b/>
                <w:color w:val="auto"/>
                <w:kern w:val="2"/>
                <w:sz w:val="15"/>
                <w:szCs w:val="15"/>
              </w:rPr>
              <w:t>分2.5</w:t>
            </w:r>
            <w:r>
              <w:rPr>
                <w:rFonts w:hint="eastAsia" w:ascii="Times New Roman" w:hAnsi="Times New Roman" w:cs="Times New Roman"/>
                <w:b/>
                <w:color w:val="auto"/>
                <w:kern w:val="2"/>
                <w:sz w:val="15"/>
                <w:szCs w:val="15"/>
                <w:lang w:val="en-US" w:eastAsia="zh-CN"/>
              </w:rPr>
              <w:t>73</w:t>
            </w:r>
            <w:r>
              <w:rPr>
                <w:rFonts w:ascii="Times New Roman" w:hAnsi="Times New Roman" w:cs="Times New Roman"/>
                <w:b/>
                <w:color w:val="auto"/>
                <w:kern w:val="2"/>
                <w:sz w:val="15"/>
                <w:szCs w:val="15"/>
              </w:rPr>
              <w:t>秒</w:t>
            </w:r>
          </w:p>
        </w:tc>
      </w:tr>
      <w:tr w14:paraId="7B3E5A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430" w:type="dxa"/>
            <w:vMerge w:val="continue"/>
            <w:tcMar>
              <w:left w:w="57" w:type="dxa"/>
              <w:right w:w="57" w:type="dxa"/>
            </w:tcMar>
            <w:vAlign w:val="center"/>
          </w:tcPr>
          <w:p w14:paraId="50B4C8AF">
            <w:pPr>
              <w:spacing w:after="0"/>
              <w:rPr>
                <w:color w:val="auto"/>
                <w:kern w:val="2"/>
                <w:sz w:val="15"/>
                <w:szCs w:val="15"/>
                <w:highlight w:val="yellow"/>
              </w:rPr>
            </w:pPr>
          </w:p>
        </w:tc>
        <w:tc>
          <w:tcPr>
            <w:tcW w:w="1964" w:type="dxa"/>
            <w:gridSpan w:val="2"/>
            <w:tcMar>
              <w:left w:w="57" w:type="dxa"/>
              <w:right w:w="57" w:type="dxa"/>
            </w:tcMar>
            <w:vAlign w:val="center"/>
          </w:tcPr>
          <w:p w14:paraId="4283CD2C">
            <w:pPr>
              <w:spacing w:after="0"/>
              <w:jc w:val="center"/>
              <w:rPr>
                <w:color w:val="auto"/>
                <w:kern w:val="2"/>
                <w:sz w:val="15"/>
                <w:szCs w:val="15"/>
              </w:rPr>
            </w:pPr>
            <w:r>
              <w:rPr>
                <w:b/>
                <w:color w:val="auto"/>
                <w:kern w:val="2"/>
                <w:sz w:val="15"/>
                <w:szCs w:val="15"/>
              </w:rPr>
              <w:t>设计生产能力</w:t>
            </w:r>
          </w:p>
        </w:tc>
        <w:tc>
          <w:tcPr>
            <w:tcW w:w="5396" w:type="dxa"/>
            <w:gridSpan w:val="7"/>
            <w:tcMar>
              <w:left w:w="57" w:type="dxa"/>
              <w:right w:w="57" w:type="dxa"/>
            </w:tcMar>
            <w:vAlign w:val="center"/>
          </w:tcPr>
          <w:p w14:paraId="5562E487">
            <w:pPr>
              <w:spacing w:after="0"/>
              <w:jc w:val="center"/>
              <w:rPr>
                <w:rFonts w:hint="eastAsia" w:eastAsia="微软雅黑"/>
                <w:color w:val="auto"/>
                <w:kern w:val="2"/>
                <w:sz w:val="15"/>
                <w:szCs w:val="15"/>
                <w:lang w:eastAsia="zh-CN"/>
              </w:rPr>
            </w:pPr>
            <w:r>
              <w:rPr>
                <w:rFonts w:hint="eastAsia" w:ascii="Times New Roman" w:hAnsi="Times New Roman" w:cs="Times New Roman"/>
                <w:bCs/>
                <w:color w:val="auto"/>
                <w:kern w:val="2"/>
                <w:sz w:val="15"/>
                <w:szCs w:val="15"/>
              </w:rPr>
              <w:t>塑料</w:t>
            </w:r>
            <w:r>
              <w:rPr>
                <w:rFonts w:hint="eastAsia" w:ascii="Times New Roman" w:hAnsi="Times New Roman" w:cs="Times New Roman"/>
                <w:bCs/>
                <w:color w:val="auto"/>
                <w:kern w:val="2"/>
                <w:sz w:val="15"/>
                <w:szCs w:val="15"/>
                <w:lang w:val="en-US" w:eastAsia="zh-CN"/>
              </w:rPr>
              <w:t>瓶6000万只/</w:t>
            </w:r>
            <w:r>
              <w:rPr>
                <w:rFonts w:hint="eastAsia" w:ascii="Times New Roman" w:hAnsi="Times New Roman" w:cs="Times New Roman"/>
                <w:bCs/>
                <w:color w:val="auto"/>
                <w:kern w:val="2"/>
                <w:sz w:val="15"/>
                <w:szCs w:val="15"/>
              </w:rPr>
              <w:t>年</w:t>
            </w:r>
            <w:r>
              <w:rPr>
                <w:rFonts w:hint="eastAsia" w:ascii="Times New Roman" w:hAnsi="Times New Roman" w:cs="Times New Roman"/>
                <w:bCs/>
                <w:color w:val="auto"/>
                <w:kern w:val="2"/>
                <w:sz w:val="15"/>
                <w:szCs w:val="15"/>
                <w:lang w:eastAsia="zh-CN"/>
              </w:rPr>
              <w:t>（</w:t>
            </w:r>
            <w:r>
              <w:rPr>
                <w:rFonts w:hint="eastAsia" w:ascii="Times New Roman" w:hAnsi="Times New Roman" w:cs="Times New Roman"/>
                <w:bCs/>
                <w:color w:val="auto"/>
                <w:kern w:val="2"/>
                <w:sz w:val="15"/>
                <w:szCs w:val="15"/>
                <w:lang w:val="en-US" w:eastAsia="zh-CN"/>
              </w:rPr>
              <w:t>一期仅建设吹瓶生产线，原料为外购瓶胚</w:t>
            </w:r>
            <w:r>
              <w:rPr>
                <w:rFonts w:hint="eastAsia" w:ascii="Times New Roman" w:hAnsi="Times New Roman" w:cs="Times New Roman"/>
                <w:bCs/>
                <w:color w:val="auto"/>
                <w:kern w:val="2"/>
                <w:sz w:val="15"/>
                <w:szCs w:val="15"/>
                <w:lang w:eastAsia="zh-CN"/>
              </w:rPr>
              <w:t>）</w:t>
            </w:r>
          </w:p>
        </w:tc>
        <w:tc>
          <w:tcPr>
            <w:tcW w:w="2265" w:type="dxa"/>
            <w:gridSpan w:val="2"/>
            <w:tcMar>
              <w:left w:w="57" w:type="dxa"/>
              <w:right w:w="57" w:type="dxa"/>
            </w:tcMar>
            <w:vAlign w:val="center"/>
          </w:tcPr>
          <w:p w14:paraId="4DE5FD30">
            <w:pPr>
              <w:spacing w:after="0" w:line="240" w:lineRule="exact"/>
              <w:jc w:val="center"/>
              <w:rPr>
                <w:color w:val="auto"/>
                <w:kern w:val="2"/>
                <w:sz w:val="15"/>
                <w:szCs w:val="15"/>
              </w:rPr>
            </w:pPr>
            <w:r>
              <w:rPr>
                <w:b/>
                <w:color w:val="auto"/>
                <w:kern w:val="2"/>
                <w:sz w:val="15"/>
                <w:szCs w:val="15"/>
              </w:rPr>
              <w:t>实际生产能力</w:t>
            </w:r>
          </w:p>
        </w:tc>
        <w:tc>
          <w:tcPr>
            <w:tcW w:w="1819" w:type="dxa"/>
            <w:tcMar>
              <w:left w:w="57" w:type="dxa"/>
              <w:right w:w="57" w:type="dxa"/>
            </w:tcMar>
            <w:vAlign w:val="center"/>
          </w:tcPr>
          <w:p w14:paraId="0B2EF4BB">
            <w:pPr>
              <w:spacing w:after="0" w:line="240" w:lineRule="exact"/>
              <w:jc w:val="center"/>
              <w:rPr>
                <w:rFonts w:hint="default" w:eastAsia="微软雅黑"/>
                <w:b/>
                <w:color w:val="auto"/>
                <w:kern w:val="2"/>
                <w:sz w:val="15"/>
                <w:szCs w:val="15"/>
                <w:lang w:val="en-US" w:eastAsia="zh-CN"/>
              </w:rPr>
            </w:pPr>
            <w:r>
              <w:rPr>
                <w:rFonts w:hint="eastAsia" w:ascii="Times New Roman" w:hAnsi="Times New Roman" w:cs="Times New Roman"/>
                <w:bCs/>
                <w:color w:val="auto"/>
                <w:kern w:val="2"/>
                <w:sz w:val="15"/>
                <w:szCs w:val="15"/>
              </w:rPr>
              <w:t>塑料</w:t>
            </w:r>
            <w:r>
              <w:rPr>
                <w:rFonts w:hint="eastAsia" w:ascii="Times New Roman" w:hAnsi="Times New Roman" w:cs="Times New Roman"/>
                <w:bCs/>
                <w:color w:val="auto"/>
                <w:kern w:val="2"/>
                <w:sz w:val="15"/>
                <w:szCs w:val="15"/>
                <w:lang w:val="en-US" w:eastAsia="zh-CN"/>
              </w:rPr>
              <w:t>瓶6000万只/</w:t>
            </w:r>
            <w:r>
              <w:rPr>
                <w:rFonts w:hint="eastAsia" w:ascii="Times New Roman" w:hAnsi="Times New Roman" w:cs="Times New Roman"/>
                <w:bCs/>
                <w:color w:val="auto"/>
                <w:kern w:val="2"/>
                <w:sz w:val="15"/>
                <w:szCs w:val="15"/>
              </w:rPr>
              <w:t>年</w:t>
            </w:r>
            <w:r>
              <w:rPr>
                <w:rFonts w:hint="eastAsia" w:ascii="Times New Roman" w:hAnsi="Times New Roman" w:cs="Times New Roman"/>
                <w:bCs/>
                <w:color w:val="auto"/>
                <w:kern w:val="2"/>
                <w:sz w:val="15"/>
                <w:szCs w:val="15"/>
                <w:lang w:eastAsia="zh-CN"/>
              </w:rPr>
              <w:t>（</w:t>
            </w:r>
            <w:r>
              <w:rPr>
                <w:rFonts w:hint="eastAsia" w:ascii="Times New Roman" w:hAnsi="Times New Roman" w:cs="Times New Roman"/>
                <w:bCs/>
                <w:color w:val="auto"/>
                <w:kern w:val="2"/>
                <w:sz w:val="15"/>
                <w:szCs w:val="15"/>
                <w:lang w:val="en-US" w:eastAsia="zh-CN"/>
              </w:rPr>
              <w:t>一期仅建设吹瓶生产线，原料为外购瓶胚</w:t>
            </w:r>
            <w:r>
              <w:rPr>
                <w:rFonts w:hint="eastAsia" w:ascii="Times New Roman" w:hAnsi="Times New Roman" w:cs="Times New Roman"/>
                <w:bCs/>
                <w:color w:val="auto"/>
                <w:kern w:val="2"/>
                <w:sz w:val="15"/>
                <w:szCs w:val="15"/>
                <w:lang w:eastAsia="zh-CN"/>
              </w:rPr>
              <w:t>）</w:t>
            </w:r>
          </w:p>
        </w:tc>
        <w:tc>
          <w:tcPr>
            <w:tcW w:w="1701" w:type="dxa"/>
            <w:gridSpan w:val="2"/>
            <w:tcMar>
              <w:left w:w="57" w:type="dxa"/>
              <w:right w:w="57" w:type="dxa"/>
            </w:tcMar>
            <w:vAlign w:val="center"/>
          </w:tcPr>
          <w:p w14:paraId="236F58B1">
            <w:pPr>
              <w:spacing w:after="0"/>
              <w:jc w:val="center"/>
              <w:rPr>
                <w:color w:val="auto"/>
                <w:kern w:val="2"/>
                <w:sz w:val="15"/>
                <w:szCs w:val="15"/>
              </w:rPr>
            </w:pPr>
            <w:r>
              <w:rPr>
                <w:b/>
                <w:color w:val="auto"/>
                <w:kern w:val="2"/>
                <w:sz w:val="15"/>
                <w:szCs w:val="15"/>
              </w:rPr>
              <w:t>环评单位</w:t>
            </w:r>
          </w:p>
        </w:tc>
        <w:tc>
          <w:tcPr>
            <w:tcW w:w="2301" w:type="dxa"/>
            <w:gridSpan w:val="3"/>
            <w:tcMar>
              <w:left w:w="57" w:type="dxa"/>
              <w:right w:w="57" w:type="dxa"/>
            </w:tcMar>
            <w:vAlign w:val="center"/>
          </w:tcPr>
          <w:p w14:paraId="01AA3EF8">
            <w:pPr>
              <w:spacing w:after="0"/>
              <w:jc w:val="center"/>
              <w:rPr>
                <w:color w:val="auto"/>
                <w:kern w:val="2"/>
                <w:sz w:val="15"/>
                <w:szCs w:val="15"/>
              </w:rPr>
            </w:pPr>
            <w:r>
              <w:rPr>
                <w:rFonts w:hint="eastAsia"/>
                <w:color w:val="auto"/>
                <w:kern w:val="2"/>
                <w:sz w:val="15"/>
                <w:szCs w:val="15"/>
              </w:rPr>
              <w:t>河南蓝天环境工程有限公司</w:t>
            </w:r>
          </w:p>
        </w:tc>
      </w:tr>
      <w:tr w14:paraId="0D8265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30" w:type="dxa"/>
            <w:vMerge w:val="continue"/>
            <w:tcMar>
              <w:left w:w="57" w:type="dxa"/>
              <w:right w:w="57" w:type="dxa"/>
            </w:tcMar>
            <w:vAlign w:val="center"/>
          </w:tcPr>
          <w:p w14:paraId="221759E1">
            <w:pPr>
              <w:spacing w:after="0"/>
              <w:rPr>
                <w:color w:val="auto"/>
                <w:kern w:val="2"/>
                <w:sz w:val="15"/>
                <w:szCs w:val="15"/>
                <w:highlight w:val="yellow"/>
              </w:rPr>
            </w:pPr>
          </w:p>
        </w:tc>
        <w:tc>
          <w:tcPr>
            <w:tcW w:w="1964" w:type="dxa"/>
            <w:gridSpan w:val="2"/>
            <w:tcMar>
              <w:left w:w="57" w:type="dxa"/>
              <w:right w:w="57" w:type="dxa"/>
            </w:tcMar>
            <w:vAlign w:val="center"/>
          </w:tcPr>
          <w:p w14:paraId="74DFDBC9">
            <w:pPr>
              <w:spacing w:after="0"/>
              <w:jc w:val="center"/>
              <w:rPr>
                <w:color w:val="auto"/>
                <w:kern w:val="2"/>
                <w:sz w:val="15"/>
                <w:szCs w:val="15"/>
              </w:rPr>
            </w:pPr>
            <w:r>
              <w:rPr>
                <w:b/>
                <w:color w:val="auto"/>
                <w:kern w:val="2"/>
                <w:sz w:val="15"/>
                <w:szCs w:val="15"/>
              </w:rPr>
              <w:t>环评文件审批机关</w:t>
            </w:r>
          </w:p>
        </w:tc>
        <w:tc>
          <w:tcPr>
            <w:tcW w:w="5396" w:type="dxa"/>
            <w:gridSpan w:val="7"/>
            <w:tcMar>
              <w:left w:w="57" w:type="dxa"/>
              <w:right w:w="57" w:type="dxa"/>
            </w:tcMar>
            <w:vAlign w:val="center"/>
          </w:tcPr>
          <w:p w14:paraId="4AFFA00F">
            <w:pPr>
              <w:spacing w:after="0"/>
              <w:jc w:val="center"/>
              <w:rPr>
                <w:color w:val="auto"/>
                <w:kern w:val="2"/>
                <w:sz w:val="15"/>
                <w:szCs w:val="15"/>
              </w:rPr>
            </w:pPr>
            <w:r>
              <w:rPr>
                <w:rFonts w:hint="eastAsia"/>
                <w:color w:val="auto"/>
                <w:kern w:val="2"/>
                <w:sz w:val="15"/>
                <w:szCs w:val="15"/>
              </w:rPr>
              <w:t>新乡市生态环境局</w:t>
            </w:r>
          </w:p>
        </w:tc>
        <w:tc>
          <w:tcPr>
            <w:tcW w:w="2265" w:type="dxa"/>
            <w:gridSpan w:val="2"/>
            <w:tcMar>
              <w:left w:w="57" w:type="dxa"/>
              <w:right w:w="57" w:type="dxa"/>
            </w:tcMar>
            <w:vAlign w:val="center"/>
          </w:tcPr>
          <w:p w14:paraId="4BAC4AF9">
            <w:pPr>
              <w:spacing w:after="0"/>
              <w:jc w:val="center"/>
              <w:rPr>
                <w:b/>
                <w:color w:val="auto"/>
                <w:kern w:val="2"/>
                <w:sz w:val="15"/>
                <w:szCs w:val="15"/>
              </w:rPr>
            </w:pPr>
            <w:r>
              <w:rPr>
                <w:b/>
                <w:color w:val="auto"/>
                <w:kern w:val="2"/>
                <w:sz w:val="15"/>
                <w:szCs w:val="15"/>
              </w:rPr>
              <w:t>审批文号</w:t>
            </w:r>
          </w:p>
        </w:tc>
        <w:tc>
          <w:tcPr>
            <w:tcW w:w="1819" w:type="dxa"/>
            <w:tcMar>
              <w:left w:w="57" w:type="dxa"/>
              <w:right w:w="57" w:type="dxa"/>
            </w:tcMar>
            <w:vAlign w:val="center"/>
          </w:tcPr>
          <w:p w14:paraId="2BC4FF09">
            <w:pPr>
              <w:spacing w:after="0"/>
              <w:jc w:val="center"/>
              <w:rPr>
                <w:color w:val="auto"/>
                <w:kern w:val="2"/>
                <w:sz w:val="15"/>
                <w:szCs w:val="15"/>
              </w:rPr>
            </w:pPr>
            <w:r>
              <w:rPr>
                <w:rFonts w:hint="default" w:ascii="Times New Roman" w:hAnsi="Times New Roman" w:cs="Times New Roman"/>
                <w:color w:val="auto"/>
                <w:kern w:val="2"/>
                <w:sz w:val="15"/>
                <w:szCs w:val="15"/>
                <w:lang w:val="en-US" w:eastAsia="zh-CN"/>
              </w:rPr>
              <w:t>新环表</w:t>
            </w:r>
            <w:r>
              <w:rPr>
                <w:rFonts w:hint="default" w:ascii="Times New Roman" w:hAnsi="Times New Roman" w:cs="Times New Roman"/>
                <w:color w:val="auto"/>
                <w:kern w:val="2"/>
                <w:sz w:val="15"/>
                <w:szCs w:val="15"/>
              </w:rPr>
              <w:t>审[202</w:t>
            </w:r>
            <w:r>
              <w:rPr>
                <w:rFonts w:hint="default" w:ascii="Times New Roman" w:hAnsi="Times New Roman" w:cs="Times New Roman"/>
                <w:color w:val="auto"/>
                <w:kern w:val="2"/>
                <w:sz w:val="15"/>
                <w:szCs w:val="15"/>
                <w:lang w:val="en-US" w:eastAsia="zh-CN"/>
              </w:rPr>
              <w:t>6</w:t>
            </w:r>
            <w:r>
              <w:rPr>
                <w:rFonts w:hint="default" w:ascii="Times New Roman" w:hAnsi="Times New Roman" w:cs="Times New Roman"/>
                <w:color w:val="auto"/>
                <w:kern w:val="2"/>
                <w:sz w:val="15"/>
                <w:szCs w:val="15"/>
              </w:rPr>
              <w:t>]</w:t>
            </w:r>
            <w:r>
              <w:rPr>
                <w:rFonts w:hint="default" w:ascii="Times New Roman" w:hAnsi="Times New Roman" w:cs="Times New Roman"/>
                <w:color w:val="auto"/>
                <w:kern w:val="2"/>
                <w:sz w:val="15"/>
                <w:szCs w:val="15"/>
                <w:lang w:val="en-US" w:eastAsia="zh-CN"/>
              </w:rPr>
              <w:t>22</w:t>
            </w:r>
            <w:r>
              <w:rPr>
                <w:rFonts w:hint="default" w:ascii="Times New Roman" w:hAnsi="Times New Roman" w:cs="Times New Roman"/>
                <w:color w:val="auto"/>
                <w:kern w:val="2"/>
                <w:sz w:val="15"/>
                <w:szCs w:val="15"/>
              </w:rPr>
              <w:t>号</w:t>
            </w:r>
          </w:p>
        </w:tc>
        <w:tc>
          <w:tcPr>
            <w:tcW w:w="1701" w:type="dxa"/>
            <w:gridSpan w:val="2"/>
            <w:tcMar>
              <w:left w:w="57" w:type="dxa"/>
              <w:right w:w="57" w:type="dxa"/>
            </w:tcMar>
            <w:vAlign w:val="center"/>
          </w:tcPr>
          <w:p w14:paraId="3F78C82C">
            <w:pPr>
              <w:spacing w:after="0"/>
              <w:jc w:val="center"/>
              <w:rPr>
                <w:b/>
                <w:color w:val="auto"/>
                <w:kern w:val="2"/>
                <w:sz w:val="15"/>
                <w:szCs w:val="15"/>
              </w:rPr>
            </w:pPr>
            <w:r>
              <w:rPr>
                <w:b/>
                <w:color w:val="auto"/>
                <w:kern w:val="2"/>
                <w:sz w:val="15"/>
                <w:szCs w:val="15"/>
              </w:rPr>
              <w:t>环评文件类型</w:t>
            </w:r>
          </w:p>
        </w:tc>
        <w:tc>
          <w:tcPr>
            <w:tcW w:w="2301" w:type="dxa"/>
            <w:gridSpan w:val="3"/>
            <w:tcMar>
              <w:left w:w="57" w:type="dxa"/>
              <w:right w:w="57" w:type="dxa"/>
            </w:tcMar>
            <w:vAlign w:val="center"/>
          </w:tcPr>
          <w:p w14:paraId="17A419E7">
            <w:pPr>
              <w:spacing w:after="0"/>
              <w:jc w:val="center"/>
              <w:rPr>
                <w:color w:val="auto"/>
                <w:kern w:val="2"/>
                <w:sz w:val="15"/>
                <w:szCs w:val="15"/>
              </w:rPr>
            </w:pPr>
            <w:r>
              <w:rPr>
                <w:color w:val="auto"/>
                <w:kern w:val="2"/>
                <w:sz w:val="15"/>
                <w:szCs w:val="15"/>
              </w:rPr>
              <w:t>环境影响评价报告表</w:t>
            </w:r>
          </w:p>
        </w:tc>
      </w:tr>
      <w:tr w14:paraId="41C105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30" w:type="dxa"/>
            <w:vMerge w:val="continue"/>
            <w:tcMar>
              <w:left w:w="57" w:type="dxa"/>
              <w:right w:w="57" w:type="dxa"/>
            </w:tcMar>
            <w:vAlign w:val="center"/>
          </w:tcPr>
          <w:p w14:paraId="5E71046E">
            <w:pPr>
              <w:spacing w:after="0"/>
              <w:rPr>
                <w:color w:val="auto"/>
                <w:kern w:val="2"/>
                <w:sz w:val="15"/>
                <w:szCs w:val="15"/>
                <w:highlight w:val="yellow"/>
              </w:rPr>
            </w:pPr>
          </w:p>
        </w:tc>
        <w:tc>
          <w:tcPr>
            <w:tcW w:w="1964" w:type="dxa"/>
            <w:gridSpan w:val="2"/>
            <w:tcMar>
              <w:left w:w="57" w:type="dxa"/>
              <w:right w:w="57" w:type="dxa"/>
            </w:tcMar>
            <w:vAlign w:val="center"/>
          </w:tcPr>
          <w:p w14:paraId="30C3E4ED">
            <w:pPr>
              <w:spacing w:after="0"/>
              <w:jc w:val="center"/>
              <w:rPr>
                <w:color w:val="auto"/>
                <w:kern w:val="2"/>
                <w:sz w:val="15"/>
                <w:szCs w:val="15"/>
              </w:rPr>
            </w:pPr>
            <w:r>
              <w:rPr>
                <w:b/>
                <w:color w:val="auto"/>
                <w:kern w:val="2"/>
                <w:sz w:val="15"/>
                <w:szCs w:val="15"/>
              </w:rPr>
              <w:t>开工日期</w:t>
            </w:r>
          </w:p>
        </w:tc>
        <w:tc>
          <w:tcPr>
            <w:tcW w:w="5396" w:type="dxa"/>
            <w:gridSpan w:val="7"/>
            <w:tcMar>
              <w:left w:w="57" w:type="dxa"/>
              <w:right w:w="57" w:type="dxa"/>
            </w:tcMar>
            <w:vAlign w:val="center"/>
          </w:tcPr>
          <w:p w14:paraId="66322054">
            <w:pPr>
              <w:spacing w:after="0"/>
              <w:jc w:val="center"/>
              <w:rPr>
                <w:rFonts w:hint="default" w:eastAsia="微软雅黑"/>
                <w:color w:val="auto"/>
                <w:kern w:val="2"/>
                <w:sz w:val="15"/>
                <w:szCs w:val="15"/>
                <w:lang w:val="en-US" w:eastAsia="zh-CN"/>
              </w:rPr>
            </w:pPr>
            <w:r>
              <w:rPr>
                <w:rFonts w:hint="eastAsia"/>
                <w:color w:val="auto"/>
                <w:kern w:val="2"/>
                <w:sz w:val="15"/>
                <w:szCs w:val="15"/>
                <w:lang w:val="en-US" w:eastAsia="zh-CN"/>
              </w:rPr>
              <w:t>2026.3.1</w:t>
            </w:r>
          </w:p>
        </w:tc>
        <w:tc>
          <w:tcPr>
            <w:tcW w:w="2265" w:type="dxa"/>
            <w:gridSpan w:val="2"/>
            <w:tcMar>
              <w:left w:w="57" w:type="dxa"/>
              <w:right w:w="57" w:type="dxa"/>
            </w:tcMar>
            <w:vAlign w:val="center"/>
          </w:tcPr>
          <w:p w14:paraId="2C0F1441">
            <w:pPr>
              <w:spacing w:after="0"/>
              <w:jc w:val="center"/>
              <w:rPr>
                <w:b/>
                <w:color w:val="auto"/>
                <w:kern w:val="2"/>
                <w:sz w:val="15"/>
                <w:szCs w:val="15"/>
              </w:rPr>
            </w:pPr>
            <w:r>
              <w:rPr>
                <w:b/>
                <w:color w:val="auto"/>
                <w:kern w:val="2"/>
                <w:sz w:val="15"/>
                <w:szCs w:val="15"/>
              </w:rPr>
              <w:t>竣工日期</w:t>
            </w:r>
          </w:p>
        </w:tc>
        <w:tc>
          <w:tcPr>
            <w:tcW w:w="1819" w:type="dxa"/>
            <w:tcMar>
              <w:left w:w="57" w:type="dxa"/>
              <w:right w:w="57" w:type="dxa"/>
            </w:tcMar>
            <w:vAlign w:val="center"/>
          </w:tcPr>
          <w:p w14:paraId="5988BE01">
            <w:pPr>
              <w:spacing w:after="0"/>
              <w:jc w:val="center"/>
              <w:rPr>
                <w:rFonts w:hint="default" w:eastAsia="微软雅黑"/>
                <w:color w:val="auto"/>
                <w:kern w:val="2"/>
                <w:sz w:val="15"/>
                <w:szCs w:val="15"/>
                <w:lang w:val="en-US" w:eastAsia="zh-CN"/>
              </w:rPr>
            </w:pPr>
            <w:r>
              <w:rPr>
                <w:rFonts w:hint="eastAsia"/>
                <w:color w:val="auto"/>
                <w:kern w:val="2"/>
                <w:sz w:val="15"/>
                <w:szCs w:val="15"/>
                <w:lang w:val="en-US" w:eastAsia="zh-CN"/>
              </w:rPr>
              <w:t>2026.4.27</w:t>
            </w:r>
          </w:p>
        </w:tc>
        <w:tc>
          <w:tcPr>
            <w:tcW w:w="1701" w:type="dxa"/>
            <w:gridSpan w:val="2"/>
            <w:tcMar>
              <w:left w:w="57" w:type="dxa"/>
              <w:right w:w="57" w:type="dxa"/>
            </w:tcMar>
            <w:vAlign w:val="center"/>
          </w:tcPr>
          <w:p w14:paraId="6DEE15A3">
            <w:pPr>
              <w:spacing w:after="0"/>
              <w:jc w:val="center"/>
              <w:rPr>
                <w:b/>
                <w:color w:val="auto"/>
                <w:kern w:val="2"/>
                <w:sz w:val="15"/>
                <w:szCs w:val="15"/>
              </w:rPr>
            </w:pPr>
            <w:r>
              <w:rPr>
                <w:b/>
                <w:color w:val="auto"/>
                <w:kern w:val="2"/>
                <w:sz w:val="15"/>
                <w:szCs w:val="15"/>
              </w:rPr>
              <w:t>排污许可证</w:t>
            </w:r>
            <w:r>
              <w:rPr>
                <w:rFonts w:hint="eastAsia"/>
                <w:b/>
                <w:color w:val="auto"/>
                <w:kern w:val="2"/>
                <w:sz w:val="15"/>
                <w:szCs w:val="15"/>
                <w:lang w:val="en-US" w:eastAsia="zh-CN"/>
              </w:rPr>
              <w:t>首次</w:t>
            </w:r>
            <w:r>
              <w:rPr>
                <w:b/>
                <w:color w:val="auto"/>
                <w:kern w:val="2"/>
                <w:sz w:val="15"/>
                <w:szCs w:val="15"/>
              </w:rPr>
              <w:t>申领时间</w:t>
            </w:r>
          </w:p>
        </w:tc>
        <w:tc>
          <w:tcPr>
            <w:tcW w:w="2301" w:type="dxa"/>
            <w:gridSpan w:val="3"/>
            <w:tcMar>
              <w:left w:w="57" w:type="dxa"/>
              <w:right w:w="57" w:type="dxa"/>
            </w:tcMar>
            <w:vAlign w:val="center"/>
          </w:tcPr>
          <w:p w14:paraId="61C0EFEB">
            <w:pPr>
              <w:spacing w:after="0"/>
              <w:jc w:val="center"/>
              <w:rPr>
                <w:rFonts w:hint="default" w:eastAsia="微软雅黑"/>
                <w:color w:val="auto"/>
                <w:kern w:val="2"/>
                <w:sz w:val="15"/>
                <w:szCs w:val="15"/>
                <w:lang w:val="en-US" w:eastAsia="zh-CN"/>
              </w:rPr>
            </w:pPr>
            <w:r>
              <w:rPr>
                <w:rFonts w:hint="eastAsia"/>
                <w:color w:val="auto"/>
                <w:kern w:val="2"/>
                <w:sz w:val="15"/>
                <w:szCs w:val="15"/>
                <w:lang w:val="en-US" w:eastAsia="zh-CN"/>
              </w:rPr>
              <w:t>2026.4.29</w:t>
            </w:r>
          </w:p>
        </w:tc>
      </w:tr>
      <w:tr w14:paraId="4B120D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30" w:type="dxa"/>
            <w:vMerge w:val="continue"/>
            <w:tcMar>
              <w:left w:w="57" w:type="dxa"/>
              <w:right w:w="57" w:type="dxa"/>
            </w:tcMar>
            <w:vAlign w:val="center"/>
          </w:tcPr>
          <w:p w14:paraId="24F08463">
            <w:pPr>
              <w:spacing w:after="0"/>
              <w:rPr>
                <w:color w:val="auto"/>
                <w:kern w:val="2"/>
                <w:sz w:val="15"/>
                <w:szCs w:val="15"/>
                <w:highlight w:val="yellow"/>
              </w:rPr>
            </w:pPr>
          </w:p>
        </w:tc>
        <w:tc>
          <w:tcPr>
            <w:tcW w:w="1964" w:type="dxa"/>
            <w:gridSpan w:val="2"/>
            <w:tcMar>
              <w:left w:w="57" w:type="dxa"/>
              <w:right w:w="57" w:type="dxa"/>
            </w:tcMar>
            <w:vAlign w:val="center"/>
          </w:tcPr>
          <w:p w14:paraId="3A13992A">
            <w:pPr>
              <w:spacing w:after="0"/>
              <w:jc w:val="center"/>
              <w:rPr>
                <w:color w:val="auto"/>
                <w:kern w:val="2"/>
                <w:sz w:val="15"/>
                <w:szCs w:val="15"/>
              </w:rPr>
            </w:pPr>
            <w:r>
              <w:rPr>
                <w:b/>
                <w:color w:val="auto"/>
                <w:kern w:val="2"/>
                <w:sz w:val="15"/>
                <w:szCs w:val="15"/>
              </w:rPr>
              <w:t>环保设施设计单位</w:t>
            </w:r>
          </w:p>
        </w:tc>
        <w:tc>
          <w:tcPr>
            <w:tcW w:w="5396" w:type="dxa"/>
            <w:gridSpan w:val="7"/>
            <w:tcMar>
              <w:left w:w="57" w:type="dxa"/>
              <w:right w:w="57" w:type="dxa"/>
            </w:tcMar>
            <w:vAlign w:val="center"/>
          </w:tcPr>
          <w:p w14:paraId="1CE7B9E0">
            <w:pPr>
              <w:spacing w:after="0"/>
              <w:jc w:val="center"/>
              <w:rPr>
                <w:b/>
                <w:color w:val="auto"/>
                <w:sz w:val="15"/>
                <w:szCs w:val="15"/>
              </w:rPr>
            </w:pPr>
            <w:r>
              <w:rPr>
                <w:rFonts w:hint="eastAsia" w:ascii="Times New Roman" w:hAnsi="Times New Roman" w:cs="Times New Roman"/>
                <w:color w:val="auto"/>
                <w:kern w:val="2"/>
                <w:sz w:val="15"/>
                <w:szCs w:val="15"/>
              </w:rPr>
              <w:t>河南垚兴环境科技有限公司</w:t>
            </w:r>
          </w:p>
        </w:tc>
        <w:tc>
          <w:tcPr>
            <w:tcW w:w="2265" w:type="dxa"/>
            <w:gridSpan w:val="2"/>
            <w:tcMar>
              <w:left w:w="57" w:type="dxa"/>
              <w:right w:w="57" w:type="dxa"/>
            </w:tcMar>
            <w:vAlign w:val="center"/>
          </w:tcPr>
          <w:p w14:paraId="00D28325">
            <w:pPr>
              <w:spacing w:after="0"/>
              <w:jc w:val="center"/>
              <w:rPr>
                <w:b/>
                <w:color w:val="auto"/>
                <w:sz w:val="15"/>
                <w:szCs w:val="15"/>
              </w:rPr>
            </w:pPr>
            <w:r>
              <w:rPr>
                <w:b/>
                <w:color w:val="auto"/>
                <w:sz w:val="15"/>
                <w:szCs w:val="15"/>
              </w:rPr>
              <w:t>环保设施施工单位</w:t>
            </w:r>
          </w:p>
        </w:tc>
        <w:tc>
          <w:tcPr>
            <w:tcW w:w="1819" w:type="dxa"/>
            <w:tcMar>
              <w:left w:w="57" w:type="dxa"/>
              <w:right w:w="57" w:type="dxa"/>
            </w:tcMar>
            <w:vAlign w:val="center"/>
          </w:tcPr>
          <w:p w14:paraId="26FDE1D5">
            <w:pPr>
              <w:spacing w:after="0"/>
              <w:jc w:val="center"/>
              <w:rPr>
                <w:color w:val="auto"/>
                <w:kern w:val="2"/>
                <w:sz w:val="15"/>
                <w:szCs w:val="15"/>
              </w:rPr>
            </w:pPr>
            <w:r>
              <w:rPr>
                <w:rFonts w:hint="eastAsia" w:ascii="Times New Roman" w:hAnsi="Times New Roman" w:cs="Times New Roman"/>
                <w:color w:val="auto"/>
                <w:kern w:val="2"/>
                <w:sz w:val="15"/>
                <w:szCs w:val="15"/>
              </w:rPr>
              <w:t>河南垚兴环境科技有限公司</w:t>
            </w:r>
          </w:p>
        </w:tc>
        <w:tc>
          <w:tcPr>
            <w:tcW w:w="1701" w:type="dxa"/>
            <w:gridSpan w:val="2"/>
            <w:tcMar>
              <w:left w:w="57" w:type="dxa"/>
              <w:right w:w="57" w:type="dxa"/>
            </w:tcMar>
            <w:vAlign w:val="center"/>
          </w:tcPr>
          <w:p w14:paraId="74CD757A">
            <w:pPr>
              <w:spacing w:after="0"/>
              <w:jc w:val="center"/>
              <w:rPr>
                <w:b/>
                <w:color w:val="auto"/>
                <w:kern w:val="2"/>
                <w:sz w:val="15"/>
                <w:szCs w:val="15"/>
              </w:rPr>
            </w:pPr>
            <w:r>
              <w:rPr>
                <w:b/>
                <w:color w:val="auto"/>
                <w:kern w:val="2"/>
                <w:sz w:val="15"/>
                <w:szCs w:val="15"/>
              </w:rPr>
              <w:t>本工程排污许可证编号</w:t>
            </w:r>
          </w:p>
        </w:tc>
        <w:tc>
          <w:tcPr>
            <w:tcW w:w="2301" w:type="dxa"/>
            <w:gridSpan w:val="3"/>
            <w:tcMar>
              <w:left w:w="57" w:type="dxa"/>
              <w:right w:w="57" w:type="dxa"/>
            </w:tcMar>
            <w:vAlign w:val="center"/>
          </w:tcPr>
          <w:p w14:paraId="0920D182">
            <w:pPr>
              <w:spacing w:after="0"/>
              <w:jc w:val="center"/>
              <w:rPr>
                <w:color w:val="auto"/>
                <w:kern w:val="2"/>
                <w:sz w:val="15"/>
                <w:szCs w:val="15"/>
              </w:rPr>
            </w:pPr>
            <w:r>
              <w:rPr>
                <w:rFonts w:hint="default" w:ascii="Times New Roman" w:hAnsi="Times New Roman" w:cs="Times New Roman"/>
                <w:color w:val="auto"/>
                <w:kern w:val="2"/>
                <w:sz w:val="15"/>
                <w:szCs w:val="15"/>
                <w:lang w:val="en-US" w:eastAsia="zh-CN"/>
              </w:rPr>
              <w:t>91410726MAEPXFEEX6001W</w:t>
            </w:r>
          </w:p>
        </w:tc>
      </w:tr>
      <w:tr w14:paraId="75294E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30" w:type="dxa"/>
            <w:vMerge w:val="continue"/>
            <w:tcMar>
              <w:left w:w="57" w:type="dxa"/>
              <w:right w:w="57" w:type="dxa"/>
            </w:tcMar>
            <w:vAlign w:val="center"/>
          </w:tcPr>
          <w:p w14:paraId="0EA13261">
            <w:pPr>
              <w:spacing w:after="0"/>
              <w:rPr>
                <w:color w:val="auto"/>
                <w:kern w:val="2"/>
                <w:sz w:val="15"/>
                <w:szCs w:val="15"/>
                <w:highlight w:val="yellow"/>
              </w:rPr>
            </w:pPr>
          </w:p>
        </w:tc>
        <w:tc>
          <w:tcPr>
            <w:tcW w:w="1964" w:type="dxa"/>
            <w:gridSpan w:val="2"/>
            <w:tcMar>
              <w:left w:w="57" w:type="dxa"/>
              <w:right w:w="57" w:type="dxa"/>
            </w:tcMar>
            <w:vAlign w:val="center"/>
          </w:tcPr>
          <w:p w14:paraId="59166DC2">
            <w:pPr>
              <w:spacing w:after="0"/>
              <w:jc w:val="center"/>
              <w:rPr>
                <w:color w:val="auto"/>
                <w:kern w:val="2"/>
                <w:sz w:val="15"/>
                <w:szCs w:val="15"/>
              </w:rPr>
            </w:pPr>
            <w:r>
              <w:rPr>
                <w:b/>
                <w:color w:val="auto"/>
                <w:kern w:val="2"/>
                <w:sz w:val="15"/>
                <w:szCs w:val="15"/>
              </w:rPr>
              <w:t>验收单位</w:t>
            </w:r>
          </w:p>
        </w:tc>
        <w:tc>
          <w:tcPr>
            <w:tcW w:w="5396" w:type="dxa"/>
            <w:gridSpan w:val="7"/>
            <w:tcMar>
              <w:left w:w="57" w:type="dxa"/>
              <w:right w:w="57" w:type="dxa"/>
            </w:tcMar>
            <w:vAlign w:val="center"/>
          </w:tcPr>
          <w:p w14:paraId="4C7D7FFF">
            <w:pPr>
              <w:spacing w:after="0"/>
              <w:jc w:val="center"/>
              <w:rPr>
                <w:color w:val="auto"/>
                <w:kern w:val="2"/>
                <w:sz w:val="15"/>
                <w:szCs w:val="15"/>
              </w:rPr>
            </w:pPr>
            <w:r>
              <w:rPr>
                <w:rFonts w:hint="eastAsia" w:ascii="Times New Roman" w:hAnsi="Times New Roman" w:cs="Times New Roman"/>
                <w:color w:val="auto"/>
                <w:kern w:val="2"/>
                <w:sz w:val="15"/>
                <w:szCs w:val="15"/>
              </w:rPr>
              <w:t>河南</w:t>
            </w:r>
            <w:r>
              <w:rPr>
                <w:rFonts w:hint="eastAsia" w:ascii="Times New Roman" w:hAnsi="Times New Roman" w:cs="Times New Roman"/>
                <w:color w:val="auto"/>
                <w:kern w:val="2"/>
                <w:sz w:val="15"/>
                <w:szCs w:val="15"/>
                <w:lang w:val="en-US" w:eastAsia="zh-CN"/>
              </w:rPr>
              <w:t>省养乐奇生物科技有限责任公司</w:t>
            </w:r>
          </w:p>
        </w:tc>
        <w:tc>
          <w:tcPr>
            <w:tcW w:w="2265" w:type="dxa"/>
            <w:gridSpan w:val="2"/>
            <w:tcMar>
              <w:left w:w="57" w:type="dxa"/>
              <w:right w:w="57" w:type="dxa"/>
            </w:tcMar>
            <w:vAlign w:val="center"/>
          </w:tcPr>
          <w:p w14:paraId="05A42F49">
            <w:pPr>
              <w:spacing w:after="0"/>
              <w:jc w:val="center"/>
              <w:rPr>
                <w:b/>
                <w:color w:val="auto"/>
                <w:kern w:val="2"/>
                <w:sz w:val="15"/>
                <w:szCs w:val="15"/>
              </w:rPr>
            </w:pPr>
            <w:r>
              <w:rPr>
                <w:b/>
                <w:color w:val="auto"/>
                <w:kern w:val="2"/>
                <w:sz w:val="15"/>
                <w:szCs w:val="15"/>
              </w:rPr>
              <w:t>环保设施监测单位</w:t>
            </w:r>
          </w:p>
        </w:tc>
        <w:tc>
          <w:tcPr>
            <w:tcW w:w="1819" w:type="dxa"/>
            <w:tcMar>
              <w:left w:w="57" w:type="dxa"/>
              <w:right w:w="57" w:type="dxa"/>
            </w:tcMar>
            <w:vAlign w:val="center"/>
          </w:tcPr>
          <w:p w14:paraId="06B6A83D">
            <w:pPr>
              <w:spacing w:after="0"/>
              <w:jc w:val="center"/>
              <w:rPr>
                <w:color w:val="auto"/>
                <w:kern w:val="2"/>
                <w:sz w:val="15"/>
                <w:szCs w:val="15"/>
              </w:rPr>
            </w:pPr>
            <w:r>
              <w:rPr>
                <w:rFonts w:hint="default" w:ascii="Times New Roman" w:hAnsi="Times New Roman" w:cs="Times New Roman"/>
                <w:color w:val="auto"/>
                <w:kern w:val="2"/>
                <w:sz w:val="15"/>
                <w:szCs w:val="15"/>
                <w:lang w:val="en-US" w:eastAsia="zh-CN"/>
              </w:rPr>
              <w:t>河南环碳检测技术有限公司</w:t>
            </w:r>
          </w:p>
        </w:tc>
        <w:tc>
          <w:tcPr>
            <w:tcW w:w="1701" w:type="dxa"/>
            <w:gridSpan w:val="2"/>
            <w:tcMar>
              <w:left w:w="57" w:type="dxa"/>
              <w:right w:w="57" w:type="dxa"/>
            </w:tcMar>
            <w:vAlign w:val="center"/>
          </w:tcPr>
          <w:p w14:paraId="2860DFCA">
            <w:pPr>
              <w:spacing w:after="0"/>
              <w:jc w:val="center"/>
              <w:rPr>
                <w:b/>
                <w:color w:val="auto"/>
                <w:kern w:val="2"/>
                <w:sz w:val="15"/>
                <w:szCs w:val="15"/>
              </w:rPr>
            </w:pPr>
            <w:r>
              <w:rPr>
                <w:b/>
                <w:color w:val="auto"/>
                <w:kern w:val="2"/>
                <w:sz w:val="15"/>
                <w:szCs w:val="15"/>
              </w:rPr>
              <w:t>验收监测时工况</w:t>
            </w:r>
          </w:p>
        </w:tc>
        <w:tc>
          <w:tcPr>
            <w:tcW w:w="2301" w:type="dxa"/>
            <w:gridSpan w:val="3"/>
            <w:tcMar>
              <w:left w:w="57" w:type="dxa"/>
              <w:right w:w="57" w:type="dxa"/>
            </w:tcMar>
            <w:vAlign w:val="center"/>
          </w:tcPr>
          <w:p w14:paraId="277601A1">
            <w:pPr>
              <w:spacing w:after="0"/>
              <w:jc w:val="center"/>
              <w:rPr>
                <w:color w:val="auto"/>
                <w:kern w:val="2"/>
                <w:sz w:val="15"/>
                <w:szCs w:val="15"/>
              </w:rPr>
            </w:pPr>
            <w:r>
              <w:rPr>
                <w:color w:val="auto"/>
                <w:kern w:val="2"/>
                <w:sz w:val="15"/>
                <w:szCs w:val="15"/>
              </w:rPr>
              <w:t>8</w:t>
            </w:r>
            <w:r>
              <w:rPr>
                <w:rFonts w:hint="eastAsia"/>
                <w:color w:val="auto"/>
                <w:kern w:val="2"/>
                <w:sz w:val="15"/>
                <w:szCs w:val="15"/>
                <w:lang w:val="en-US" w:eastAsia="zh-CN"/>
              </w:rPr>
              <w:t>0</w:t>
            </w:r>
            <w:r>
              <w:rPr>
                <w:color w:val="auto"/>
                <w:kern w:val="2"/>
                <w:sz w:val="15"/>
                <w:szCs w:val="15"/>
              </w:rPr>
              <w:t>~8</w:t>
            </w:r>
            <w:r>
              <w:rPr>
                <w:rFonts w:hint="eastAsia"/>
                <w:color w:val="auto"/>
                <w:kern w:val="2"/>
                <w:sz w:val="15"/>
                <w:szCs w:val="15"/>
                <w:lang w:val="en-US" w:eastAsia="zh-CN"/>
              </w:rPr>
              <w:t>5</w:t>
            </w:r>
            <w:r>
              <w:rPr>
                <w:color w:val="auto"/>
                <w:kern w:val="2"/>
                <w:sz w:val="15"/>
                <w:szCs w:val="15"/>
              </w:rPr>
              <w:t>%</w:t>
            </w:r>
          </w:p>
        </w:tc>
      </w:tr>
      <w:tr w14:paraId="72FEF0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30" w:type="dxa"/>
            <w:vMerge w:val="continue"/>
            <w:tcMar>
              <w:left w:w="57" w:type="dxa"/>
              <w:right w:w="57" w:type="dxa"/>
            </w:tcMar>
            <w:vAlign w:val="center"/>
          </w:tcPr>
          <w:p w14:paraId="4CBA9230">
            <w:pPr>
              <w:spacing w:after="0"/>
              <w:rPr>
                <w:color w:val="auto"/>
                <w:kern w:val="2"/>
                <w:sz w:val="15"/>
                <w:szCs w:val="15"/>
                <w:highlight w:val="yellow"/>
              </w:rPr>
            </w:pPr>
          </w:p>
        </w:tc>
        <w:tc>
          <w:tcPr>
            <w:tcW w:w="1964" w:type="dxa"/>
            <w:gridSpan w:val="2"/>
            <w:tcMar>
              <w:left w:w="57" w:type="dxa"/>
              <w:right w:w="57" w:type="dxa"/>
            </w:tcMar>
            <w:vAlign w:val="center"/>
          </w:tcPr>
          <w:p w14:paraId="2C8726A9">
            <w:pPr>
              <w:spacing w:after="0"/>
              <w:jc w:val="center"/>
              <w:rPr>
                <w:color w:val="auto"/>
                <w:kern w:val="2"/>
                <w:sz w:val="15"/>
                <w:szCs w:val="15"/>
              </w:rPr>
            </w:pPr>
            <w:r>
              <w:rPr>
                <w:b/>
                <w:color w:val="auto"/>
                <w:kern w:val="2"/>
                <w:sz w:val="15"/>
                <w:szCs w:val="15"/>
              </w:rPr>
              <w:t>投资总概算（万元）</w:t>
            </w:r>
          </w:p>
        </w:tc>
        <w:tc>
          <w:tcPr>
            <w:tcW w:w="5396" w:type="dxa"/>
            <w:gridSpan w:val="7"/>
            <w:tcMar>
              <w:left w:w="57" w:type="dxa"/>
              <w:right w:w="57" w:type="dxa"/>
            </w:tcMar>
            <w:vAlign w:val="center"/>
          </w:tcPr>
          <w:p w14:paraId="57E2F876">
            <w:pPr>
              <w:spacing w:after="0"/>
              <w:jc w:val="center"/>
              <w:rPr>
                <w:color w:val="auto"/>
                <w:kern w:val="2"/>
                <w:sz w:val="15"/>
                <w:szCs w:val="15"/>
              </w:rPr>
            </w:pPr>
            <w:r>
              <w:rPr>
                <w:rFonts w:hint="eastAsia"/>
                <w:color w:val="auto"/>
                <w:kern w:val="2"/>
                <w:sz w:val="15"/>
                <w:szCs w:val="15"/>
                <w:lang w:val="en-US" w:eastAsia="zh-CN"/>
              </w:rPr>
              <w:t>1000</w:t>
            </w:r>
            <w:r>
              <w:rPr>
                <w:rFonts w:hint="eastAsia"/>
                <w:bCs/>
                <w:color w:val="auto"/>
                <w:kern w:val="2"/>
                <w:sz w:val="15"/>
                <w:szCs w:val="15"/>
                <w:lang w:eastAsia="zh-CN"/>
              </w:rPr>
              <w:t>（</w:t>
            </w:r>
            <w:r>
              <w:rPr>
                <w:rFonts w:hint="eastAsia"/>
                <w:bCs/>
                <w:color w:val="auto"/>
                <w:kern w:val="2"/>
                <w:sz w:val="15"/>
                <w:szCs w:val="15"/>
                <w:lang w:val="en-US" w:eastAsia="zh-CN"/>
              </w:rPr>
              <w:t>全厂</w:t>
            </w:r>
            <w:r>
              <w:rPr>
                <w:rFonts w:hint="eastAsia"/>
                <w:bCs/>
                <w:color w:val="auto"/>
                <w:kern w:val="2"/>
                <w:sz w:val="15"/>
                <w:szCs w:val="15"/>
                <w:lang w:eastAsia="zh-CN"/>
              </w:rPr>
              <w:t>）</w:t>
            </w:r>
          </w:p>
        </w:tc>
        <w:tc>
          <w:tcPr>
            <w:tcW w:w="2265" w:type="dxa"/>
            <w:gridSpan w:val="2"/>
            <w:tcMar>
              <w:left w:w="57" w:type="dxa"/>
              <w:right w:w="57" w:type="dxa"/>
            </w:tcMar>
            <w:vAlign w:val="center"/>
          </w:tcPr>
          <w:p w14:paraId="3962A341">
            <w:pPr>
              <w:tabs>
                <w:tab w:val="left" w:pos="690"/>
              </w:tabs>
              <w:spacing w:after="0"/>
              <w:jc w:val="center"/>
              <w:rPr>
                <w:color w:val="auto"/>
                <w:kern w:val="2"/>
                <w:sz w:val="15"/>
                <w:szCs w:val="15"/>
              </w:rPr>
            </w:pPr>
            <w:r>
              <w:rPr>
                <w:b/>
                <w:color w:val="auto"/>
                <w:kern w:val="2"/>
                <w:sz w:val="15"/>
                <w:szCs w:val="15"/>
              </w:rPr>
              <w:t>环保投资总概算（万元）</w:t>
            </w:r>
          </w:p>
        </w:tc>
        <w:tc>
          <w:tcPr>
            <w:tcW w:w="1819" w:type="dxa"/>
            <w:tcMar>
              <w:left w:w="57" w:type="dxa"/>
              <w:right w:w="57" w:type="dxa"/>
            </w:tcMar>
            <w:vAlign w:val="center"/>
          </w:tcPr>
          <w:p w14:paraId="181DCD08">
            <w:pPr>
              <w:spacing w:after="0"/>
              <w:jc w:val="center"/>
              <w:rPr>
                <w:color w:val="auto"/>
                <w:kern w:val="2"/>
                <w:sz w:val="15"/>
                <w:szCs w:val="15"/>
              </w:rPr>
            </w:pPr>
            <w:r>
              <w:rPr>
                <w:rFonts w:hint="eastAsia"/>
                <w:color w:val="auto"/>
                <w:kern w:val="2"/>
                <w:sz w:val="15"/>
                <w:szCs w:val="15"/>
                <w:lang w:val="en-US" w:eastAsia="zh-CN"/>
              </w:rPr>
              <w:t>30（</w:t>
            </w:r>
            <w:r>
              <w:rPr>
                <w:rFonts w:hint="eastAsia"/>
                <w:bCs/>
                <w:color w:val="auto"/>
                <w:kern w:val="2"/>
                <w:sz w:val="15"/>
                <w:szCs w:val="15"/>
                <w:lang w:val="en-US" w:eastAsia="zh-CN"/>
              </w:rPr>
              <w:t>全厂</w:t>
            </w:r>
            <w:r>
              <w:rPr>
                <w:rFonts w:hint="eastAsia"/>
                <w:bCs/>
                <w:color w:val="auto"/>
                <w:kern w:val="2"/>
                <w:sz w:val="15"/>
                <w:szCs w:val="15"/>
                <w:lang w:eastAsia="zh-CN"/>
              </w:rPr>
              <w:t>）</w:t>
            </w:r>
          </w:p>
        </w:tc>
        <w:tc>
          <w:tcPr>
            <w:tcW w:w="1701" w:type="dxa"/>
            <w:gridSpan w:val="2"/>
            <w:tcMar>
              <w:left w:w="57" w:type="dxa"/>
              <w:right w:w="57" w:type="dxa"/>
            </w:tcMar>
            <w:vAlign w:val="center"/>
          </w:tcPr>
          <w:p w14:paraId="4A4F6C45">
            <w:pPr>
              <w:tabs>
                <w:tab w:val="left" w:pos="690"/>
              </w:tabs>
              <w:spacing w:after="0"/>
              <w:jc w:val="center"/>
              <w:rPr>
                <w:color w:val="auto"/>
                <w:kern w:val="2"/>
                <w:sz w:val="15"/>
                <w:szCs w:val="15"/>
              </w:rPr>
            </w:pPr>
            <w:r>
              <w:rPr>
                <w:b/>
                <w:color w:val="auto"/>
                <w:kern w:val="2"/>
                <w:sz w:val="15"/>
                <w:szCs w:val="15"/>
              </w:rPr>
              <w:t>所占比例（%）</w:t>
            </w:r>
          </w:p>
        </w:tc>
        <w:tc>
          <w:tcPr>
            <w:tcW w:w="2301" w:type="dxa"/>
            <w:gridSpan w:val="3"/>
            <w:tcMar>
              <w:left w:w="57" w:type="dxa"/>
              <w:right w:w="57" w:type="dxa"/>
            </w:tcMar>
            <w:vAlign w:val="center"/>
          </w:tcPr>
          <w:p w14:paraId="63F96E07">
            <w:pPr>
              <w:tabs>
                <w:tab w:val="left" w:pos="690"/>
              </w:tabs>
              <w:spacing w:after="0"/>
              <w:jc w:val="center"/>
              <w:rPr>
                <w:color w:val="auto"/>
                <w:kern w:val="2"/>
                <w:sz w:val="15"/>
                <w:szCs w:val="15"/>
              </w:rPr>
            </w:pPr>
            <w:r>
              <w:rPr>
                <w:rFonts w:hint="eastAsia"/>
                <w:color w:val="auto"/>
                <w:kern w:val="2"/>
                <w:sz w:val="15"/>
                <w:szCs w:val="15"/>
                <w:lang w:val="en-US" w:eastAsia="zh-CN"/>
              </w:rPr>
              <w:t>3</w:t>
            </w:r>
            <w:r>
              <w:rPr>
                <w:rFonts w:hint="eastAsia"/>
                <w:bCs/>
                <w:color w:val="auto"/>
                <w:kern w:val="2"/>
                <w:sz w:val="15"/>
                <w:szCs w:val="15"/>
                <w:lang w:eastAsia="zh-CN"/>
              </w:rPr>
              <w:t>（</w:t>
            </w:r>
            <w:r>
              <w:rPr>
                <w:rFonts w:hint="eastAsia"/>
                <w:bCs/>
                <w:color w:val="auto"/>
                <w:kern w:val="2"/>
                <w:sz w:val="15"/>
                <w:szCs w:val="15"/>
                <w:lang w:val="en-US" w:eastAsia="zh-CN"/>
              </w:rPr>
              <w:t>全厂</w:t>
            </w:r>
            <w:r>
              <w:rPr>
                <w:rFonts w:hint="eastAsia"/>
                <w:bCs/>
                <w:color w:val="auto"/>
                <w:kern w:val="2"/>
                <w:sz w:val="15"/>
                <w:szCs w:val="15"/>
                <w:lang w:eastAsia="zh-CN"/>
              </w:rPr>
              <w:t>）</w:t>
            </w:r>
          </w:p>
        </w:tc>
      </w:tr>
      <w:tr w14:paraId="42ACEB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30" w:type="dxa"/>
            <w:vMerge w:val="continue"/>
            <w:tcMar>
              <w:left w:w="57" w:type="dxa"/>
              <w:right w:w="57" w:type="dxa"/>
            </w:tcMar>
            <w:vAlign w:val="center"/>
          </w:tcPr>
          <w:p w14:paraId="394A8B64">
            <w:pPr>
              <w:spacing w:after="0"/>
              <w:rPr>
                <w:color w:val="auto"/>
                <w:kern w:val="2"/>
                <w:sz w:val="15"/>
                <w:szCs w:val="15"/>
                <w:highlight w:val="yellow"/>
              </w:rPr>
            </w:pPr>
          </w:p>
        </w:tc>
        <w:tc>
          <w:tcPr>
            <w:tcW w:w="1964" w:type="dxa"/>
            <w:gridSpan w:val="2"/>
            <w:tcMar>
              <w:left w:w="57" w:type="dxa"/>
              <w:right w:w="57" w:type="dxa"/>
            </w:tcMar>
            <w:vAlign w:val="center"/>
          </w:tcPr>
          <w:p w14:paraId="7BD24F2B">
            <w:pPr>
              <w:spacing w:after="0"/>
              <w:jc w:val="center"/>
              <w:rPr>
                <w:color w:val="auto"/>
                <w:kern w:val="2"/>
                <w:sz w:val="15"/>
                <w:szCs w:val="15"/>
              </w:rPr>
            </w:pPr>
            <w:r>
              <w:rPr>
                <w:b/>
                <w:color w:val="auto"/>
                <w:kern w:val="2"/>
                <w:sz w:val="15"/>
                <w:szCs w:val="15"/>
              </w:rPr>
              <w:t>实际总投资</w:t>
            </w:r>
          </w:p>
        </w:tc>
        <w:tc>
          <w:tcPr>
            <w:tcW w:w="5396" w:type="dxa"/>
            <w:gridSpan w:val="7"/>
            <w:tcMar>
              <w:left w:w="57" w:type="dxa"/>
              <w:right w:w="57" w:type="dxa"/>
            </w:tcMar>
            <w:vAlign w:val="center"/>
          </w:tcPr>
          <w:p w14:paraId="4E342EA3">
            <w:pPr>
              <w:spacing w:after="0"/>
              <w:jc w:val="center"/>
              <w:rPr>
                <w:rFonts w:hint="default" w:eastAsia="微软雅黑"/>
                <w:color w:val="auto"/>
                <w:kern w:val="2"/>
                <w:sz w:val="15"/>
                <w:szCs w:val="15"/>
                <w:lang w:val="en-US" w:eastAsia="zh-CN"/>
              </w:rPr>
            </w:pPr>
            <w:r>
              <w:rPr>
                <w:rFonts w:hint="eastAsia"/>
                <w:bCs/>
                <w:color w:val="auto"/>
                <w:kern w:val="2"/>
                <w:sz w:val="15"/>
                <w:szCs w:val="15"/>
                <w:lang w:val="en-US" w:eastAsia="zh-CN"/>
              </w:rPr>
              <w:t>700</w:t>
            </w:r>
            <w:r>
              <w:rPr>
                <w:rFonts w:hint="eastAsia"/>
                <w:bCs/>
                <w:color w:val="auto"/>
                <w:kern w:val="2"/>
                <w:sz w:val="15"/>
                <w:szCs w:val="15"/>
                <w:lang w:eastAsia="zh-CN"/>
              </w:rPr>
              <w:t>（</w:t>
            </w:r>
            <w:r>
              <w:rPr>
                <w:rFonts w:hint="eastAsia"/>
                <w:bCs/>
                <w:color w:val="auto"/>
                <w:kern w:val="2"/>
                <w:sz w:val="15"/>
                <w:szCs w:val="15"/>
                <w:lang w:val="en-US" w:eastAsia="zh-CN"/>
              </w:rPr>
              <w:t>一期</w:t>
            </w:r>
            <w:r>
              <w:rPr>
                <w:rFonts w:hint="eastAsia"/>
                <w:bCs/>
                <w:color w:val="auto"/>
                <w:kern w:val="2"/>
                <w:sz w:val="15"/>
                <w:szCs w:val="15"/>
                <w:lang w:eastAsia="zh-CN"/>
              </w:rPr>
              <w:t>）</w:t>
            </w:r>
          </w:p>
        </w:tc>
        <w:tc>
          <w:tcPr>
            <w:tcW w:w="2265" w:type="dxa"/>
            <w:gridSpan w:val="2"/>
            <w:tcMar>
              <w:left w:w="57" w:type="dxa"/>
              <w:right w:w="57" w:type="dxa"/>
            </w:tcMar>
            <w:vAlign w:val="center"/>
          </w:tcPr>
          <w:p w14:paraId="42EE1388">
            <w:pPr>
              <w:spacing w:after="0"/>
              <w:ind w:right="300"/>
              <w:jc w:val="center"/>
              <w:rPr>
                <w:b/>
                <w:color w:val="auto"/>
                <w:kern w:val="2"/>
                <w:sz w:val="15"/>
                <w:szCs w:val="15"/>
              </w:rPr>
            </w:pPr>
            <w:r>
              <w:rPr>
                <w:b/>
                <w:color w:val="auto"/>
                <w:kern w:val="2"/>
                <w:sz w:val="15"/>
                <w:szCs w:val="15"/>
              </w:rPr>
              <w:t>实际环保投资（万元）</w:t>
            </w:r>
          </w:p>
        </w:tc>
        <w:tc>
          <w:tcPr>
            <w:tcW w:w="1819" w:type="dxa"/>
            <w:tcMar>
              <w:left w:w="57" w:type="dxa"/>
              <w:right w:w="57" w:type="dxa"/>
            </w:tcMar>
            <w:vAlign w:val="center"/>
          </w:tcPr>
          <w:p w14:paraId="42702CF6">
            <w:pPr>
              <w:spacing w:after="0"/>
              <w:jc w:val="center"/>
              <w:rPr>
                <w:rFonts w:hint="default" w:eastAsia="微软雅黑"/>
                <w:color w:val="auto"/>
                <w:kern w:val="2"/>
                <w:sz w:val="15"/>
                <w:szCs w:val="15"/>
                <w:lang w:val="en-US" w:eastAsia="zh-CN"/>
              </w:rPr>
            </w:pPr>
            <w:r>
              <w:rPr>
                <w:rFonts w:hint="eastAsia"/>
                <w:bCs/>
                <w:color w:val="auto"/>
                <w:kern w:val="2"/>
                <w:sz w:val="15"/>
                <w:szCs w:val="15"/>
                <w:lang w:val="en-US" w:eastAsia="zh-CN"/>
              </w:rPr>
              <w:t>30</w:t>
            </w:r>
            <w:r>
              <w:rPr>
                <w:rFonts w:hint="eastAsia"/>
                <w:bCs/>
                <w:color w:val="auto"/>
                <w:kern w:val="2"/>
                <w:sz w:val="15"/>
                <w:szCs w:val="15"/>
                <w:lang w:eastAsia="zh-CN"/>
              </w:rPr>
              <w:t>（</w:t>
            </w:r>
            <w:r>
              <w:rPr>
                <w:rFonts w:hint="eastAsia"/>
                <w:bCs/>
                <w:color w:val="auto"/>
                <w:kern w:val="2"/>
                <w:sz w:val="15"/>
                <w:szCs w:val="15"/>
                <w:lang w:val="en-US" w:eastAsia="zh-CN"/>
              </w:rPr>
              <w:t>一期</w:t>
            </w:r>
            <w:r>
              <w:rPr>
                <w:rFonts w:hint="eastAsia"/>
                <w:bCs/>
                <w:color w:val="auto"/>
                <w:kern w:val="2"/>
                <w:sz w:val="15"/>
                <w:szCs w:val="15"/>
                <w:lang w:eastAsia="zh-CN"/>
              </w:rPr>
              <w:t>）</w:t>
            </w:r>
          </w:p>
        </w:tc>
        <w:tc>
          <w:tcPr>
            <w:tcW w:w="1701" w:type="dxa"/>
            <w:gridSpan w:val="2"/>
            <w:tcMar>
              <w:left w:w="57" w:type="dxa"/>
              <w:right w:w="57" w:type="dxa"/>
            </w:tcMar>
            <w:vAlign w:val="center"/>
          </w:tcPr>
          <w:p w14:paraId="6479AA10">
            <w:pPr>
              <w:spacing w:after="0"/>
              <w:jc w:val="center"/>
              <w:rPr>
                <w:b/>
                <w:color w:val="auto"/>
                <w:kern w:val="2"/>
                <w:sz w:val="15"/>
                <w:szCs w:val="15"/>
              </w:rPr>
            </w:pPr>
            <w:r>
              <w:rPr>
                <w:b/>
                <w:color w:val="auto"/>
                <w:kern w:val="2"/>
                <w:sz w:val="15"/>
                <w:szCs w:val="15"/>
              </w:rPr>
              <w:t>所占比例（%）</w:t>
            </w:r>
          </w:p>
        </w:tc>
        <w:tc>
          <w:tcPr>
            <w:tcW w:w="2301" w:type="dxa"/>
            <w:gridSpan w:val="3"/>
            <w:tcMar>
              <w:left w:w="57" w:type="dxa"/>
              <w:right w:w="57" w:type="dxa"/>
            </w:tcMar>
            <w:vAlign w:val="center"/>
          </w:tcPr>
          <w:p w14:paraId="2A7E19B5">
            <w:pPr>
              <w:tabs>
                <w:tab w:val="left" w:pos="1049"/>
                <w:tab w:val="center" w:pos="1168"/>
              </w:tabs>
              <w:spacing w:after="0"/>
              <w:jc w:val="center"/>
              <w:rPr>
                <w:rFonts w:hint="eastAsia" w:eastAsia="微软雅黑"/>
                <w:color w:val="auto"/>
                <w:kern w:val="2"/>
                <w:sz w:val="15"/>
                <w:szCs w:val="15"/>
                <w:lang w:val="en-US" w:eastAsia="zh-CN"/>
              </w:rPr>
            </w:pPr>
            <w:r>
              <w:rPr>
                <w:rFonts w:hint="eastAsia"/>
                <w:color w:val="auto"/>
                <w:kern w:val="2"/>
                <w:sz w:val="15"/>
                <w:szCs w:val="15"/>
                <w:lang w:val="en-US" w:eastAsia="zh-CN"/>
              </w:rPr>
              <w:t>4</w:t>
            </w:r>
            <w:r>
              <w:rPr>
                <w:rFonts w:hint="eastAsia"/>
                <w:bCs/>
                <w:color w:val="auto"/>
                <w:kern w:val="2"/>
                <w:sz w:val="15"/>
                <w:szCs w:val="15"/>
                <w:lang w:eastAsia="zh-CN"/>
              </w:rPr>
              <w:t>（</w:t>
            </w:r>
            <w:r>
              <w:rPr>
                <w:rFonts w:hint="eastAsia"/>
                <w:bCs/>
                <w:color w:val="auto"/>
                <w:kern w:val="2"/>
                <w:sz w:val="15"/>
                <w:szCs w:val="15"/>
                <w:lang w:val="en-US" w:eastAsia="zh-CN"/>
              </w:rPr>
              <w:t>一期</w:t>
            </w:r>
            <w:r>
              <w:rPr>
                <w:rFonts w:hint="eastAsia"/>
                <w:bCs/>
                <w:color w:val="auto"/>
                <w:kern w:val="2"/>
                <w:sz w:val="15"/>
                <w:szCs w:val="15"/>
                <w:lang w:eastAsia="zh-CN"/>
              </w:rPr>
              <w:t>）</w:t>
            </w:r>
          </w:p>
        </w:tc>
      </w:tr>
      <w:tr w14:paraId="6B34EA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30" w:type="dxa"/>
            <w:vMerge w:val="continue"/>
            <w:tcMar>
              <w:left w:w="57" w:type="dxa"/>
              <w:right w:w="57" w:type="dxa"/>
            </w:tcMar>
            <w:vAlign w:val="center"/>
          </w:tcPr>
          <w:p w14:paraId="7EDFEAE5">
            <w:pPr>
              <w:spacing w:after="0"/>
              <w:rPr>
                <w:color w:val="auto"/>
                <w:kern w:val="2"/>
                <w:sz w:val="15"/>
                <w:szCs w:val="15"/>
                <w:highlight w:val="yellow"/>
              </w:rPr>
            </w:pPr>
          </w:p>
        </w:tc>
        <w:tc>
          <w:tcPr>
            <w:tcW w:w="1964" w:type="dxa"/>
            <w:gridSpan w:val="2"/>
            <w:tcMar>
              <w:left w:w="57" w:type="dxa"/>
              <w:right w:w="57" w:type="dxa"/>
            </w:tcMar>
            <w:vAlign w:val="center"/>
          </w:tcPr>
          <w:p w14:paraId="6F434CF3">
            <w:pPr>
              <w:spacing w:after="0"/>
              <w:jc w:val="center"/>
              <w:rPr>
                <w:color w:val="auto"/>
                <w:kern w:val="2"/>
                <w:sz w:val="15"/>
                <w:szCs w:val="15"/>
              </w:rPr>
            </w:pPr>
            <w:r>
              <w:rPr>
                <w:b/>
                <w:color w:val="auto"/>
                <w:kern w:val="2"/>
                <w:sz w:val="15"/>
                <w:szCs w:val="15"/>
              </w:rPr>
              <w:t>废水治理（万元）</w:t>
            </w:r>
          </w:p>
        </w:tc>
        <w:tc>
          <w:tcPr>
            <w:tcW w:w="828" w:type="dxa"/>
            <w:tcMar>
              <w:left w:w="57" w:type="dxa"/>
              <w:right w:w="57" w:type="dxa"/>
            </w:tcMar>
            <w:vAlign w:val="center"/>
          </w:tcPr>
          <w:p w14:paraId="03EBE690">
            <w:pPr>
              <w:spacing w:after="0"/>
              <w:jc w:val="center"/>
              <w:rPr>
                <w:rFonts w:hint="default" w:eastAsia="微软雅黑"/>
                <w:color w:val="auto"/>
                <w:kern w:val="2"/>
                <w:sz w:val="15"/>
                <w:szCs w:val="15"/>
                <w:lang w:val="en-US" w:eastAsia="zh-CN"/>
              </w:rPr>
            </w:pPr>
            <w:r>
              <w:rPr>
                <w:rFonts w:hint="eastAsia"/>
                <w:color w:val="auto"/>
                <w:kern w:val="2"/>
                <w:sz w:val="15"/>
                <w:szCs w:val="15"/>
                <w:lang w:val="en-US" w:eastAsia="zh-CN"/>
              </w:rPr>
              <w:t>1</w:t>
            </w:r>
          </w:p>
        </w:tc>
        <w:tc>
          <w:tcPr>
            <w:tcW w:w="1379" w:type="dxa"/>
            <w:tcMar>
              <w:left w:w="57" w:type="dxa"/>
              <w:right w:w="57" w:type="dxa"/>
            </w:tcMar>
            <w:vAlign w:val="center"/>
          </w:tcPr>
          <w:p w14:paraId="0BF8E587">
            <w:pPr>
              <w:spacing w:after="0"/>
              <w:jc w:val="center"/>
              <w:rPr>
                <w:b/>
                <w:color w:val="auto"/>
                <w:kern w:val="2"/>
                <w:sz w:val="15"/>
                <w:szCs w:val="15"/>
              </w:rPr>
            </w:pPr>
            <w:r>
              <w:rPr>
                <w:b/>
                <w:color w:val="auto"/>
                <w:kern w:val="2"/>
                <w:sz w:val="15"/>
                <w:szCs w:val="15"/>
              </w:rPr>
              <w:t>废气治理（万元）</w:t>
            </w:r>
          </w:p>
        </w:tc>
        <w:tc>
          <w:tcPr>
            <w:tcW w:w="1097" w:type="dxa"/>
            <w:tcMar>
              <w:left w:w="57" w:type="dxa"/>
              <w:right w:w="57" w:type="dxa"/>
            </w:tcMar>
            <w:vAlign w:val="center"/>
          </w:tcPr>
          <w:p w14:paraId="668A1CE5">
            <w:pPr>
              <w:spacing w:after="0"/>
              <w:jc w:val="center"/>
              <w:rPr>
                <w:rFonts w:hint="default" w:eastAsia="微软雅黑"/>
                <w:color w:val="auto"/>
                <w:kern w:val="2"/>
                <w:sz w:val="15"/>
                <w:szCs w:val="15"/>
                <w:lang w:val="en-US" w:eastAsia="zh-CN"/>
              </w:rPr>
            </w:pPr>
            <w:r>
              <w:rPr>
                <w:rFonts w:hint="eastAsia"/>
                <w:color w:val="auto"/>
                <w:kern w:val="2"/>
                <w:sz w:val="15"/>
                <w:szCs w:val="15"/>
                <w:lang w:val="en-US" w:eastAsia="zh-CN"/>
              </w:rPr>
              <w:t>26</w:t>
            </w:r>
          </w:p>
        </w:tc>
        <w:tc>
          <w:tcPr>
            <w:tcW w:w="1504" w:type="dxa"/>
            <w:gridSpan w:val="3"/>
            <w:tcMar>
              <w:left w:w="57" w:type="dxa"/>
              <w:right w:w="57" w:type="dxa"/>
            </w:tcMar>
            <w:vAlign w:val="center"/>
          </w:tcPr>
          <w:p w14:paraId="5B836783">
            <w:pPr>
              <w:spacing w:after="0"/>
              <w:jc w:val="center"/>
              <w:rPr>
                <w:b/>
                <w:color w:val="auto"/>
                <w:kern w:val="2"/>
                <w:sz w:val="15"/>
                <w:szCs w:val="15"/>
              </w:rPr>
            </w:pPr>
            <w:r>
              <w:rPr>
                <w:b/>
                <w:color w:val="auto"/>
                <w:kern w:val="2"/>
                <w:sz w:val="15"/>
                <w:szCs w:val="15"/>
              </w:rPr>
              <w:t>噪声治理（万元）</w:t>
            </w:r>
          </w:p>
        </w:tc>
        <w:tc>
          <w:tcPr>
            <w:tcW w:w="588" w:type="dxa"/>
            <w:tcMar>
              <w:left w:w="57" w:type="dxa"/>
              <w:right w:w="57" w:type="dxa"/>
            </w:tcMar>
            <w:vAlign w:val="center"/>
          </w:tcPr>
          <w:p w14:paraId="5B270320">
            <w:pPr>
              <w:spacing w:after="0"/>
              <w:jc w:val="center"/>
              <w:rPr>
                <w:rFonts w:hint="eastAsia" w:eastAsia="微软雅黑"/>
                <w:color w:val="auto"/>
                <w:kern w:val="2"/>
                <w:sz w:val="15"/>
                <w:szCs w:val="15"/>
                <w:lang w:eastAsia="zh-CN"/>
              </w:rPr>
            </w:pPr>
            <w:r>
              <w:rPr>
                <w:rFonts w:hint="eastAsia"/>
                <w:color w:val="auto"/>
                <w:kern w:val="2"/>
                <w:sz w:val="15"/>
                <w:szCs w:val="15"/>
                <w:lang w:val="en-US" w:eastAsia="zh-CN"/>
              </w:rPr>
              <w:t>1</w:t>
            </w:r>
          </w:p>
        </w:tc>
        <w:tc>
          <w:tcPr>
            <w:tcW w:w="2265" w:type="dxa"/>
            <w:gridSpan w:val="2"/>
            <w:tcMar>
              <w:left w:w="57" w:type="dxa"/>
              <w:right w:w="57" w:type="dxa"/>
            </w:tcMar>
            <w:vAlign w:val="center"/>
          </w:tcPr>
          <w:p w14:paraId="02AFCA1B">
            <w:pPr>
              <w:spacing w:after="0"/>
              <w:jc w:val="center"/>
              <w:rPr>
                <w:color w:val="auto"/>
                <w:kern w:val="2"/>
                <w:sz w:val="15"/>
                <w:szCs w:val="15"/>
              </w:rPr>
            </w:pPr>
            <w:r>
              <w:rPr>
                <w:b/>
                <w:color w:val="auto"/>
                <w:kern w:val="2"/>
                <w:sz w:val="15"/>
                <w:szCs w:val="15"/>
              </w:rPr>
              <w:t>固体废物治理（万元）</w:t>
            </w:r>
          </w:p>
        </w:tc>
        <w:tc>
          <w:tcPr>
            <w:tcW w:w="1819" w:type="dxa"/>
            <w:tcMar>
              <w:left w:w="57" w:type="dxa"/>
              <w:right w:w="57" w:type="dxa"/>
            </w:tcMar>
            <w:vAlign w:val="center"/>
          </w:tcPr>
          <w:p w14:paraId="2CE91B5E">
            <w:pPr>
              <w:spacing w:after="0"/>
              <w:jc w:val="center"/>
              <w:rPr>
                <w:rFonts w:hint="eastAsia" w:eastAsia="微软雅黑"/>
                <w:color w:val="auto"/>
                <w:kern w:val="2"/>
                <w:sz w:val="15"/>
                <w:szCs w:val="15"/>
                <w:lang w:eastAsia="zh-CN"/>
              </w:rPr>
            </w:pPr>
            <w:r>
              <w:rPr>
                <w:rFonts w:hint="eastAsia"/>
                <w:color w:val="auto"/>
                <w:kern w:val="2"/>
                <w:sz w:val="15"/>
                <w:szCs w:val="15"/>
                <w:lang w:val="en-US" w:eastAsia="zh-CN"/>
              </w:rPr>
              <w:t>2</w:t>
            </w:r>
          </w:p>
        </w:tc>
        <w:tc>
          <w:tcPr>
            <w:tcW w:w="1701" w:type="dxa"/>
            <w:gridSpan w:val="2"/>
            <w:tcMar>
              <w:left w:w="57" w:type="dxa"/>
              <w:right w:w="57" w:type="dxa"/>
            </w:tcMar>
            <w:vAlign w:val="center"/>
          </w:tcPr>
          <w:p w14:paraId="05CBA96A">
            <w:pPr>
              <w:spacing w:after="0"/>
              <w:jc w:val="center"/>
              <w:rPr>
                <w:b/>
                <w:color w:val="auto"/>
                <w:kern w:val="2"/>
                <w:sz w:val="15"/>
                <w:szCs w:val="15"/>
              </w:rPr>
            </w:pPr>
            <w:r>
              <w:rPr>
                <w:b/>
                <w:color w:val="auto"/>
                <w:kern w:val="2"/>
                <w:sz w:val="15"/>
                <w:szCs w:val="15"/>
              </w:rPr>
              <w:t>绿化及生态（万元）</w:t>
            </w:r>
          </w:p>
        </w:tc>
        <w:tc>
          <w:tcPr>
            <w:tcW w:w="406" w:type="dxa"/>
            <w:tcMar>
              <w:left w:w="57" w:type="dxa"/>
              <w:right w:w="57" w:type="dxa"/>
            </w:tcMar>
            <w:vAlign w:val="center"/>
          </w:tcPr>
          <w:p w14:paraId="712EFDD4">
            <w:pPr>
              <w:spacing w:after="0"/>
              <w:jc w:val="center"/>
              <w:rPr>
                <w:color w:val="auto"/>
                <w:kern w:val="2"/>
                <w:sz w:val="15"/>
                <w:szCs w:val="15"/>
              </w:rPr>
            </w:pPr>
            <w:r>
              <w:rPr>
                <w:color w:val="auto"/>
                <w:kern w:val="2"/>
                <w:sz w:val="15"/>
                <w:szCs w:val="15"/>
              </w:rPr>
              <w:t>0</w:t>
            </w:r>
          </w:p>
        </w:tc>
        <w:tc>
          <w:tcPr>
            <w:tcW w:w="846" w:type="dxa"/>
            <w:tcMar>
              <w:left w:w="57" w:type="dxa"/>
              <w:right w:w="57" w:type="dxa"/>
            </w:tcMar>
            <w:vAlign w:val="center"/>
          </w:tcPr>
          <w:p w14:paraId="32CCA24E">
            <w:pPr>
              <w:spacing w:after="0"/>
              <w:jc w:val="center"/>
              <w:rPr>
                <w:b/>
                <w:color w:val="auto"/>
                <w:kern w:val="2"/>
                <w:sz w:val="15"/>
                <w:szCs w:val="15"/>
              </w:rPr>
            </w:pPr>
            <w:r>
              <w:rPr>
                <w:b/>
                <w:color w:val="auto"/>
                <w:kern w:val="2"/>
                <w:sz w:val="15"/>
                <w:szCs w:val="15"/>
              </w:rPr>
              <w:t>其他（万元）</w:t>
            </w:r>
          </w:p>
        </w:tc>
        <w:tc>
          <w:tcPr>
            <w:tcW w:w="1049" w:type="dxa"/>
            <w:tcMar>
              <w:left w:w="57" w:type="dxa"/>
              <w:right w:w="57" w:type="dxa"/>
            </w:tcMar>
            <w:vAlign w:val="center"/>
          </w:tcPr>
          <w:p w14:paraId="6F7B6093">
            <w:pPr>
              <w:spacing w:after="0"/>
              <w:jc w:val="center"/>
              <w:rPr>
                <w:rFonts w:hint="eastAsia" w:eastAsia="微软雅黑"/>
                <w:color w:val="auto"/>
                <w:kern w:val="2"/>
                <w:sz w:val="15"/>
                <w:szCs w:val="15"/>
                <w:lang w:eastAsia="zh-CN"/>
              </w:rPr>
            </w:pPr>
            <w:r>
              <w:rPr>
                <w:rFonts w:hint="eastAsia"/>
                <w:color w:val="auto"/>
                <w:kern w:val="2"/>
                <w:sz w:val="15"/>
                <w:szCs w:val="15"/>
                <w:lang w:val="en-US" w:eastAsia="zh-CN"/>
              </w:rPr>
              <w:t>0</w:t>
            </w:r>
          </w:p>
        </w:tc>
      </w:tr>
      <w:tr w14:paraId="3AC768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30" w:type="dxa"/>
            <w:vMerge w:val="continue"/>
            <w:tcMar>
              <w:left w:w="57" w:type="dxa"/>
              <w:right w:w="57" w:type="dxa"/>
            </w:tcMar>
            <w:vAlign w:val="center"/>
          </w:tcPr>
          <w:p w14:paraId="680A929A">
            <w:pPr>
              <w:spacing w:after="0"/>
              <w:rPr>
                <w:color w:val="auto"/>
                <w:kern w:val="2"/>
                <w:sz w:val="15"/>
                <w:szCs w:val="15"/>
                <w:highlight w:val="yellow"/>
              </w:rPr>
            </w:pPr>
          </w:p>
        </w:tc>
        <w:tc>
          <w:tcPr>
            <w:tcW w:w="1964" w:type="dxa"/>
            <w:gridSpan w:val="2"/>
            <w:tcMar>
              <w:left w:w="57" w:type="dxa"/>
              <w:right w:w="57" w:type="dxa"/>
            </w:tcMar>
            <w:vAlign w:val="center"/>
          </w:tcPr>
          <w:p w14:paraId="78A70E8F">
            <w:pPr>
              <w:spacing w:after="0"/>
              <w:jc w:val="center"/>
              <w:rPr>
                <w:color w:val="auto"/>
                <w:kern w:val="2"/>
                <w:sz w:val="15"/>
                <w:szCs w:val="15"/>
              </w:rPr>
            </w:pPr>
            <w:r>
              <w:rPr>
                <w:b/>
                <w:color w:val="auto"/>
                <w:kern w:val="2"/>
                <w:sz w:val="15"/>
                <w:szCs w:val="15"/>
              </w:rPr>
              <w:t>新增废水处理设施能力</w:t>
            </w:r>
          </w:p>
        </w:tc>
        <w:tc>
          <w:tcPr>
            <w:tcW w:w="5396" w:type="dxa"/>
            <w:gridSpan w:val="7"/>
            <w:tcMar>
              <w:left w:w="57" w:type="dxa"/>
              <w:right w:w="57" w:type="dxa"/>
            </w:tcMar>
            <w:vAlign w:val="center"/>
          </w:tcPr>
          <w:p w14:paraId="3BE68460">
            <w:pPr>
              <w:spacing w:after="0"/>
              <w:jc w:val="center"/>
              <w:rPr>
                <w:color w:val="auto"/>
                <w:kern w:val="2"/>
                <w:sz w:val="15"/>
                <w:szCs w:val="15"/>
              </w:rPr>
            </w:pPr>
            <w:r>
              <w:rPr>
                <w:color w:val="auto"/>
                <w:kern w:val="2"/>
                <w:sz w:val="15"/>
                <w:szCs w:val="15"/>
              </w:rPr>
              <w:t>/</w:t>
            </w:r>
          </w:p>
        </w:tc>
        <w:tc>
          <w:tcPr>
            <w:tcW w:w="2265" w:type="dxa"/>
            <w:gridSpan w:val="2"/>
            <w:tcMar>
              <w:left w:w="57" w:type="dxa"/>
              <w:right w:w="57" w:type="dxa"/>
            </w:tcMar>
            <w:vAlign w:val="center"/>
          </w:tcPr>
          <w:p w14:paraId="15713D9B">
            <w:pPr>
              <w:spacing w:after="0"/>
              <w:jc w:val="center"/>
              <w:rPr>
                <w:color w:val="auto"/>
                <w:kern w:val="2"/>
                <w:sz w:val="15"/>
                <w:szCs w:val="15"/>
              </w:rPr>
            </w:pPr>
            <w:r>
              <w:rPr>
                <w:b/>
                <w:color w:val="auto"/>
                <w:kern w:val="2"/>
                <w:sz w:val="15"/>
                <w:szCs w:val="15"/>
              </w:rPr>
              <w:t>新增废气处理设施能力</w:t>
            </w:r>
          </w:p>
        </w:tc>
        <w:tc>
          <w:tcPr>
            <w:tcW w:w="1819" w:type="dxa"/>
            <w:tcMar>
              <w:left w:w="57" w:type="dxa"/>
              <w:right w:w="57" w:type="dxa"/>
            </w:tcMar>
            <w:vAlign w:val="center"/>
          </w:tcPr>
          <w:p w14:paraId="345517E9">
            <w:pPr>
              <w:spacing w:after="0"/>
              <w:jc w:val="center"/>
              <w:rPr>
                <w:color w:val="auto"/>
                <w:kern w:val="2"/>
                <w:sz w:val="15"/>
                <w:szCs w:val="15"/>
              </w:rPr>
            </w:pPr>
            <w:r>
              <w:rPr>
                <w:color w:val="auto"/>
                <w:kern w:val="2"/>
                <w:sz w:val="15"/>
                <w:szCs w:val="15"/>
              </w:rPr>
              <w:t>/</w:t>
            </w:r>
          </w:p>
        </w:tc>
        <w:tc>
          <w:tcPr>
            <w:tcW w:w="1701" w:type="dxa"/>
            <w:gridSpan w:val="2"/>
            <w:tcMar>
              <w:left w:w="57" w:type="dxa"/>
              <w:right w:w="57" w:type="dxa"/>
            </w:tcMar>
            <w:vAlign w:val="center"/>
          </w:tcPr>
          <w:p w14:paraId="3F830CC0">
            <w:pPr>
              <w:spacing w:after="0"/>
              <w:jc w:val="center"/>
              <w:rPr>
                <w:color w:val="auto"/>
                <w:kern w:val="2"/>
                <w:sz w:val="15"/>
                <w:szCs w:val="15"/>
              </w:rPr>
            </w:pPr>
            <w:r>
              <w:rPr>
                <w:b/>
                <w:color w:val="auto"/>
                <w:kern w:val="2"/>
                <w:sz w:val="15"/>
                <w:szCs w:val="15"/>
              </w:rPr>
              <w:t>年平均工作时</w:t>
            </w:r>
          </w:p>
        </w:tc>
        <w:tc>
          <w:tcPr>
            <w:tcW w:w="2301" w:type="dxa"/>
            <w:gridSpan w:val="3"/>
            <w:tcMar>
              <w:left w:w="57" w:type="dxa"/>
              <w:right w:w="57" w:type="dxa"/>
            </w:tcMar>
            <w:vAlign w:val="center"/>
          </w:tcPr>
          <w:p w14:paraId="218D0A0D">
            <w:pPr>
              <w:spacing w:after="0"/>
              <w:jc w:val="center"/>
              <w:rPr>
                <w:rFonts w:hint="default" w:eastAsia="微软雅黑"/>
                <w:color w:val="auto"/>
                <w:kern w:val="2"/>
                <w:sz w:val="15"/>
                <w:szCs w:val="15"/>
                <w:lang w:val="en-US" w:eastAsia="zh-CN"/>
              </w:rPr>
            </w:pPr>
            <w:r>
              <w:rPr>
                <w:rFonts w:hint="eastAsia"/>
                <w:color w:val="auto"/>
                <w:kern w:val="2"/>
                <w:sz w:val="15"/>
                <w:szCs w:val="15"/>
                <w:highlight w:val="none"/>
                <w:lang w:val="en-US" w:eastAsia="zh-CN"/>
              </w:rPr>
              <w:t>7200</w:t>
            </w:r>
          </w:p>
        </w:tc>
      </w:tr>
      <w:tr w14:paraId="1A84A5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2394" w:type="dxa"/>
            <w:gridSpan w:val="3"/>
            <w:tcMar>
              <w:left w:w="57" w:type="dxa"/>
              <w:right w:w="57" w:type="dxa"/>
            </w:tcMar>
            <w:vAlign w:val="center"/>
          </w:tcPr>
          <w:p w14:paraId="0F036655">
            <w:pPr>
              <w:spacing w:after="0" w:line="240" w:lineRule="exact"/>
              <w:jc w:val="center"/>
              <w:rPr>
                <w:b/>
                <w:color w:val="auto"/>
                <w:kern w:val="2"/>
                <w:sz w:val="15"/>
                <w:szCs w:val="15"/>
              </w:rPr>
            </w:pPr>
            <w:r>
              <w:rPr>
                <w:b/>
                <w:color w:val="auto"/>
                <w:kern w:val="2"/>
                <w:sz w:val="15"/>
                <w:szCs w:val="15"/>
              </w:rPr>
              <w:t>运营单位</w:t>
            </w:r>
          </w:p>
        </w:tc>
        <w:tc>
          <w:tcPr>
            <w:tcW w:w="4291" w:type="dxa"/>
            <w:gridSpan w:val="4"/>
            <w:tcMar>
              <w:left w:w="57" w:type="dxa"/>
              <w:right w:w="57" w:type="dxa"/>
            </w:tcMar>
            <w:vAlign w:val="center"/>
          </w:tcPr>
          <w:p w14:paraId="107994B0">
            <w:pPr>
              <w:spacing w:after="0" w:line="240" w:lineRule="exact"/>
              <w:jc w:val="center"/>
              <w:rPr>
                <w:color w:val="auto"/>
                <w:kern w:val="2"/>
                <w:sz w:val="15"/>
                <w:szCs w:val="15"/>
              </w:rPr>
            </w:pPr>
            <w:r>
              <w:rPr>
                <w:rFonts w:hint="eastAsia" w:ascii="Times New Roman" w:hAnsi="Times New Roman" w:cs="Times New Roman"/>
                <w:color w:val="auto"/>
                <w:kern w:val="2"/>
                <w:sz w:val="15"/>
                <w:szCs w:val="15"/>
              </w:rPr>
              <w:t>河南</w:t>
            </w:r>
            <w:r>
              <w:rPr>
                <w:rFonts w:hint="eastAsia" w:ascii="Times New Roman" w:hAnsi="Times New Roman" w:cs="Times New Roman"/>
                <w:color w:val="auto"/>
                <w:kern w:val="2"/>
                <w:sz w:val="15"/>
                <w:szCs w:val="15"/>
                <w:lang w:val="en-US" w:eastAsia="zh-CN"/>
              </w:rPr>
              <w:t>省养乐奇生物科技有限责任公司</w:t>
            </w:r>
          </w:p>
        </w:tc>
        <w:tc>
          <w:tcPr>
            <w:tcW w:w="3370" w:type="dxa"/>
            <w:gridSpan w:val="5"/>
            <w:tcMar>
              <w:left w:w="57" w:type="dxa"/>
              <w:right w:w="57" w:type="dxa"/>
            </w:tcMar>
            <w:vAlign w:val="center"/>
          </w:tcPr>
          <w:p w14:paraId="2349D432">
            <w:pPr>
              <w:spacing w:after="0" w:line="240" w:lineRule="exact"/>
              <w:jc w:val="center"/>
              <w:rPr>
                <w:color w:val="auto"/>
                <w:kern w:val="2"/>
                <w:sz w:val="15"/>
                <w:szCs w:val="15"/>
              </w:rPr>
            </w:pPr>
            <w:r>
              <w:rPr>
                <w:b/>
                <w:color w:val="auto"/>
                <w:kern w:val="2"/>
                <w:sz w:val="15"/>
                <w:szCs w:val="15"/>
              </w:rPr>
              <w:t>运营单位社会统一信用代码（或组织机构代码）</w:t>
            </w:r>
          </w:p>
        </w:tc>
        <w:tc>
          <w:tcPr>
            <w:tcW w:w="1819" w:type="dxa"/>
            <w:tcMar>
              <w:left w:w="57" w:type="dxa"/>
              <w:right w:w="57" w:type="dxa"/>
            </w:tcMar>
            <w:vAlign w:val="center"/>
          </w:tcPr>
          <w:p w14:paraId="625E34BD">
            <w:pPr>
              <w:spacing w:after="0" w:line="240" w:lineRule="exact"/>
              <w:jc w:val="center"/>
              <w:rPr>
                <w:color w:val="auto"/>
                <w:kern w:val="2"/>
                <w:sz w:val="15"/>
                <w:szCs w:val="15"/>
              </w:rPr>
            </w:pPr>
            <w:r>
              <w:rPr>
                <w:rFonts w:hint="eastAsia" w:ascii="Times New Roman" w:hAnsi="Times New Roman" w:cs="Times New Roman"/>
                <w:color w:val="auto"/>
                <w:kern w:val="2"/>
                <w:sz w:val="15"/>
                <w:szCs w:val="15"/>
                <w:lang w:val="en-US" w:eastAsia="zh-CN"/>
              </w:rPr>
              <w:t>91410726MAEPXFEEX6</w:t>
            </w:r>
          </w:p>
        </w:tc>
        <w:tc>
          <w:tcPr>
            <w:tcW w:w="1701" w:type="dxa"/>
            <w:gridSpan w:val="2"/>
            <w:tcMar>
              <w:left w:w="57" w:type="dxa"/>
              <w:right w:w="57" w:type="dxa"/>
            </w:tcMar>
            <w:vAlign w:val="center"/>
          </w:tcPr>
          <w:p w14:paraId="531A27CD">
            <w:pPr>
              <w:spacing w:after="0" w:line="240" w:lineRule="exact"/>
              <w:jc w:val="center"/>
              <w:rPr>
                <w:b/>
                <w:color w:val="auto"/>
                <w:kern w:val="2"/>
                <w:sz w:val="15"/>
                <w:szCs w:val="15"/>
              </w:rPr>
            </w:pPr>
            <w:r>
              <w:rPr>
                <w:b/>
                <w:color w:val="auto"/>
                <w:kern w:val="2"/>
                <w:sz w:val="15"/>
                <w:szCs w:val="15"/>
              </w:rPr>
              <w:t>验收时间</w:t>
            </w:r>
          </w:p>
        </w:tc>
        <w:tc>
          <w:tcPr>
            <w:tcW w:w="2301" w:type="dxa"/>
            <w:gridSpan w:val="3"/>
            <w:tcMar>
              <w:left w:w="57" w:type="dxa"/>
              <w:right w:w="57" w:type="dxa"/>
            </w:tcMar>
            <w:vAlign w:val="center"/>
          </w:tcPr>
          <w:p w14:paraId="2D75C7F4">
            <w:pPr>
              <w:spacing w:after="0" w:line="240" w:lineRule="exact"/>
              <w:jc w:val="center"/>
              <w:rPr>
                <w:rFonts w:hint="default" w:eastAsia="微软雅黑"/>
                <w:color w:val="auto"/>
                <w:kern w:val="2"/>
                <w:sz w:val="15"/>
                <w:szCs w:val="15"/>
                <w:lang w:val="en-US" w:eastAsia="zh-CN"/>
              </w:rPr>
            </w:pPr>
            <w:r>
              <w:rPr>
                <w:rFonts w:hint="eastAsia"/>
                <w:color w:val="auto"/>
                <w:kern w:val="2"/>
                <w:sz w:val="15"/>
                <w:szCs w:val="15"/>
                <w:highlight w:val="none"/>
                <w:lang w:val="en-US" w:eastAsia="zh-CN"/>
              </w:rPr>
              <w:t>2026.7</w:t>
            </w:r>
          </w:p>
        </w:tc>
      </w:tr>
      <w:tr w14:paraId="63A901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598" w:type="dxa"/>
            <w:gridSpan w:val="2"/>
            <w:vMerge w:val="restart"/>
            <w:tcMar>
              <w:left w:w="57" w:type="dxa"/>
              <w:right w:w="57" w:type="dxa"/>
            </w:tcMar>
            <w:vAlign w:val="center"/>
          </w:tcPr>
          <w:p w14:paraId="6DC8FD28">
            <w:pPr>
              <w:spacing w:after="0"/>
              <w:jc w:val="center"/>
              <w:rPr>
                <w:rFonts w:eastAsia="黑体"/>
                <w:b/>
                <w:color w:val="auto"/>
                <w:spacing w:val="20"/>
                <w:kern w:val="2"/>
                <w:sz w:val="15"/>
                <w:szCs w:val="15"/>
              </w:rPr>
            </w:pPr>
            <w:r>
              <w:rPr>
                <w:rFonts w:eastAsia="黑体"/>
                <w:b/>
                <w:color w:val="auto"/>
                <w:spacing w:val="20"/>
                <w:kern w:val="2"/>
                <w:sz w:val="15"/>
                <w:szCs w:val="15"/>
              </w:rPr>
              <w:t>污染</w:t>
            </w:r>
          </w:p>
          <w:p w14:paraId="52A4EAF4">
            <w:pPr>
              <w:spacing w:after="0"/>
              <w:jc w:val="center"/>
              <w:rPr>
                <w:rFonts w:eastAsia="黑体"/>
                <w:b/>
                <w:color w:val="auto"/>
                <w:spacing w:val="20"/>
                <w:kern w:val="2"/>
                <w:sz w:val="15"/>
                <w:szCs w:val="15"/>
              </w:rPr>
            </w:pPr>
            <w:r>
              <w:rPr>
                <w:rFonts w:eastAsia="黑体"/>
                <w:b/>
                <w:color w:val="auto"/>
                <w:spacing w:val="20"/>
                <w:kern w:val="2"/>
                <w:sz w:val="15"/>
                <w:szCs w:val="15"/>
              </w:rPr>
              <w:t>物排</w:t>
            </w:r>
          </w:p>
          <w:p w14:paraId="1BD6838F">
            <w:pPr>
              <w:spacing w:after="0"/>
              <w:jc w:val="center"/>
              <w:rPr>
                <w:rFonts w:eastAsia="黑体"/>
                <w:b/>
                <w:color w:val="auto"/>
                <w:spacing w:val="20"/>
                <w:kern w:val="2"/>
                <w:sz w:val="15"/>
                <w:szCs w:val="15"/>
              </w:rPr>
            </w:pPr>
            <w:r>
              <w:rPr>
                <w:rFonts w:eastAsia="黑体"/>
                <w:b/>
                <w:color w:val="auto"/>
                <w:spacing w:val="20"/>
                <w:kern w:val="2"/>
                <w:sz w:val="15"/>
                <w:szCs w:val="15"/>
              </w:rPr>
              <w:t>放达</w:t>
            </w:r>
          </w:p>
          <w:p w14:paraId="0F81D487">
            <w:pPr>
              <w:spacing w:after="0"/>
              <w:jc w:val="center"/>
              <w:rPr>
                <w:rFonts w:eastAsia="黑体"/>
                <w:b/>
                <w:color w:val="auto"/>
                <w:spacing w:val="20"/>
                <w:kern w:val="2"/>
                <w:sz w:val="15"/>
                <w:szCs w:val="15"/>
              </w:rPr>
            </w:pPr>
            <w:r>
              <w:rPr>
                <w:rFonts w:eastAsia="黑体"/>
                <w:b/>
                <w:color w:val="auto"/>
                <w:spacing w:val="20"/>
                <w:kern w:val="2"/>
                <w:sz w:val="15"/>
                <w:szCs w:val="15"/>
              </w:rPr>
              <w:t>标与</w:t>
            </w:r>
          </w:p>
          <w:p w14:paraId="02C2EEC7">
            <w:pPr>
              <w:spacing w:after="0"/>
              <w:jc w:val="center"/>
              <w:rPr>
                <w:rFonts w:eastAsia="黑体"/>
                <w:b/>
                <w:color w:val="auto"/>
                <w:spacing w:val="20"/>
                <w:kern w:val="2"/>
                <w:sz w:val="15"/>
                <w:szCs w:val="15"/>
              </w:rPr>
            </w:pPr>
            <w:r>
              <w:rPr>
                <w:rFonts w:eastAsia="黑体"/>
                <w:b/>
                <w:color w:val="auto"/>
                <w:spacing w:val="20"/>
                <w:kern w:val="2"/>
                <w:sz w:val="15"/>
                <w:szCs w:val="15"/>
              </w:rPr>
              <w:t>总量</w:t>
            </w:r>
          </w:p>
          <w:p w14:paraId="0B4EF075">
            <w:pPr>
              <w:spacing w:after="0"/>
              <w:jc w:val="center"/>
              <w:rPr>
                <w:rFonts w:eastAsia="黑体"/>
                <w:b/>
                <w:color w:val="auto"/>
                <w:spacing w:val="20"/>
                <w:kern w:val="2"/>
                <w:sz w:val="15"/>
                <w:szCs w:val="15"/>
              </w:rPr>
            </w:pPr>
            <w:r>
              <w:rPr>
                <w:rFonts w:eastAsia="黑体"/>
                <w:b/>
                <w:color w:val="auto"/>
                <w:spacing w:val="20"/>
                <w:kern w:val="2"/>
                <w:sz w:val="15"/>
                <w:szCs w:val="15"/>
              </w:rPr>
              <w:t>控制（工</w:t>
            </w:r>
          </w:p>
          <w:p w14:paraId="6E6B79C4">
            <w:pPr>
              <w:spacing w:after="0"/>
              <w:jc w:val="center"/>
              <w:rPr>
                <w:rFonts w:eastAsia="黑体"/>
                <w:b/>
                <w:color w:val="auto"/>
                <w:spacing w:val="20"/>
                <w:kern w:val="2"/>
                <w:sz w:val="15"/>
                <w:szCs w:val="15"/>
              </w:rPr>
            </w:pPr>
            <w:r>
              <w:rPr>
                <w:rFonts w:eastAsia="黑体"/>
                <w:b/>
                <w:color w:val="auto"/>
                <w:spacing w:val="20"/>
                <w:kern w:val="2"/>
                <w:sz w:val="15"/>
                <w:szCs w:val="15"/>
              </w:rPr>
              <w:t>业建</w:t>
            </w:r>
          </w:p>
          <w:p w14:paraId="2C2B4D0E">
            <w:pPr>
              <w:spacing w:after="0"/>
              <w:jc w:val="center"/>
              <w:rPr>
                <w:rFonts w:eastAsia="黑体"/>
                <w:b/>
                <w:color w:val="auto"/>
                <w:spacing w:val="20"/>
                <w:kern w:val="2"/>
                <w:sz w:val="15"/>
                <w:szCs w:val="15"/>
              </w:rPr>
            </w:pPr>
            <w:r>
              <w:rPr>
                <w:rFonts w:eastAsia="黑体"/>
                <w:b/>
                <w:color w:val="auto"/>
                <w:spacing w:val="20"/>
                <w:kern w:val="2"/>
                <w:sz w:val="15"/>
                <w:szCs w:val="15"/>
              </w:rPr>
              <w:t>设项</w:t>
            </w:r>
          </w:p>
          <w:p w14:paraId="1437DC31">
            <w:pPr>
              <w:spacing w:after="0"/>
              <w:jc w:val="center"/>
              <w:rPr>
                <w:rFonts w:eastAsia="黑体"/>
                <w:b/>
                <w:color w:val="auto"/>
                <w:spacing w:val="20"/>
                <w:kern w:val="2"/>
                <w:sz w:val="15"/>
                <w:szCs w:val="15"/>
              </w:rPr>
            </w:pPr>
            <w:r>
              <w:rPr>
                <w:rFonts w:eastAsia="黑体"/>
                <w:b/>
                <w:color w:val="auto"/>
                <w:spacing w:val="20"/>
                <w:kern w:val="2"/>
                <w:sz w:val="15"/>
                <w:szCs w:val="15"/>
              </w:rPr>
              <w:t>目详填）</w:t>
            </w:r>
          </w:p>
        </w:tc>
        <w:tc>
          <w:tcPr>
            <w:tcW w:w="1796" w:type="dxa"/>
            <w:tcMar>
              <w:left w:w="57" w:type="dxa"/>
              <w:right w:w="57" w:type="dxa"/>
            </w:tcMar>
            <w:vAlign w:val="center"/>
          </w:tcPr>
          <w:p w14:paraId="3E070FEE">
            <w:pPr>
              <w:spacing w:after="0"/>
              <w:jc w:val="center"/>
              <w:rPr>
                <w:color w:val="auto"/>
                <w:kern w:val="2"/>
                <w:sz w:val="15"/>
                <w:szCs w:val="15"/>
              </w:rPr>
            </w:pPr>
            <w:r>
              <w:rPr>
                <w:b/>
                <w:color w:val="auto"/>
                <w:kern w:val="2"/>
                <w:sz w:val="15"/>
                <w:szCs w:val="15"/>
              </w:rPr>
              <w:t>污染物</w:t>
            </w:r>
          </w:p>
        </w:tc>
        <w:tc>
          <w:tcPr>
            <w:tcW w:w="828" w:type="dxa"/>
            <w:tcMar>
              <w:left w:w="57" w:type="dxa"/>
              <w:right w:w="57" w:type="dxa"/>
            </w:tcMar>
            <w:vAlign w:val="center"/>
          </w:tcPr>
          <w:p w14:paraId="2FFAE5EB">
            <w:pPr>
              <w:spacing w:after="0"/>
              <w:jc w:val="center"/>
              <w:rPr>
                <w:b/>
                <w:color w:val="auto"/>
                <w:kern w:val="2"/>
                <w:sz w:val="15"/>
                <w:szCs w:val="15"/>
              </w:rPr>
            </w:pPr>
            <w:r>
              <w:rPr>
                <w:b/>
                <w:color w:val="auto"/>
                <w:kern w:val="2"/>
                <w:sz w:val="15"/>
                <w:szCs w:val="15"/>
              </w:rPr>
              <w:t>原有排</w:t>
            </w:r>
          </w:p>
          <w:p w14:paraId="475334A6">
            <w:pPr>
              <w:spacing w:after="0"/>
              <w:jc w:val="center"/>
              <w:rPr>
                <w:b/>
                <w:color w:val="auto"/>
                <w:kern w:val="2"/>
                <w:sz w:val="15"/>
                <w:szCs w:val="15"/>
              </w:rPr>
            </w:pPr>
            <w:r>
              <w:rPr>
                <w:b/>
                <w:color w:val="auto"/>
                <w:kern w:val="2"/>
                <w:sz w:val="15"/>
                <w:szCs w:val="15"/>
              </w:rPr>
              <w:t>放量(1)</w:t>
            </w:r>
          </w:p>
        </w:tc>
        <w:tc>
          <w:tcPr>
            <w:tcW w:w="1379" w:type="dxa"/>
            <w:tcMar>
              <w:left w:w="57" w:type="dxa"/>
              <w:right w:w="57" w:type="dxa"/>
            </w:tcMar>
            <w:vAlign w:val="center"/>
          </w:tcPr>
          <w:p w14:paraId="5E179AB2">
            <w:pPr>
              <w:spacing w:after="0"/>
              <w:jc w:val="center"/>
              <w:rPr>
                <w:b/>
                <w:color w:val="auto"/>
                <w:kern w:val="2"/>
                <w:sz w:val="15"/>
                <w:szCs w:val="15"/>
              </w:rPr>
            </w:pPr>
            <w:r>
              <w:rPr>
                <w:b/>
                <w:color w:val="auto"/>
                <w:kern w:val="2"/>
                <w:sz w:val="15"/>
                <w:szCs w:val="15"/>
              </w:rPr>
              <w:t>本期工程实际排放浓度(2)</w:t>
            </w:r>
          </w:p>
        </w:tc>
        <w:tc>
          <w:tcPr>
            <w:tcW w:w="1097" w:type="dxa"/>
            <w:tcMar>
              <w:left w:w="57" w:type="dxa"/>
              <w:right w:w="57" w:type="dxa"/>
            </w:tcMar>
            <w:vAlign w:val="center"/>
          </w:tcPr>
          <w:p w14:paraId="4A968910">
            <w:pPr>
              <w:spacing w:after="0"/>
              <w:jc w:val="center"/>
              <w:rPr>
                <w:b/>
                <w:color w:val="auto"/>
                <w:kern w:val="2"/>
                <w:sz w:val="15"/>
                <w:szCs w:val="15"/>
              </w:rPr>
            </w:pPr>
            <w:r>
              <w:rPr>
                <w:b/>
                <w:color w:val="auto"/>
                <w:kern w:val="2"/>
                <w:sz w:val="15"/>
                <w:szCs w:val="15"/>
              </w:rPr>
              <w:t>本期工程允许排放浓度(3)</w:t>
            </w:r>
          </w:p>
        </w:tc>
        <w:tc>
          <w:tcPr>
            <w:tcW w:w="993" w:type="dxa"/>
            <w:gridSpan w:val="2"/>
            <w:tcMar>
              <w:left w:w="57" w:type="dxa"/>
              <w:right w:w="57" w:type="dxa"/>
            </w:tcMar>
            <w:vAlign w:val="center"/>
          </w:tcPr>
          <w:p w14:paraId="0C1501F5">
            <w:pPr>
              <w:spacing w:after="0"/>
              <w:jc w:val="center"/>
              <w:rPr>
                <w:b/>
                <w:color w:val="auto"/>
                <w:kern w:val="2"/>
                <w:sz w:val="15"/>
                <w:szCs w:val="15"/>
              </w:rPr>
            </w:pPr>
            <w:r>
              <w:rPr>
                <w:b/>
                <w:color w:val="auto"/>
                <w:kern w:val="2"/>
                <w:sz w:val="15"/>
                <w:szCs w:val="15"/>
              </w:rPr>
              <w:t>本期工程产生量(4)</w:t>
            </w:r>
          </w:p>
        </w:tc>
        <w:tc>
          <w:tcPr>
            <w:tcW w:w="1099" w:type="dxa"/>
            <w:gridSpan w:val="2"/>
            <w:tcMar>
              <w:left w:w="57" w:type="dxa"/>
              <w:right w:w="57" w:type="dxa"/>
            </w:tcMar>
            <w:vAlign w:val="center"/>
          </w:tcPr>
          <w:p w14:paraId="1CF8D0FF">
            <w:pPr>
              <w:spacing w:after="0"/>
              <w:jc w:val="center"/>
              <w:rPr>
                <w:b/>
                <w:color w:val="auto"/>
                <w:kern w:val="2"/>
                <w:sz w:val="15"/>
                <w:szCs w:val="15"/>
              </w:rPr>
            </w:pPr>
            <w:r>
              <w:rPr>
                <w:b/>
                <w:color w:val="auto"/>
                <w:kern w:val="2"/>
                <w:sz w:val="15"/>
                <w:szCs w:val="15"/>
              </w:rPr>
              <w:t>本期工程自身削减量(5)</w:t>
            </w:r>
          </w:p>
        </w:tc>
        <w:tc>
          <w:tcPr>
            <w:tcW w:w="966" w:type="dxa"/>
            <w:tcMar>
              <w:left w:w="57" w:type="dxa"/>
              <w:right w:w="57" w:type="dxa"/>
            </w:tcMar>
            <w:vAlign w:val="center"/>
          </w:tcPr>
          <w:p w14:paraId="10769AEF">
            <w:pPr>
              <w:spacing w:after="0"/>
              <w:jc w:val="center"/>
              <w:rPr>
                <w:b/>
                <w:color w:val="auto"/>
                <w:kern w:val="2"/>
                <w:sz w:val="15"/>
                <w:szCs w:val="15"/>
              </w:rPr>
            </w:pPr>
            <w:r>
              <w:rPr>
                <w:b/>
                <w:color w:val="auto"/>
                <w:kern w:val="2"/>
                <w:sz w:val="15"/>
                <w:szCs w:val="15"/>
              </w:rPr>
              <w:t>本期工程实际排放量(6)</w:t>
            </w:r>
          </w:p>
        </w:tc>
        <w:tc>
          <w:tcPr>
            <w:tcW w:w="1299" w:type="dxa"/>
            <w:tcMar>
              <w:left w:w="57" w:type="dxa"/>
              <w:right w:w="57" w:type="dxa"/>
            </w:tcMar>
            <w:vAlign w:val="center"/>
          </w:tcPr>
          <w:p w14:paraId="31228390">
            <w:pPr>
              <w:spacing w:after="0"/>
              <w:jc w:val="center"/>
              <w:rPr>
                <w:b/>
                <w:color w:val="auto"/>
                <w:kern w:val="2"/>
                <w:sz w:val="15"/>
                <w:szCs w:val="15"/>
              </w:rPr>
            </w:pPr>
            <w:r>
              <w:rPr>
                <w:b/>
                <w:color w:val="auto"/>
                <w:kern w:val="2"/>
                <w:sz w:val="15"/>
                <w:szCs w:val="15"/>
              </w:rPr>
              <w:t>本期工程核定排放总量(7)</w:t>
            </w:r>
          </w:p>
        </w:tc>
        <w:tc>
          <w:tcPr>
            <w:tcW w:w="1819" w:type="dxa"/>
            <w:tcMar>
              <w:left w:w="57" w:type="dxa"/>
              <w:right w:w="57" w:type="dxa"/>
            </w:tcMar>
            <w:vAlign w:val="center"/>
          </w:tcPr>
          <w:p w14:paraId="141E02C2">
            <w:pPr>
              <w:spacing w:after="0"/>
              <w:jc w:val="center"/>
              <w:rPr>
                <w:b/>
                <w:color w:val="auto"/>
                <w:kern w:val="2"/>
                <w:sz w:val="15"/>
                <w:szCs w:val="15"/>
              </w:rPr>
            </w:pPr>
            <w:r>
              <w:rPr>
                <w:b/>
                <w:color w:val="auto"/>
                <w:kern w:val="2"/>
                <w:sz w:val="15"/>
                <w:szCs w:val="15"/>
              </w:rPr>
              <w:t>本期工程“以新带老”削减量(8)</w:t>
            </w:r>
          </w:p>
        </w:tc>
        <w:tc>
          <w:tcPr>
            <w:tcW w:w="1016" w:type="dxa"/>
            <w:tcMar>
              <w:left w:w="57" w:type="dxa"/>
              <w:right w:w="57" w:type="dxa"/>
            </w:tcMar>
            <w:vAlign w:val="center"/>
          </w:tcPr>
          <w:p w14:paraId="5E5C7EFA">
            <w:pPr>
              <w:spacing w:after="0"/>
              <w:jc w:val="center"/>
              <w:rPr>
                <w:b/>
                <w:color w:val="auto"/>
                <w:kern w:val="2"/>
                <w:sz w:val="15"/>
                <w:szCs w:val="15"/>
              </w:rPr>
            </w:pPr>
            <w:r>
              <w:rPr>
                <w:b/>
                <w:color w:val="auto"/>
                <w:kern w:val="2"/>
                <w:sz w:val="15"/>
                <w:szCs w:val="15"/>
              </w:rPr>
              <w:t>全厂实际排放总量(9)</w:t>
            </w:r>
          </w:p>
        </w:tc>
        <w:tc>
          <w:tcPr>
            <w:tcW w:w="1091" w:type="dxa"/>
            <w:gridSpan w:val="2"/>
            <w:tcMar>
              <w:left w:w="57" w:type="dxa"/>
              <w:right w:w="57" w:type="dxa"/>
            </w:tcMar>
            <w:vAlign w:val="center"/>
          </w:tcPr>
          <w:p w14:paraId="1D8026FF">
            <w:pPr>
              <w:spacing w:after="0"/>
              <w:jc w:val="center"/>
              <w:rPr>
                <w:b/>
                <w:color w:val="auto"/>
                <w:kern w:val="2"/>
                <w:sz w:val="15"/>
                <w:szCs w:val="15"/>
              </w:rPr>
            </w:pPr>
            <w:r>
              <w:rPr>
                <w:b/>
                <w:color w:val="auto"/>
                <w:kern w:val="2"/>
                <w:sz w:val="15"/>
                <w:szCs w:val="15"/>
              </w:rPr>
              <w:t>全厂核定排放总量(10)</w:t>
            </w:r>
          </w:p>
        </w:tc>
        <w:tc>
          <w:tcPr>
            <w:tcW w:w="846" w:type="dxa"/>
            <w:tcMar>
              <w:left w:w="57" w:type="dxa"/>
              <w:right w:w="57" w:type="dxa"/>
            </w:tcMar>
            <w:vAlign w:val="center"/>
          </w:tcPr>
          <w:p w14:paraId="5864C6DF">
            <w:pPr>
              <w:spacing w:after="0"/>
              <w:jc w:val="center"/>
              <w:rPr>
                <w:b/>
                <w:color w:val="auto"/>
                <w:kern w:val="2"/>
                <w:sz w:val="15"/>
                <w:szCs w:val="15"/>
              </w:rPr>
            </w:pPr>
            <w:r>
              <w:rPr>
                <w:b/>
                <w:color w:val="auto"/>
                <w:kern w:val="2"/>
                <w:sz w:val="15"/>
                <w:szCs w:val="15"/>
              </w:rPr>
              <w:t>区域平衡替代削减量(11)</w:t>
            </w:r>
          </w:p>
        </w:tc>
        <w:tc>
          <w:tcPr>
            <w:tcW w:w="1049" w:type="dxa"/>
            <w:tcMar>
              <w:left w:w="57" w:type="dxa"/>
              <w:right w:w="57" w:type="dxa"/>
            </w:tcMar>
            <w:vAlign w:val="center"/>
          </w:tcPr>
          <w:p w14:paraId="2D2E48BB">
            <w:pPr>
              <w:spacing w:after="0"/>
              <w:jc w:val="center"/>
              <w:rPr>
                <w:b/>
                <w:color w:val="auto"/>
                <w:kern w:val="2"/>
                <w:sz w:val="15"/>
                <w:szCs w:val="15"/>
              </w:rPr>
            </w:pPr>
            <w:r>
              <w:rPr>
                <w:b/>
                <w:color w:val="auto"/>
                <w:kern w:val="2"/>
                <w:sz w:val="15"/>
                <w:szCs w:val="15"/>
              </w:rPr>
              <w:t>排放增减量(12)</w:t>
            </w:r>
          </w:p>
        </w:tc>
      </w:tr>
      <w:tr w14:paraId="045751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598" w:type="dxa"/>
            <w:gridSpan w:val="2"/>
            <w:vMerge w:val="continue"/>
            <w:tcMar>
              <w:left w:w="57" w:type="dxa"/>
              <w:right w:w="57" w:type="dxa"/>
            </w:tcMar>
            <w:vAlign w:val="center"/>
          </w:tcPr>
          <w:p w14:paraId="659C341C">
            <w:pPr>
              <w:spacing w:after="0"/>
              <w:jc w:val="center"/>
              <w:rPr>
                <w:color w:val="auto"/>
                <w:kern w:val="2"/>
                <w:sz w:val="15"/>
                <w:szCs w:val="15"/>
              </w:rPr>
            </w:pPr>
          </w:p>
        </w:tc>
        <w:tc>
          <w:tcPr>
            <w:tcW w:w="1796" w:type="dxa"/>
            <w:tcMar>
              <w:left w:w="57" w:type="dxa"/>
              <w:right w:w="57" w:type="dxa"/>
            </w:tcMar>
            <w:vAlign w:val="center"/>
          </w:tcPr>
          <w:p w14:paraId="34880511">
            <w:pPr>
              <w:spacing w:after="0"/>
              <w:jc w:val="center"/>
              <w:rPr>
                <w:color w:val="auto"/>
                <w:kern w:val="2"/>
                <w:sz w:val="15"/>
                <w:szCs w:val="15"/>
              </w:rPr>
            </w:pPr>
            <w:r>
              <w:rPr>
                <w:b/>
                <w:color w:val="auto"/>
                <w:kern w:val="2"/>
                <w:sz w:val="15"/>
                <w:szCs w:val="15"/>
              </w:rPr>
              <w:t>废水</w:t>
            </w:r>
          </w:p>
        </w:tc>
        <w:tc>
          <w:tcPr>
            <w:tcW w:w="828" w:type="dxa"/>
            <w:tcMar>
              <w:left w:w="57" w:type="dxa"/>
              <w:right w:w="57" w:type="dxa"/>
            </w:tcMar>
            <w:vAlign w:val="center"/>
          </w:tcPr>
          <w:p w14:paraId="6137306B">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color w:val="auto"/>
                <w:kern w:val="2"/>
                <w:sz w:val="15"/>
                <w:szCs w:val="15"/>
              </w:rPr>
              <w:t>/</w:t>
            </w:r>
          </w:p>
        </w:tc>
        <w:tc>
          <w:tcPr>
            <w:tcW w:w="1379" w:type="dxa"/>
            <w:tcMar>
              <w:left w:w="57" w:type="dxa"/>
              <w:right w:w="57" w:type="dxa"/>
            </w:tcMar>
            <w:vAlign w:val="center"/>
          </w:tcPr>
          <w:p w14:paraId="1D497182">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97" w:type="dxa"/>
            <w:tcMar>
              <w:left w:w="57" w:type="dxa"/>
              <w:right w:w="57" w:type="dxa"/>
            </w:tcMar>
            <w:vAlign w:val="center"/>
          </w:tcPr>
          <w:p w14:paraId="25944CA3">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993" w:type="dxa"/>
            <w:gridSpan w:val="2"/>
            <w:tcMar>
              <w:left w:w="57" w:type="dxa"/>
              <w:right w:w="57" w:type="dxa"/>
            </w:tcMar>
            <w:vAlign w:val="center"/>
          </w:tcPr>
          <w:p w14:paraId="454CDCD6">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99" w:type="dxa"/>
            <w:gridSpan w:val="2"/>
            <w:tcMar>
              <w:left w:w="57" w:type="dxa"/>
              <w:right w:w="57" w:type="dxa"/>
            </w:tcMar>
            <w:vAlign w:val="center"/>
          </w:tcPr>
          <w:p w14:paraId="30C0CC7E">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966" w:type="dxa"/>
            <w:tcMar>
              <w:left w:w="57" w:type="dxa"/>
              <w:right w:w="57" w:type="dxa"/>
            </w:tcMar>
            <w:vAlign w:val="center"/>
          </w:tcPr>
          <w:p w14:paraId="6F71D3F0">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299" w:type="dxa"/>
            <w:tcMar>
              <w:left w:w="57" w:type="dxa"/>
              <w:right w:w="57" w:type="dxa"/>
            </w:tcMar>
            <w:vAlign w:val="center"/>
          </w:tcPr>
          <w:p w14:paraId="7CDC9A0A">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819" w:type="dxa"/>
            <w:tcMar>
              <w:left w:w="57" w:type="dxa"/>
              <w:right w:w="57" w:type="dxa"/>
            </w:tcMar>
            <w:vAlign w:val="center"/>
          </w:tcPr>
          <w:p w14:paraId="360E7B94">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16" w:type="dxa"/>
            <w:tcMar>
              <w:left w:w="57" w:type="dxa"/>
              <w:right w:w="57" w:type="dxa"/>
            </w:tcMar>
            <w:vAlign w:val="center"/>
          </w:tcPr>
          <w:p w14:paraId="64A79FAD">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91" w:type="dxa"/>
            <w:gridSpan w:val="2"/>
            <w:tcMar>
              <w:left w:w="57" w:type="dxa"/>
              <w:right w:w="57" w:type="dxa"/>
            </w:tcMar>
            <w:vAlign w:val="center"/>
          </w:tcPr>
          <w:p w14:paraId="0DA5918F">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846" w:type="dxa"/>
            <w:tcMar>
              <w:left w:w="57" w:type="dxa"/>
              <w:right w:w="57" w:type="dxa"/>
            </w:tcMar>
            <w:vAlign w:val="center"/>
          </w:tcPr>
          <w:p w14:paraId="23CDC908">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49" w:type="dxa"/>
            <w:tcMar>
              <w:left w:w="57" w:type="dxa"/>
              <w:right w:w="57" w:type="dxa"/>
            </w:tcMar>
            <w:vAlign w:val="center"/>
          </w:tcPr>
          <w:p w14:paraId="28A60695">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r>
      <w:tr w14:paraId="7FCEAD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598" w:type="dxa"/>
            <w:gridSpan w:val="2"/>
            <w:vMerge w:val="continue"/>
            <w:tcMar>
              <w:left w:w="57" w:type="dxa"/>
              <w:right w:w="57" w:type="dxa"/>
            </w:tcMar>
            <w:vAlign w:val="center"/>
          </w:tcPr>
          <w:p w14:paraId="24D7DD22">
            <w:pPr>
              <w:spacing w:after="0"/>
              <w:jc w:val="center"/>
              <w:rPr>
                <w:color w:val="auto"/>
                <w:kern w:val="2"/>
                <w:sz w:val="15"/>
                <w:szCs w:val="15"/>
              </w:rPr>
            </w:pPr>
          </w:p>
        </w:tc>
        <w:tc>
          <w:tcPr>
            <w:tcW w:w="1796" w:type="dxa"/>
            <w:tcMar>
              <w:left w:w="57" w:type="dxa"/>
              <w:right w:w="57" w:type="dxa"/>
            </w:tcMar>
            <w:vAlign w:val="center"/>
          </w:tcPr>
          <w:p w14:paraId="084B1E1F">
            <w:pPr>
              <w:spacing w:after="0"/>
              <w:jc w:val="center"/>
              <w:rPr>
                <w:b/>
                <w:color w:val="auto"/>
                <w:kern w:val="2"/>
                <w:sz w:val="15"/>
                <w:szCs w:val="15"/>
              </w:rPr>
            </w:pPr>
            <w:r>
              <w:rPr>
                <w:b/>
                <w:color w:val="auto"/>
                <w:kern w:val="2"/>
                <w:sz w:val="15"/>
                <w:szCs w:val="15"/>
              </w:rPr>
              <w:t>化学需氧量</w:t>
            </w:r>
          </w:p>
        </w:tc>
        <w:tc>
          <w:tcPr>
            <w:tcW w:w="828" w:type="dxa"/>
            <w:tcMar>
              <w:left w:w="57" w:type="dxa"/>
              <w:right w:w="57" w:type="dxa"/>
            </w:tcMar>
            <w:vAlign w:val="center"/>
          </w:tcPr>
          <w:p w14:paraId="44CF4AA7">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color w:val="auto"/>
                <w:kern w:val="2"/>
                <w:sz w:val="15"/>
                <w:szCs w:val="15"/>
              </w:rPr>
              <w:t>/</w:t>
            </w:r>
          </w:p>
        </w:tc>
        <w:tc>
          <w:tcPr>
            <w:tcW w:w="1379" w:type="dxa"/>
            <w:tcMar>
              <w:left w:w="57" w:type="dxa"/>
              <w:right w:w="57" w:type="dxa"/>
            </w:tcMar>
            <w:vAlign w:val="center"/>
          </w:tcPr>
          <w:p w14:paraId="5F6FB5C5">
            <w:pPr>
              <w:spacing w:after="0"/>
              <w:jc w:val="center"/>
              <w:rPr>
                <w:rFonts w:hint="default" w:ascii="Times New Roman" w:hAnsi="Times New Roman" w:cs="Times New Roman"/>
                <w:color w:val="auto"/>
                <w:kern w:val="2"/>
                <w:sz w:val="15"/>
                <w:szCs w:val="15"/>
                <w:highlight w:val="yellow"/>
              </w:rPr>
            </w:pPr>
            <w:r>
              <w:rPr>
                <w:rFonts w:hint="eastAsia" w:cs="Times New Roman"/>
                <w:color w:val="auto"/>
                <w:kern w:val="2"/>
                <w:sz w:val="15"/>
                <w:szCs w:val="15"/>
                <w:highlight w:val="none"/>
                <w:lang w:val="en-US" w:eastAsia="zh-CN"/>
              </w:rPr>
              <w:t>/</w:t>
            </w:r>
          </w:p>
        </w:tc>
        <w:tc>
          <w:tcPr>
            <w:tcW w:w="1097" w:type="dxa"/>
            <w:tcMar>
              <w:left w:w="57" w:type="dxa"/>
              <w:right w:w="57" w:type="dxa"/>
            </w:tcMar>
            <w:vAlign w:val="center"/>
          </w:tcPr>
          <w:p w14:paraId="5B9D1CE2">
            <w:pPr>
              <w:spacing w:after="0"/>
              <w:jc w:val="center"/>
              <w:rPr>
                <w:rFonts w:hint="default" w:ascii="Times New Roman" w:hAnsi="Times New Roman" w:cs="Times New Roman"/>
                <w:color w:val="auto"/>
                <w:kern w:val="2"/>
                <w:sz w:val="15"/>
                <w:szCs w:val="15"/>
                <w:highlight w:val="yellow"/>
              </w:rPr>
            </w:pPr>
            <w:r>
              <w:rPr>
                <w:rFonts w:hint="eastAsia" w:cs="Times New Roman"/>
                <w:color w:val="auto"/>
                <w:kern w:val="2"/>
                <w:sz w:val="15"/>
                <w:szCs w:val="15"/>
                <w:highlight w:val="none"/>
                <w:lang w:val="en-US" w:eastAsia="zh-CN"/>
              </w:rPr>
              <w:t>/</w:t>
            </w:r>
          </w:p>
        </w:tc>
        <w:tc>
          <w:tcPr>
            <w:tcW w:w="993" w:type="dxa"/>
            <w:gridSpan w:val="2"/>
            <w:tcMar>
              <w:left w:w="57" w:type="dxa"/>
              <w:right w:w="57" w:type="dxa"/>
            </w:tcMar>
            <w:vAlign w:val="center"/>
          </w:tcPr>
          <w:p w14:paraId="3569ED88">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99" w:type="dxa"/>
            <w:gridSpan w:val="2"/>
            <w:tcMar>
              <w:left w:w="57" w:type="dxa"/>
              <w:right w:w="57" w:type="dxa"/>
            </w:tcMar>
            <w:vAlign w:val="center"/>
          </w:tcPr>
          <w:p w14:paraId="3BCA55AB">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966" w:type="dxa"/>
            <w:tcMar>
              <w:left w:w="57" w:type="dxa"/>
              <w:right w:w="57" w:type="dxa"/>
            </w:tcMar>
            <w:vAlign w:val="center"/>
          </w:tcPr>
          <w:p w14:paraId="5C45641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highlight w:val="yellow"/>
              </w:rPr>
            </w:pPr>
            <w:r>
              <w:rPr>
                <w:rFonts w:hint="default" w:ascii="Times New Roman" w:hAnsi="Times New Roman" w:eastAsia="宋体" w:cs="Times New Roman"/>
                <w:i w:val="0"/>
                <w:iCs w:val="0"/>
                <w:color w:val="auto"/>
                <w:kern w:val="0"/>
                <w:sz w:val="15"/>
                <w:szCs w:val="15"/>
                <w:u w:val="none"/>
                <w:lang w:val="en-US" w:eastAsia="zh-CN" w:bidi="ar"/>
              </w:rPr>
              <w:t xml:space="preserve">0.005400 </w:t>
            </w:r>
          </w:p>
        </w:tc>
        <w:tc>
          <w:tcPr>
            <w:tcW w:w="1299" w:type="dxa"/>
            <w:tcMar>
              <w:left w:w="57" w:type="dxa"/>
              <w:right w:w="57" w:type="dxa"/>
            </w:tcMar>
            <w:vAlign w:val="center"/>
          </w:tcPr>
          <w:p w14:paraId="6D1E114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highlight w:val="yellow"/>
              </w:rPr>
            </w:pPr>
            <w:r>
              <w:rPr>
                <w:rFonts w:hint="default" w:ascii="Times New Roman" w:hAnsi="Times New Roman" w:eastAsia="宋体" w:cs="Times New Roman"/>
                <w:i w:val="0"/>
                <w:iCs w:val="0"/>
                <w:color w:val="auto"/>
                <w:kern w:val="0"/>
                <w:sz w:val="15"/>
                <w:szCs w:val="15"/>
                <w:u w:val="none"/>
                <w:lang w:val="en-US" w:eastAsia="zh-CN" w:bidi="ar"/>
              </w:rPr>
              <w:t>0.005976</w:t>
            </w:r>
          </w:p>
        </w:tc>
        <w:tc>
          <w:tcPr>
            <w:tcW w:w="1819" w:type="dxa"/>
            <w:tcMar>
              <w:left w:w="57" w:type="dxa"/>
              <w:right w:w="57" w:type="dxa"/>
            </w:tcMar>
            <w:vAlign w:val="center"/>
          </w:tcPr>
          <w:p w14:paraId="35890CAF">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16" w:type="dxa"/>
            <w:tcMar>
              <w:left w:w="57" w:type="dxa"/>
              <w:right w:w="57" w:type="dxa"/>
            </w:tcMar>
            <w:vAlign w:val="center"/>
          </w:tcPr>
          <w:p w14:paraId="65B86B3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highlight w:val="yellow"/>
              </w:rPr>
            </w:pPr>
            <w:r>
              <w:rPr>
                <w:rFonts w:hint="default" w:ascii="Times New Roman" w:hAnsi="Times New Roman" w:eastAsia="宋体" w:cs="Times New Roman"/>
                <w:i w:val="0"/>
                <w:iCs w:val="0"/>
                <w:color w:val="auto"/>
                <w:kern w:val="0"/>
                <w:sz w:val="15"/>
                <w:szCs w:val="15"/>
                <w:u w:val="none"/>
                <w:lang w:val="en-US" w:eastAsia="zh-CN" w:bidi="ar"/>
              </w:rPr>
              <w:t xml:space="preserve">0.005400 </w:t>
            </w:r>
          </w:p>
        </w:tc>
        <w:tc>
          <w:tcPr>
            <w:tcW w:w="1091" w:type="dxa"/>
            <w:gridSpan w:val="2"/>
            <w:tcMar>
              <w:left w:w="57" w:type="dxa"/>
              <w:right w:w="57" w:type="dxa"/>
            </w:tcMar>
            <w:vAlign w:val="center"/>
          </w:tcPr>
          <w:p w14:paraId="6EF60E6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highlight w:val="yellow"/>
              </w:rPr>
            </w:pPr>
            <w:r>
              <w:rPr>
                <w:rFonts w:hint="default" w:ascii="Times New Roman" w:hAnsi="Times New Roman" w:eastAsia="宋体" w:cs="Times New Roman"/>
                <w:i w:val="0"/>
                <w:iCs w:val="0"/>
                <w:color w:val="auto"/>
                <w:kern w:val="0"/>
                <w:sz w:val="15"/>
                <w:szCs w:val="15"/>
                <w:u w:val="none"/>
                <w:lang w:val="en-US" w:eastAsia="zh-CN" w:bidi="ar"/>
              </w:rPr>
              <w:t>0.005976</w:t>
            </w:r>
          </w:p>
        </w:tc>
        <w:tc>
          <w:tcPr>
            <w:tcW w:w="846" w:type="dxa"/>
            <w:tcMar>
              <w:left w:w="57" w:type="dxa"/>
              <w:right w:w="57" w:type="dxa"/>
            </w:tcMar>
            <w:vAlign w:val="center"/>
          </w:tcPr>
          <w:p w14:paraId="70941F3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49" w:type="dxa"/>
            <w:tcMar>
              <w:left w:w="57" w:type="dxa"/>
              <w:right w:w="57" w:type="dxa"/>
            </w:tcMar>
            <w:vAlign w:val="center"/>
          </w:tcPr>
          <w:p w14:paraId="7D7EAD6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highlight w:val="yellow"/>
              </w:rPr>
            </w:pPr>
            <w:r>
              <w:rPr>
                <w:rFonts w:hint="default" w:ascii="Times New Roman" w:hAnsi="Times New Roman" w:eastAsia="宋体" w:cs="Times New Roman"/>
                <w:i w:val="0"/>
                <w:iCs w:val="0"/>
                <w:color w:val="auto"/>
                <w:kern w:val="0"/>
                <w:sz w:val="15"/>
                <w:szCs w:val="15"/>
                <w:u w:val="none"/>
                <w:lang w:val="en-US" w:eastAsia="zh-CN" w:bidi="ar"/>
              </w:rPr>
              <w:t xml:space="preserve">+0.005400 </w:t>
            </w:r>
          </w:p>
        </w:tc>
      </w:tr>
      <w:tr w14:paraId="56AA32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598" w:type="dxa"/>
            <w:gridSpan w:val="2"/>
            <w:vMerge w:val="continue"/>
            <w:tcMar>
              <w:left w:w="57" w:type="dxa"/>
              <w:right w:w="57" w:type="dxa"/>
            </w:tcMar>
            <w:vAlign w:val="center"/>
          </w:tcPr>
          <w:p w14:paraId="36E39937">
            <w:pPr>
              <w:spacing w:after="0"/>
              <w:jc w:val="center"/>
              <w:rPr>
                <w:color w:val="auto"/>
                <w:kern w:val="2"/>
                <w:sz w:val="15"/>
                <w:szCs w:val="15"/>
              </w:rPr>
            </w:pPr>
          </w:p>
        </w:tc>
        <w:tc>
          <w:tcPr>
            <w:tcW w:w="1796" w:type="dxa"/>
            <w:tcMar>
              <w:left w:w="57" w:type="dxa"/>
              <w:right w:w="57" w:type="dxa"/>
            </w:tcMar>
            <w:vAlign w:val="center"/>
          </w:tcPr>
          <w:p w14:paraId="54799AFC">
            <w:pPr>
              <w:spacing w:after="0"/>
              <w:jc w:val="center"/>
              <w:rPr>
                <w:rFonts w:hint="default" w:eastAsia="微软雅黑"/>
                <w:b/>
                <w:color w:val="auto"/>
                <w:kern w:val="2"/>
                <w:sz w:val="15"/>
                <w:szCs w:val="15"/>
                <w:lang w:val="en-US" w:eastAsia="zh-CN"/>
              </w:rPr>
            </w:pPr>
            <w:r>
              <w:rPr>
                <w:rFonts w:hint="eastAsia"/>
                <w:b/>
                <w:color w:val="auto"/>
                <w:kern w:val="2"/>
                <w:sz w:val="15"/>
                <w:szCs w:val="15"/>
                <w:lang w:val="en-US" w:eastAsia="zh-CN"/>
              </w:rPr>
              <w:t>五日生化需氧量</w:t>
            </w:r>
          </w:p>
        </w:tc>
        <w:tc>
          <w:tcPr>
            <w:tcW w:w="828" w:type="dxa"/>
            <w:tcMar>
              <w:left w:w="57" w:type="dxa"/>
              <w:right w:w="57" w:type="dxa"/>
            </w:tcMar>
            <w:vAlign w:val="center"/>
          </w:tcPr>
          <w:p w14:paraId="583BA4BD">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color w:val="auto"/>
                <w:kern w:val="2"/>
                <w:sz w:val="15"/>
                <w:szCs w:val="15"/>
              </w:rPr>
              <w:t>/</w:t>
            </w:r>
          </w:p>
        </w:tc>
        <w:tc>
          <w:tcPr>
            <w:tcW w:w="1379" w:type="dxa"/>
            <w:tcMar>
              <w:left w:w="57" w:type="dxa"/>
              <w:right w:w="57" w:type="dxa"/>
            </w:tcMar>
            <w:vAlign w:val="center"/>
          </w:tcPr>
          <w:p w14:paraId="032BD5C8">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97" w:type="dxa"/>
            <w:tcMar>
              <w:left w:w="57" w:type="dxa"/>
              <w:right w:w="57" w:type="dxa"/>
            </w:tcMar>
            <w:vAlign w:val="center"/>
          </w:tcPr>
          <w:p w14:paraId="43B51B72">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993" w:type="dxa"/>
            <w:gridSpan w:val="2"/>
            <w:tcMar>
              <w:left w:w="57" w:type="dxa"/>
              <w:right w:w="57" w:type="dxa"/>
            </w:tcMar>
            <w:vAlign w:val="center"/>
          </w:tcPr>
          <w:p w14:paraId="15EAAA54">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99" w:type="dxa"/>
            <w:gridSpan w:val="2"/>
            <w:tcMar>
              <w:left w:w="57" w:type="dxa"/>
              <w:right w:w="57" w:type="dxa"/>
            </w:tcMar>
            <w:vAlign w:val="center"/>
          </w:tcPr>
          <w:p w14:paraId="66950EB0">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966" w:type="dxa"/>
            <w:tcMar>
              <w:left w:w="57" w:type="dxa"/>
              <w:right w:w="57" w:type="dxa"/>
            </w:tcMar>
            <w:vAlign w:val="center"/>
          </w:tcPr>
          <w:p w14:paraId="7F615C4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highlight w:val="yellow"/>
              </w:rPr>
            </w:pPr>
            <w:r>
              <w:rPr>
                <w:rFonts w:hint="default" w:ascii="Times New Roman" w:hAnsi="Times New Roman" w:eastAsia="宋体" w:cs="Times New Roman"/>
                <w:i w:val="0"/>
                <w:iCs w:val="0"/>
                <w:color w:val="auto"/>
                <w:kern w:val="0"/>
                <w:sz w:val="15"/>
                <w:szCs w:val="15"/>
                <w:u w:val="none"/>
                <w:lang w:val="en-US" w:eastAsia="zh-CN" w:bidi="ar"/>
              </w:rPr>
              <w:t xml:space="preserve">0.002700 </w:t>
            </w:r>
          </w:p>
        </w:tc>
        <w:tc>
          <w:tcPr>
            <w:tcW w:w="1299" w:type="dxa"/>
            <w:tcMar>
              <w:left w:w="57" w:type="dxa"/>
              <w:right w:w="57" w:type="dxa"/>
            </w:tcMar>
            <w:vAlign w:val="center"/>
          </w:tcPr>
          <w:p w14:paraId="551E615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highlight w:val="yellow"/>
              </w:rPr>
            </w:pPr>
            <w:r>
              <w:rPr>
                <w:rFonts w:hint="default" w:ascii="Times New Roman" w:hAnsi="Times New Roman" w:eastAsia="宋体" w:cs="Times New Roman"/>
                <w:i w:val="0"/>
                <w:iCs w:val="0"/>
                <w:color w:val="auto"/>
                <w:kern w:val="0"/>
                <w:sz w:val="15"/>
                <w:szCs w:val="15"/>
                <w:u w:val="none"/>
                <w:lang w:val="en-US" w:eastAsia="zh-CN" w:bidi="ar"/>
              </w:rPr>
              <w:t>0.002988</w:t>
            </w:r>
          </w:p>
        </w:tc>
        <w:tc>
          <w:tcPr>
            <w:tcW w:w="1819" w:type="dxa"/>
            <w:tcMar>
              <w:left w:w="57" w:type="dxa"/>
              <w:right w:w="57" w:type="dxa"/>
            </w:tcMar>
            <w:vAlign w:val="center"/>
          </w:tcPr>
          <w:p w14:paraId="098A2EF0">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16" w:type="dxa"/>
            <w:tcMar>
              <w:left w:w="57" w:type="dxa"/>
              <w:right w:w="57" w:type="dxa"/>
            </w:tcMar>
            <w:vAlign w:val="center"/>
          </w:tcPr>
          <w:p w14:paraId="1537743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highlight w:val="yellow"/>
              </w:rPr>
            </w:pPr>
            <w:r>
              <w:rPr>
                <w:rFonts w:hint="default" w:ascii="Times New Roman" w:hAnsi="Times New Roman" w:eastAsia="宋体" w:cs="Times New Roman"/>
                <w:i w:val="0"/>
                <w:iCs w:val="0"/>
                <w:color w:val="auto"/>
                <w:kern w:val="0"/>
                <w:sz w:val="15"/>
                <w:szCs w:val="15"/>
                <w:u w:val="none"/>
                <w:lang w:val="en-US" w:eastAsia="zh-CN" w:bidi="ar"/>
              </w:rPr>
              <w:t xml:space="preserve">0.002700 </w:t>
            </w:r>
          </w:p>
        </w:tc>
        <w:tc>
          <w:tcPr>
            <w:tcW w:w="1091" w:type="dxa"/>
            <w:gridSpan w:val="2"/>
            <w:tcMar>
              <w:left w:w="57" w:type="dxa"/>
              <w:right w:w="57" w:type="dxa"/>
            </w:tcMar>
            <w:vAlign w:val="center"/>
          </w:tcPr>
          <w:p w14:paraId="0B7269A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highlight w:val="yellow"/>
              </w:rPr>
            </w:pPr>
            <w:r>
              <w:rPr>
                <w:rFonts w:hint="default" w:ascii="Times New Roman" w:hAnsi="Times New Roman" w:eastAsia="宋体" w:cs="Times New Roman"/>
                <w:i w:val="0"/>
                <w:iCs w:val="0"/>
                <w:color w:val="auto"/>
                <w:kern w:val="0"/>
                <w:sz w:val="15"/>
                <w:szCs w:val="15"/>
                <w:u w:val="none"/>
                <w:lang w:val="en-US" w:eastAsia="zh-CN" w:bidi="ar"/>
              </w:rPr>
              <w:t>0.002988</w:t>
            </w:r>
          </w:p>
        </w:tc>
        <w:tc>
          <w:tcPr>
            <w:tcW w:w="846" w:type="dxa"/>
            <w:tcMar>
              <w:left w:w="57" w:type="dxa"/>
              <w:right w:w="57" w:type="dxa"/>
            </w:tcMar>
            <w:vAlign w:val="center"/>
          </w:tcPr>
          <w:p w14:paraId="3F4CE9D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49" w:type="dxa"/>
            <w:tcMar>
              <w:left w:w="57" w:type="dxa"/>
              <w:right w:w="57" w:type="dxa"/>
            </w:tcMar>
            <w:vAlign w:val="center"/>
          </w:tcPr>
          <w:p w14:paraId="04B2B3D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highlight w:val="yellow"/>
              </w:rPr>
            </w:pPr>
            <w:r>
              <w:rPr>
                <w:rFonts w:hint="default" w:ascii="Times New Roman" w:hAnsi="Times New Roman" w:eastAsia="宋体" w:cs="Times New Roman"/>
                <w:i w:val="0"/>
                <w:iCs w:val="0"/>
                <w:color w:val="auto"/>
                <w:kern w:val="0"/>
                <w:sz w:val="15"/>
                <w:szCs w:val="15"/>
                <w:u w:val="none"/>
                <w:lang w:val="en-US" w:eastAsia="zh-CN" w:bidi="ar"/>
              </w:rPr>
              <w:t xml:space="preserve">+0.002700 </w:t>
            </w:r>
          </w:p>
        </w:tc>
      </w:tr>
      <w:tr w14:paraId="37E167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598" w:type="dxa"/>
            <w:gridSpan w:val="2"/>
            <w:vMerge w:val="continue"/>
            <w:tcMar>
              <w:left w:w="57" w:type="dxa"/>
              <w:right w:w="57" w:type="dxa"/>
            </w:tcMar>
            <w:vAlign w:val="center"/>
          </w:tcPr>
          <w:p w14:paraId="77C3228F">
            <w:pPr>
              <w:spacing w:after="0"/>
              <w:jc w:val="center"/>
              <w:rPr>
                <w:color w:val="auto"/>
                <w:kern w:val="2"/>
                <w:sz w:val="15"/>
                <w:szCs w:val="15"/>
              </w:rPr>
            </w:pPr>
          </w:p>
        </w:tc>
        <w:tc>
          <w:tcPr>
            <w:tcW w:w="1796" w:type="dxa"/>
            <w:tcMar>
              <w:left w:w="57" w:type="dxa"/>
              <w:right w:w="57" w:type="dxa"/>
            </w:tcMar>
            <w:vAlign w:val="center"/>
          </w:tcPr>
          <w:p w14:paraId="1411BB31">
            <w:pPr>
              <w:spacing w:after="0"/>
              <w:jc w:val="center"/>
              <w:rPr>
                <w:rFonts w:hint="eastAsia" w:eastAsia="微软雅黑"/>
                <w:b/>
                <w:color w:val="auto"/>
                <w:kern w:val="2"/>
                <w:sz w:val="15"/>
                <w:szCs w:val="15"/>
                <w:lang w:eastAsia="zh-CN"/>
              </w:rPr>
            </w:pPr>
            <w:r>
              <w:rPr>
                <w:rFonts w:hint="eastAsia"/>
                <w:b/>
                <w:color w:val="auto"/>
                <w:kern w:val="2"/>
                <w:sz w:val="15"/>
                <w:szCs w:val="15"/>
                <w:lang w:val="en-US" w:eastAsia="zh-CN"/>
              </w:rPr>
              <w:t>悬浮物</w:t>
            </w:r>
          </w:p>
        </w:tc>
        <w:tc>
          <w:tcPr>
            <w:tcW w:w="828" w:type="dxa"/>
            <w:tcMar>
              <w:left w:w="57" w:type="dxa"/>
              <w:right w:w="57" w:type="dxa"/>
            </w:tcMar>
            <w:vAlign w:val="center"/>
          </w:tcPr>
          <w:p w14:paraId="0747085E">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color w:val="auto"/>
                <w:kern w:val="2"/>
                <w:sz w:val="15"/>
                <w:szCs w:val="15"/>
              </w:rPr>
              <w:t>/</w:t>
            </w:r>
          </w:p>
        </w:tc>
        <w:tc>
          <w:tcPr>
            <w:tcW w:w="1379" w:type="dxa"/>
            <w:tcMar>
              <w:left w:w="57" w:type="dxa"/>
              <w:right w:w="57" w:type="dxa"/>
            </w:tcMar>
            <w:vAlign w:val="center"/>
          </w:tcPr>
          <w:p w14:paraId="4B18AF27">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97" w:type="dxa"/>
            <w:tcMar>
              <w:left w:w="57" w:type="dxa"/>
              <w:right w:w="57" w:type="dxa"/>
            </w:tcMar>
            <w:vAlign w:val="center"/>
          </w:tcPr>
          <w:p w14:paraId="0D043D11">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993" w:type="dxa"/>
            <w:gridSpan w:val="2"/>
            <w:tcMar>
              <w:left w:w="57" w:type="dxa"/>
              <w:right w:w="57" w:type="dxa"/>
            </w:tcMar>
            <w:vAlign w:val="center"/>
          </w:tcPr>
          <w:p w14:paraId="76A77D1B">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99" w:type="dxa"/>
            <w:gridSpan w:val="2"/>
            <w:tcMar>
              <w:left w:w="57" w:type="dxa"/>
              <w:right w:w="57" w:type="dxa"/>
            </w:tcMar>
            <w:vAlign w:val="center"/>
          </w:tcPr>
          <w:p w14:paraId="12775D09">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966" w:type="dxa"/>
            <w:tcMar>
              <w:left w:w="57" w:type="dxa"/>
              <w:right w:w="57" w:type="dxa"/>
            </w:tcMar>
            <w:vAlign w:val="center"/>
          </w:tcPr>
          <w:p w14:paraId="0838EF3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highlight w:val="yellow"/>
              </w:rPr>
            </w:pPr>
            <w:r>
              <w:rPr>
                <w:rFonts w:hint="default" w:ascii="Times New Roman" w:hAnsi="Times New Roman" w:eastAsia="宋体" w:cs="Times New Roman"/>
                <w:i w:val="0"/>
                <w:iCs w:val="0"/>
                <w:color w:val="auto"/>
                <w:kern w:val="0"/>
                <w:sz w:val="15"/>
                <w:szCs w:val="15"/>
                <w:u w:val="none"/>
                <w:lang w:val="en-US" w:eastAsia="zh-CN" w:bidi="ar"/>
              </w:rPr>
              <w:t xml:space="preserve">0.002700 </w:t>
            </w:r>
          </w:p>
        </w:tc>
        <w:tc>
          <w:tcPr>
            <w:tcW w:w="1299" w:type="dxa"/>
            <w:tcMar>
              <w:left w:w="57" w:type="dxa"/>
              <w:right w:w="57" w:type="dxa"/>
            </w:tcMar>
            <w:vAlign w:val="center"/>
          </w:tcPr>
          <w:p w14:paraId="0B3E261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highlight w:val="yellow"/>
              </w:rPr>
            </w:pPr>
            <w:r>
              <w:rPr>
                <w:rFonts w:hint="default" w:ascii="Times New Roman" w:hAnsi="Times New Roman" w:eastAsia="宋体" w:cs="Times New Roman"/>
                <w:i w:val="0"/>
                <w:iCs w:val="0"/>
                <w:color w:val="auto"/>
                <w:kern w:val="0"/>
                <w:sz w:val="15"/>
                <w:szCs w:val="15"/>
                <w:u w:val="none"/>
                <w:lang w:val="en-US" w:eastAsia="zh-CN" w:bidi="ar"/>
              </w:rPr>
              <w:t>0.002988</w:t>
            </w:r>
          </w:p>
        </w:tc>
        <w:tc>
          <w:tcPr>
            <w:tcW w:w="1819" w:type="dxa"/>
            <w:tcMar>
              <w:left w:w="57" w:type="dxa"/>
              <w:right w:w="57" w:type="dxa"/>
            </w:tcMar>
            <w:vAlign w:val="center"/>
          </w:tcPr>
          <w:p w14:paraId="6A4805A9">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16" w:type="dxa"/>
            <w:tcMar>
              <w:left w:w="57" w:type="dxa"/>
              <w:right w:w="57" w:type="dxa"/>
            </w:tcMar>
            <w:vAlign w:val="center"/>
          </w:tcPr>
          <w:p w14:paraId="680E254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highlight w:val="yellow"/>
              </w:rPr>
            </w:pPr>
            <w:r>
              <w:rPr>
                <w:rFonts w:hint="default" w:ascii="Times New Roman" w:hAnsi="Times New Roman" w:eastAsia="宋体" w:cs="Times New Roman"/>
                <w:i w:val="0"/>
                <w:iCs w:val="0"/>
                <w:color w:val="auto"/>
                <w:kern w:val="0"/>
                <w:sz w:val="15"/>
                <w:szCs w:val="15"/>
                <w:u w:val="none"/>
                <w:lang w:val="en-US" w:eastAsia="zh-CN" w:bidi="ar"/>
              </w:rPr>
              <w:t xml:space="preserve">0.002700 </w:t>
            </w:r>
          </w:p>
        </w:tc>
        <w:tc>
          <w:tcPr>
            <w:tcW w:w="1091" w:type="dxa"/>
            <w:gridSpan w:val="2"/>
            <w:tcMar>
              <w:left w:w="57" w:type="dxa"/>
              <w:right w:w="57" w:type="dxa"/>
            </w:tcMar>
            <w:vAlign w:val="center"/>
          </w:tcPr>
          <w:p w14:paraId="01B8B21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highlight w:val="yellow"/>
              </w:rPr>
            </w:pPr>
            <w:r>
              <w:rPr>
                <w:rFonts w:hint="default" w:ascii="Times New Roman" w:hAnsi="Times New Roman" w:eastAsia="宋体" w:cs="Times New Roman"/>
                <w:i w:val="0"/>
                <w:iCs w:val="0"/>
                <w:color w:val="auto"/>
                <w:kern w:val="0"/>
                <w:sz w:val="15"/>
                <w:szCs w:val="15"/>
                <w:u w:val="none"/>
                <w:lang w:val="en-US" w:eastAsia="zh-CN" w:bidi="ar"/>
              </w:rPr>
              <w:t>0.002988</w:t>
            </w:r>
          </w:p>
        </w:tc>
        <w:tc>
          <w:tcPr>
            <w:tcW w:w="846" w:type="dxa"/>
            <w:tcMar>
              <w:left w:w="57" w:type="dxa"/>
              <w:right w:w="57" w:type="dxa"/>
            </w:tcMar>
            <w:vAlign w:val="center"/>
          </w:tcPr>
          <w:p w14:paraId="2594F70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49" w:type="dxa"/>
            <w:tcMar>
              <w:left w:w="57" w:type="dxa"/>
              <w:right w:w="57" w:type="dxa"/>
            </w:tcMar>
            <w:vAlign w:val="center"/>
          </w:tcPr>
          <w:p w14:paraId="5ED54C6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highlight w:val="yellow"/>
              </w:rPr>
            </w:pPr>
            <w:r>
              <w:rPr>
                <w:rFonts w:hint="default" w:ascii="Times New Roman" w:hAnsi="Times New Roman" w:eastAsia="宋体" w:cs="Times New Roman"/>
                <w:i w:val="0"/>
                <w:iCs w:val="0"/>
                <w:color w:val="auto"/>
                <w:kern w:val="0"/>
                <w:sz w:val="15"/>
                <w:szCs w:val="15"/>
                <w:u w:val="none"/>
                <w:lang w:val="en-US" w:eastAsia="zh-CN" w:bidi="ar"/>
              </w:rPr>
              <w:t xml:space="preserve">+0.002700 </w:t>
            </w:r>
          </w:p>
        </w:tc>
      </w:tr>
      <w:tr w14:paraId="132BBD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598" w:type="dxa"/>
            <w:gridSpan w:val="2"/>
            <w:vMerge w:val="continue"/>
            <w:tcMar>
              <w:left w:w="57" w:type="dxa"/>
              <w:right w:w="57" w:type="dxa"/>
            </w:tcMar>
            <w:vAlign w:val="center"/>
          </w:tcPr>
          <w:p w14:paraId="05E4DCA2">
            <w:pPr>
              <w:spacing w:after="0"/>
              <w:jc w:val="center"/>
              <w:rPr>
                <w:color w:val="auto"/>
                <w:kern w:val="2"/>
                <w:sz w:val="15"/>
                <w:szCs w:val="15"/>
              </w:rPr>
            </w:pPr>
          </w:p>
        </w:tc>
        <w:tc>
          <w:tcPr>
            <w:tcW w:w="1796" w:type="dxa"/>
            <w:tcMar>
              <w:left w:w="57" w:type="dxa"/>
              <w:right w:w="57" w:type="dxa"/>
            </w:tcMar>
            <w:vAlign w:val="center"/>
          </w:tcPr>
          <w:p w14:paraId="37F0DE16">
            <w:pPr>
              <w:spacing w:after="0"/>
              <w:jc w:val="center"/>
              <w:rPr>
                <w:rFonts w:hint="eastAsia" w:eastAsia="微软雅黑"/>
                <w:b/>
                <w:color w:val="auto"/>
                <w:kern w:val="2"/>
                <w:sz w:val="15"/>
                <w:szCs w:val="15"/>
                <w:lang w:eastAsia="zh-CN"/>
              </w:rPr>
            </w:pPr>
            <w:r>
              <w:rPr>
                <w:rFonts w:hint="eastAsia"/>
                <w:b/>
                <w:color w:val="auto"/>
                <w:kern w:val="2"/>
                <w:sz w:val="15"/>
                <w:szCs w:val="15"/>
                <w:lang w:val="en-US" w:eastAsia="zh-CN"/>
              </w:rPr>
              <w:t>氨氮</w:t>
            </w:r>
          </w:p>
        </w:tc>
        <w:tc>
          <w:tcPr>
            <w:tcW w:w="828" w:type="dxa"/>
            <w:tcMar>
              <w:left w:w="57" w:type="dxa"/>
              <w:right w:w="57" w:type="dxa"/>
            </w:tcMar>
            <w:vAlign w:val="center"/>
          </w:tcPr>
          <w:p w14:paraId="2E84C46A">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color w:val="auto"/>
                <w:kern w:val="2"/>
                <w:sz w:val="15"/>
                <w:szCs w:val="15"/>
              </w:rPr>
              <w:t>/</w:t>
            </w:r>
          </w:p>
        </w:tc>
        <w:tc>
          <w:tcPr>
            <w:tcW w:w="1379" w:type="dxa"/>
            <w:tcMar>
              <w:left w:w="57" w:type="dxa"/>
              <w:right w:w="57" w:type="dxa"/>
            </w:tcMar>
            <w:vAlign w:val="center"/>
          </w:tcPr>
          <w:p w14:paraId="366FE8DB">
            <w:pPr>
              <w:spacing w:after="0"/>
              <w:jc w:val="center"/>
              <w:rPr>
                <w:rFonts w:hint="default" w:ascii="Times New Roman" w:hAnsi="Times New Roman" w:cs="Times New Roman"/>
                <w:color w:val="auto"/>
                <w:kern w:val="2"/>
                <w:sz w:val="15"/>
                <w:szCs w:val="15"/>
                <w:highlight w:val="yellow"/>
              </w:rPr>
            </w:pPr>
            <w:r>
              <w:rPr>
                <w:rFonts w:hint="eastAsia" w:cs="Times New Roman"/>
                <w:color w:val="auto"/>
                <w:kern w:val="2"/>
                <w:sz w:val="15"/>
                <w:szCs w:val="15"/>
                <w:highlight w:val="none"/>
                <w:lang w:val="en-US" w:eastAsia="zh-CN"/>
              </w:rPr>
              <w:t>/</w:t>
            </w:r>
          </w:p>
        </w:tc>
        <w:tc>
          <w:tcPr>
            <w:tcW w:w="1097" w:type="dxa"/>
            <w:tcMar>
              <w:left w:w="57" w:type="dxa"/>
              <w:right w:w="57" w:type="dxa"/>
            </w:tcMar>
            <w:vAlign w:val="center"/>
          </w:tcPr>
          <w:p w14:paraId="7E44E4EF">
            <w:pPr>
              <w:spacing w:after="0"/>
              <w:jc w:val="center"/>
              <w:rPr>
                <w:rFonts w:hint="default" w:ascii="Times New Roman" w:hAnsi="Times New Roman" w:cs="Times New Roman"/>
                <w:color w:val="auto"/>
                <w:kern w:val="2"/>
                <w:sz w:val="15"/>
                <w:szCs w:val="15"/>
                <w:highlight w:val="yellow"/>
              </w:rPr>
            </w:pPr>
            <w:r>
              <w:rPr>
                <w:rFonts w:hint="eastAsia" w:cs="Times New Roman"/>
                <w:color w:val="auto"/>
                <w:kern w:val="2"/>
                <w:sz w:val="15"/>
                <w:szCs w:val="15"/>
                <w:highlight w:val="none"/>
                <w:lang w:val="en-US" w:eastAsia="zh-CN"/>
              </w:rPr>
              <w:t>/</w:t>
            </w:r>
          </w:p>
        </w:tc>
        <w:tc>
          <w:tcPr>
            <w:tcW w:w="993" w:type="dxa"/>
            <w:gridSpan w:val="2"/>
            <w:tcMar>
              <w:left w:w="57" w:type="dxa"/>
              <w:right w:w="57" w:type="dxa"/>
            </w:tcMar>
            <w:vAlign w:val="center"/>
          </w:tcPr>
          <w:p w14:paraId="340F9AB0">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99" w:type="dxa"/>
            <w:gridSpan w:val="2"/>
            <w:tcMar>
              <w:left w:w="57" w:type="dxa"/>
              <w:right w:w="57" w:type="dxa"/>
            </w:tcMar>
            <w:vAlign w:val="center"/>
          </w:tcPr>
          <w:p w14:paraId="55AE2123">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966" w:type="dxa"/>
            <w:tcMar>
              <w:left w:w="57" w:type="dxa"/>
              <w:right w:w="57" w:type="dxa"/>
            </w:tcMar>
            <w:vAlign w:val="center"/>
          </w:tcPr>
          <w:p w14:paraId="143A155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highlight w:val="yellow"/>
              </w:rPr>
            </w:pPr>
            <w:r>
              <w:rPr>
                <w:rFonts w:hint="default" w:ascii="Times New Roman" w:hAnsi="Times New Roman" w:eastAsia="宋体" w:cs="Times New Roman"/>
                <w:i w:val="0"/>
                <w:iCs w:val="0"/>
                <w:color w:val="auto"/>
                <w:kern w:val="0"/>
                <w:sz w:val="15"/>
                <w:szCs w:val="15"/>
                <w:u w:val="none"/>
                <w:lang w:val="en-US" w:eastAsia="zh-CN" w:bidi="ar"/>
              </w:rPr>
              <w:t xml:space="preserve">0.000270 </w:t>
            </w:r>
          </w:p>
        </w:tc>
        <w:tc>
          <w:tcPr>
            <w:tcW w:w="1299" w:type="dxa"/>
            <w:tcMar>
              <w:left w:w="57" w:type="dxa"/>
              <w:right w:w="57" w:type="dxa"/>
            </w:tcMar>
            <w:vAlign w:val="center"/>
          </w:tcPr>
          <w:p w14:paraId="13511AA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highlight w:val="yellow"/>
              </w:rPr>
            </w:pPr>
            <w:r>
              <w:rPr>
                <w:rFonts w:hint="default" w:ascii="Times New Roman" w:hAnsi="Times New Roman" w:eastAsia="宋体" w:cs="Times New Roman"/>
                <w:i w:val="0"/>
                <w:iCs w:val="0"/>
                <w:color w:val="auto"/>
                <w:kern w:val="0"/>
                <w:sz w:val="15"/>
                <w:szCs w:val="15"/>
                <w:u w:val="none"/>
                <w:lang w:val="en-US" w:eastAsia="zh-CN" w:bidi="ar"/>
              </w:rPr>
              <w:t>0.000299</w:t>
            </w:r>
          </w:p>
        </w:tc>
        <w:tc>
          <w:tcPr>
            <w:tcW w:w="1819" w:type="dxa"/>
            <w:tcMar>
              <w:left w:w="57" w:type="dxa"/>
              <w:right w:w="57" w:type="dxa"/>
            </w:tcMar>
            <w:vAlign w:val="center"/>
          </w:tcPr>
          <w:p w14:paraId="297811B2">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16" w:type="dxa"/>
            <w:tcMar>
              <w:left w:w="57" w:type="dxa"/>
              <w:right w:w="57" w:type="dxa"/>
            </w:tcMar>
            <w:vAlign w:val="center"/>
          </w:tcPr>
          <w:p w14:paraId="7E4BA6C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highlight w:val="yellow"/>
              </w:rPr>
            </w:pPr>
            <w:r>
              <w:rPr>
                <w:rFonts w:hint="default" w:ascii="Times New Roman" w:hAnsi="Times New Roman" w:eastAsia="宋体" w:cs="Times New Roman"/>
                <w:i w:val="0"/>
                <w:iCs w:val="0"/>
                <w:color w:val="auto"/>
                <w:kern w:val="0"/>
                <w:sz w:val="15"/>
                <w:szCs w:val="15"/>
                <w:u w:val="none"/>
                <w:lang w:val="en-US" w:eastAsia="zh-CN" w:bidi="ar"/>
              </w:rPr>
              <w:t xml:space="preserve">0.000270 </w:t>
            </w:r>
          </w:p>
        </w:tc>
        <w:tc>
          <w:tcPr>
            <w:tcW w:w="1091" w:type="dxa"/>
            <w:gridSpan w:val="2"/>
            <w:tcMar>
              <w:left w:w="57" w:type="dxa"/>
              <w:right w:w="57" w:type="dxa"/>
            </w:tcMar>
            <w:vAlign w:val="center"/>
          </w:tcPr>
          <w:p w14:paraId="3749838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highlight w:val="yellow"/>
              </w:rPr>
            </w:pPr>
            <w:r>
              <w:rPr>
                <w:rFonts w:hint="default" w:ascii="Times New Roman" w:hAnsi="Times New Roman" w:eastAsia="宋体" w:cs="Times New Roman"/>
                <w:i w:val="0"/>
                <w:iCs w:val="0"/>
                <w:color w:val="auto"/>
                <w:kern w:val="0"/>
                <w:sz w:val="15"/>
                <w:szCs w:val="15"/>
                <w:u w:val="none"/>
                <w:lang w:val="en-US" w:eastAsia="zh-CN" w:bidi="ar"/>
              </w:rPr>
              <w:t>0.000299</w:t>
            </w:r>
          </w:p>
        </w:tc>
        <w:tc>
          <w:tcPr>
            <w:tcW w:w="846" w:type="dxa"/>
            <w:tcMar>
              <w:left w:w="57" w:type="dxa"/>
              <w:right w:w="57" w:type="dxa"/>
            </w:tcMar>
            <w:vAlign w:val="center"/>
          </w:tcPr>
          <w:p w14:paraId="1A4768C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49" w:type="dxa"/>
            <w:tcMar>
              <w:left w:w="57" w:type="dxa"/>
              <w:right w:w="57" w:type="dxa"/>
            </w:tcMar>
            <w:vAlign w:val="center"/>
          </w:tcPr>
          <w:p w14:paraId="408A42A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highlight w:val="yellow"/>
              </w:rPr>
            </w:pPr>
            <w:r>
              <w:rPr>
                <w:rFonts w:hint="default" w:ascii="Times New Roman" w:hAnsi="Times New Roman" w:eastAsia="宋体" w:cs="Times New Roman"/>
                <w:i w:val="0"/>
                <w:iCs w:val="0"/>
                <w:color w:val="auto"/>
                <w:kern w:val="0"/>
                <w:sz w:val="15"/>
                <w:szCs w:val="15"/>
                <w:u w:val="none"/>
                <w:lang w:val="en-US" w:eastAsia="zh-CN" w:bidi="ar"/>
              </w:rPr>
              <w:t xml:space="preserve">+0.000270 </w:t>
            </w:r>
          </w:p>
        </w:tc>
      </w:tr>
      <w:tr w14:paraId="2AB8F9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598" w:type="dxa"/>
            <w:gridSpan w:val="2"/>
            <w:vMerge w:val="continue"/>
            <w:tcMar>
              <w:left w:w="57" w:type="dxa"/>
              <w:right w:w="57" w:type="dxa"/>
            </w:tcMar>
            <w:vAlign w:val="center"/>
          </w:tcPr>
          <w:p w14:paraId="14F2AEAB">
            <w:pPr>
              <w:spacing w:after="0"/>
              <w:jc w:val="center"/>
              <w:rPr>
                <w:color w:val="auto"/>
                <w:kern w:val="2"/>
                <w:sz w:val="15"/>
                <w:szCs w:val="15"/>
              </w:rPr>
            </w:pPr>
          </w:p>
        </w:tc>
        <w:tc>
          <w:tcPr>
            <w:tcW w:w="1796" w:type="dxa"/>
            <w:tcMar>
              <w:left w:w="57" w:type="dxa"/>
              <w:right w:w="57" w:type="dxa"/>
            </w:tcMar>
            <w:vAlign w:val="center"/>
          </w:tcPr>
          <w:p w14:paraId="7689E61C">
            <w:pPr>
              <w:spacing w:after="0"/>
              <w:jc w:val="center"/>
              <w:rPr>
                <w:rFonts w:hint="default"/>
                <w:b/>
                <w:color w:val="auto"/>
                <w:kern w:val="2"/>
                <w:sz w:val="15"/>
                <w:szCs w:val="15"/>
                <w:lang w:val="en-US" w:eastAsia="zh-CN"/>
              </w:rPr>
            </w:pPr>
            <w:r>
              <w:rPr>
                <w:rFonts w:hint="eastAsia"/>
                <w:b/>
                <w:color w:val="auto"/>
                <w:kern w:val="2"/>
                <w:sz w:val="15"/>
                <w:szCs w:val="15"/>
                <w:lang w:val="en-US" w:eastAsia="zh-CN"/>
              </w:rPr>
              <w:t>总磷</w:t>
            </w:r>
          </w:p>
        </w:tc>
        <w:tc>
          <w:tcPr>
            <w:tcW w:w="828" w:type="dxa"/>
            <w:tcMar>
              <w:left w:w="57" w:type="dxa"/>
              <w:right w:w="57" w:type="dxa"/>
            </w:tcMar>
            <w:vAlign w:val="center"/>
          </w:tcPr>
          <w:p w14:paraId="3D247C52">
            <w:pPr>
              <w:spacing w:after="0"/>
              <w:jc w:val="center"/>
              <w:rPr>
                <w:rFonts w:hint="default" w:ascii="Times New Roman" w:hAnsi="Times New Roman" w:cs="Times New Roman"/>
                <w:color w:val="auto"/>
                <w:kern w:val="2"/>
                <w:sz w:val="15"/>
                <w:szCs w:val="15"/>
              </w:rPr>
            </w:pPr>
          </w:p>
        </w:tc>
        <w:tc>
          <w:tcPr>
            <w:tcW w:w="1379" w:type="dxa"/>
            <w:tcMar>
              <w:left w:w="57" w:type="dxa"/>
              <w:right w:w="57" w:type="dxa"/>
            </w:tcMar>
            <w:vAlign w:val="center"/>
          </w:tcPr>
          <w:p w14:paraId="0EA40794">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color w:val="auto"/>
                <w:kern w:val="2"/>
                <w:sz w:val="15"/>
                <w:szCs w:val="15"/>
              </w:rPr>
              <w:t>/</w:t>
            </w:r>
          </w:p>
        </w:tc>
        <w:tc>
          <w:tcPr>
            <w:tcW w:w="1097" w:type="dxa"/>
            <w:tcMar>
              <w:left w:w="57" w:type="dxa"/>
              <w:right w:w="57" w:type="dxa"/>
            </w:tcMar>
            <w:vAlign w:val="center"/>
          </w:tcPr>
          <w:p w14:paraId="61526F8B">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color w:val="auto"/>
                <w:kern w:val="2"/>
                <w:sz w:val="15"/>
                <w:szCs w:val="15"/>
              </w:rPr>
              <w:t>/</w:t>
            </w:r>
          </w:p>
        </w:tc>
        <w:tc>
          <w:tcPr>
            <w:tcW w:w="993" w:type="dxa"/>
            <w:gridSpan w:val="2"/>
            <w:tcMar>
              <w:left w:w="57" w:type="dxa"/>
              <w:right w:w="57" w:type="dxa"/>
            </w:tcMar>
            <w:vAlign w:val="center"/>
          </w:tcPr>
          <w:p w14:paraId="14346029">
            <w:pPr>
              <w:spacing w:after="0"/>
              <w:jc w:val="center"/>
              <w:rPr>
                <w:rFonts w:hint="eastAsia" w:ascii="Times New Roman" w:hAnsi="Times New Roman" w:eastAsia="微软雅黑" w:cs="Times New Roman"/>
                <w:color w:val="auto"/>
                <w:kern w:val="2"/>
                <w:sz w:val="15"/>
                <w:szCs w:val="15"/>
                <w:lang w:val="en-US" w:eastAsia="zh-CN"/>
              </w:rPr>
            </w:pPr>
            <w:r>
              <w:rPr>
                <w:rFonts w:hint="eastAsia" w:cs="Times New Roman"/>
                <w:color w:val="auto"/>
                <w:kern w:val="2"/>
                <w:sz w:val="15"/>
                <w:szCs w:val="15"/>
                <w:lang w:val="en-US" w:eastAsia="zh-CN"/>
              </w:rPr>
              <w:t>/</w:t>
            </w:r>
          </w:p>
        </w:tc>
        <w:tc>
          <w:tcPr>
            <w:tcW w:w="1099" w:type="dxa"/>
            <w:gridSpan w:val="2"/>
            <w:tcMar>
              <w:left w:w="57" w:type="dxa"/>
              <w:right w:w="57" w:type="dxa"/>
            </w:tcMar>
            <w:vAlign w:val="center"/>
          </w:tcPr>
          <w:p w14:paraId="0DB1E000">
            <w:pPr>
              <w:spacing w:after="0"/>
              <w:jc w:val="center"/>
              <w:rPr>
                <w:rFonts w:hint="eastAsia" w:ascii="Times New Roman" w:hAnsi="Times New Roman" w:eastAsia="微软雅黑" w:cs="Times New Roman"/>
                <w:color w:val="auto"/>
                <w:kern w:val="2"/>
                <w:sz w:val="15"/>
                <w:szCs w:val="15"/>
                <w:lang w:val="en-US" w:eastAsia="zh-CN"/>
              </w:rPr>
            </w:pPr>
            <w:r>
              <w:rPr>
                <w:rFonts w:hint="eastAsia" w:cs="Times New Roman"/>
                <w:color w:val="auto"/>
                <w:kern w:val="2"/>
                <w:sz w:val="15"/>
                <w:szCs w:val="15"/>
                <w:lang w:val="en-US" w:eastAsia="zh-CN"/>
              </w:rPr>
              <w:t>/</w:t>
            </w:r>
          </w:p>
        </w:tc>
        <w:tc>
          <w:tcPr>
            <w:tcW w:w="966" w:type="dxa"/>
            <w:tcMar>
              <w:left w:w="57" w:type="dxa"/>
              <w:right w:w="57" w:type="dxa"/>
            </w:tcMar>
            <w:vAlign w:val="center"/>
          </w:tcPr>
          <w:p w14:paraId="1BCAA75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rPr>
            </w:pPr>
            <w:r>
              <w:rPr>
                <w:rFonts w:hint="default" w:ascii="Times New Roman" w:hAnsi="Times New Roman" w:eastAsia="宋体" w:cs="Times New Roman"/>
                <w:i w:val="0"/>
                <w:iCs w:val="0"/>
                <w:color w:val="auto"/>
                <w:kern w:val="0"/>
                <w:sz w:val="15"/>
                <w:szCs w:val="15"/>
                <w:u w:val="none"/>
                <w:lang w:val="en-US" w:eastAsia="zh-CN" w:bidi="ar"/>
              </w:rPr>
              <w:t xml:space="preserve">0.000054 </w:t>
            </w:r>
          </w:p>
        </w:tc>
        <w:tc>
          <w:tcPr>
            <w:tcW w:w="1299" w:type="dxa"/>
            <w:tcMar>
              <w:left w:w="57" w:type="dxa"/>
              <w:right w:w="57" w:type="dxa"/>
            </w:tcMar>
            <w:vAlign w:val="center"/>
          </w:tcPr>
          <w:p w14:paraId="2EC8117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lang w:val="en-US"/>
              </w:rPr>
            </w:pPr>
            <w:r>
              <w:rPr>
                <w:rFonts w:hint="default" w:ascii="Times New Roman" w:hAnsi="Times New Roman" w:eastAsia="宋体" w:cs="Times New Roman"/>
                <w:i w:val="0"/>
                <w:iCs w:val="0"/>
                <w:color w:val="auto"/>
                <w:kern w:val="0"/>
                <w:sz w:val="15"/>
                <w:szCs w:val="15"/>
                <w:u w:val="none"/>
                <w:lang w:val="en-US" w:eastAsia="zh-CN" w:bidi="ar"/>
              </w:rPr>
              <w:t>0.000060</w:t>
            </w:r>
          </w:p>
        </w:tc>
        <w:tc>
          <w:tcPr>
            <w:tcW w:w="1819" w:type="dxa"/>
            <w:tcMar>
              <w:left w:w="57" w:type="dxa"/>
              <w:right w:w="57" w:type="dxa"/>
            </w:tcMar>
            <w:vAlign w:val="center"/>
          </w:tcPr>
          <w:p w14:paraId="359B8E52">
            <w:pPr>
              <w:spacing w:after="0"/>
              <w:jc w:val="center"/>
              <w:rPr>
                <w:rFonts w:hint="eastAsia" w:ascii="Times New Roman" w:hAnsi="Times New Roman" w:eastAsia="微软雅黑" w:cs="Times New Roman"/>
                <w:color w:val="auto"/>
                <w:kern w:val="2"/>
                <w:sz w:val="15"/>
                <w:szCs w:val="15"/>
                <w:lang w:val="en-US" w:eastAsia="zh-CN"/>
              </w:rPr>
            </w:pPr>
            <w:r>
              <w:rPr>
                <w:rFonts w:hint="eastAsia" w:cs="Times New Roman"/>
                <w:color w:val="auto"/>
                <w:kern w:val="2"/>
                <w:sz w:val="15"/>
                <w:szCs w:val="15"/>
                <w:lang w:val="en-US" w:eastAsia="zh-CN"/>
              </w:rPr>
              <w:t>/</w:t>
            </w:r>
          </w:p>
        </w:tc>
        <w:tc>
          <w:tcPr>
            <w:tcW w:w="1016" w:type="dxa"/>
            <w:tcMar>
              <w:left w:w="57" w:type="dxa"/>
              <w:right w:w="57" w:type="dxa"/>
            </w:tcMar>
            <w:vAlign w:val="center"/>
          </w:tcPr>
          <w:p w14:paraId="402EE8A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rPr>
            </w:pPr>
            <w:r>
              <w:rPr>
                <w:rFonts w:hint="default" w:ascii="Times New Roman" w:hAnsi="Times New Roman" w:eastAsia="宋体" w:cs="Times New Roman"/>
                <w:i w:val="0"/>
                <w:iCs w:val="0"/>
                <w:color w:val="auto"/>
                <w:kern w:val="0"/>
                <w:sz w:val="15"/>
                <w:szCs w:val="15"/>
                <w:u w:val="none"/>
                <w:lang w:val="en-US" w:eastAsia="zh-CN" w:bidi="ar"/>
              </w:rPr>
              <w:t xml:space="preserve">0.000054 </w:t>
            </w:r>
          </w:p>
        </w:tc>
        <w:tc>
          <w:tcPr>
            <w:tcW w:w="1091" w:type="dxa"/>
            <w:gridSpan w:val="2"/>
            <w:tcMar>
              <w:left w:w="57" w:type="dxa"/>
              <w:right w:w="57" w:type="dxa"/>
            </w:tcMar>
            <w:vAlign w:val="center"/>
          </w:tcPr>
          <w:p w14:paraId="1E58870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rPr>
            </w:pPr>
            <w:r>
              <w:rPr>
                <w:rFonts w:hint="default" w:ascii="Times New Roman" w:hAnsi="Times New Roman" w:eastAsia="宋体" w:cs="Times New Roman"/>
                <w:i w:val="0"/>
                <w:iCs w:val="0"/>
                <w:color w:val="auto"/>
                <w:kern w:val="0"/>
                <w:sz w:val="15"/>
                <w:szCs w:val="15"/>
                <w:u w:val="none"/>
                <w:lang w:val="en-US" w:eastAsia="zh-CN" w:bidi="ar"/>
              </w:rPr>
              <w:t>0.000060</w:t>
            </w:r>
          </w:p>
        </w:tc>
        <w:tc>
          <w:tcPr>
            <w:tcW w:w="846" w:type="dxa"/>
            <w:tcMar>
              <w:left w:w="57" w:type="dxa"/>
              <w:right w:w="57" w:type="dxa"/>
            </w:tcMar>
            <w:vAlign w:val="center"/>
          </w:tcPr>
          <w:p w14:paraId="241691E9">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微软雅黑" w:cs="Times New Roman"/>
                <w:color w:val="auto"/>
                <w:kern w:val="2"/>
                <w:sz w:val="15"/>
                <w:szCs w:val="15"/>
                <w:lang w:val="en-US" w:eastAsia="zh-CN"/>
              </w:rPr>
            </w:pPr>
            <w:r>
              <w:rPr>
                <w:rFonts w:hint="eastAsia" w:cs="Times New Roman"/>
                <w:color w:val="auto"/>
                <w:kern w:val="2"/>
                <w:sz w:val="15"/>
                <w:szCs w:val="15"/>
                <w:lang w:val="en-US" w:eastAsia="zh-CN"/>
              </w:rPr>
              <w:t>/</w:t>
            </w:r>
          </w:p>
        </w:tc>
        <w:tc>
          <w:tcPr>
            <w:tcW w:w="1049" w:type="dxa"/>
            <w:tcMar>
              <w:left w:w="57" w:type="dxa"/>
              <w:right w:w="57" w:type="dxa"/>
            </w:tcMar>
            <w:vAlign w:val="center"/>
          </w:tcPr>
          <w:p w14:paraId="5376910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rPr>
            </w:pPr>
            <w:r>
              <w:rPr>
                <w:rFonts w:hint="default" w:ascii="Times New Roman" w:hAnsi="Times New Roman" w:eastAsia="宋体" w:cs="Times New Roman"/>
                <w:i w:val="0"/>
                <w:iCs w:val="0"/>
                <w:color w:val="auto"/>
                <w:kern w:val="0"/>
                <w:sz w:val="15"/>
                <w:szCs w:val="15"/>
                <w:u w:val="none"/>
                <w:lang w:val="en-US" w:eastAsia="zh-CN" w:bidi="ar"/>
              </w:rPr>
              <w:t xml:space="preserve">+0.000054 </w:t>
            </w:r>
          </w:p>
        </w:tc>
      </w:tr>
      <w:tr w14:paraId="2AD689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598" w:type="dxa"/>
            <w:gridSpan w:val="2"/>
            <w:vMerge w:val="continue"/>
            <w:tcMar>
              <w:left w:w="57" w:type="dxa"/>
              <w:right w:w="57" w:type="dxa"/>
            </w:tcMar>
            <w:vAlign w:val="center"/>
          </w:tcPr>
          <w:p w14:paraId="042CBC68">
            <w:pPr>
              <w:spacing w:after="0"/>
              <w:jc w:val="center"/>
              <w:rPr>
                <w:color w:val="auto"/>
                <w:kern w:val="2"/>
                <w:sz w:val="15"/>
                <w:szCs w:val="15"/>
              </w:rPr>
            </w:pPr>
          </w:p>
        </w:tc>
        <w:tc>
          <w:tcPr>
            <w:tcW w:w="1796" w:type="dxa"/>
            <w:tcMar>
              <w:left w:w="57" w:type="dxa"/>
              <w:right w:w="57" w:type="dxa"/>
            </w:tcMar>
            <w:vAlign w:val="center"/>
          </w:tcPr>
          <w:p w14:paraId="53C05DD3">
            <w:pPr>
              <w:spacing w:after="0"/>
              <w:jc w:val="center"/>
              <w:rPr>
                <w:rFonts w:hint="default"/>
                <w:b/>
                <w:color w:val="auto"/>
                <w:kern w:val="2"/>
                <w:sz w:val="15"/>
                <w:szCs w:val="15"/>
                <w:lang w:val="en-US" w:eastAsia="zh-CN"/>
              </w:rPr>
            </w:pPr>
            <w:r>
              <w:rPr>
                <w:rFonts w:hint="eastAsia"/>
                <w:b/>
                <w:color w:val="auto"/>
                <w:kern w:val="2"/>
                <w:sz w:val="15"/>
                <w:szCs w:val="15"/>
                <w:lang w:val="en-US" w:eastAsia="zh-CN"/>
              </w:rPr>
              <w:t>总氮</w:t>
            </w:r>
          </w:p>
        </w:tc>
        <w:tc>
          <w:tcPr>
            <w:tcW w:w="828" w:type="dxa"/>
            <w:tcMar>
              <w:left w:w="57" w:type="dxa"/>
              <w:right w:w="57" w:type="dxa"/>
            </w:tcMar>
            <w:vAlign w:val="center"/>
          </w:tcPr>
          <w:p w14:paraId="5450DD7D">
            <w:pPr>
              <w:spacing w:after="0"/>
              <w:jc w:val="center"/>
              <w:rPr>
                <w:rFonts w:hint="default" w:ascii="Times New Roman" w:hAnsi="Times New Roman" w:cs="Times New Roman"/>
                <w:color w:val="auto"/>
                <w:kern w:val="2"/>
                <w:sz w:val="15"/>
                <w:szCs w:val="15"/>
              </w:rPr>
            </w:pPr>
          </w:p>
        </w:tc>
        <w:tc>
          <w:tcPr>
            <w:tcW w:w="1379" w:type="dxa"/>
            <w:tcMar>
              <w:left w:w="57" w:type="dxa"/>
              <w:right w:w="57" w:type="dxa"/>
            </w:tcMar>
            <w:vAlign w:val="center"/>
          </w:tcPr>
          <w:p w14:paraId="75ED8B77">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color w:val="auto"/>
                <w:kern w:val="2"/>
                <w:sz w:val="15"/>
                <w:szCs w:val="15"/>
              </w:rPr>
              <w:t>/</w:t>
            </w:r>
          </w:p>
        </w:tc>
        <w:tc>
          <w:tcPr>
            <w:tcW w:w="1097" w:type="dxa"/>
            <w:tcMar>
              <w:left w:w="57" w:type="dxa"/>
              <w:right w:w="57" w:type="dxa"/>
            </w:tcMar>
            <w:vAlign w:val="center"/>
          </w:tcPr>
          <w:p w14:paraId="1B12EE0A">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color w:val="auto"/>
                <w:kern w:val="2"/>
                <w:sz w:val="15"/>
                <w:szCs w:val="15"/>
              </w:rPr>
              <w:t>/</w:t>
            </w:r>
          </w:p>
        </w:tc>
        <w:tc>
          <w:tcPr>
            <w:tcW w:w="993" w:type="dxa"/>
            <w:gridSpan w:val="2"/>
            <w:tcMar>
              <w:left w:w="57" w:type="dxa"/>
              <w:right w:w="57" w:type="dxa"/>
            </w:tcMar>
            <w:vAlign w:val="center"/>
          </w:tcPr>
          <w:p w14:paraId="3D1B1DBE">
            <w:pPr>
              <w:spacing w:after="0"/>
              <w:jc w:val="center"/>
              <w:rPr>
                <w:rFonts w:hint="eastAsia" w:ascii="Times New Roman" w:hAnsi="Times New Roman" w:eastAsia="微软雅黑" w:cs="Times New Roman"/>
                <w:color w:val="auto"/>
                <w:kern w:val="2"/>
                <w:sz w:val="15"/>
                <w:szCs w:val="15"/>
                <w:lang w:val="en-US" w:eastAsia="zh-CN"/>
              </w:rPr>
            </w:pPr>
            <w:r>
              <w:rPr>
                <w:rFonts w:hint="eastAsia" w:cs="Times New Roman"/>
                <w:color w:val="auto"/>
                <w:kern w:val="2"/>
                <w:sz w:val="15"/>
                <w:szCs w:val="15"/>
                <w:lang w:val="en-US" w:eastAsia="zh-CN"/>
              </w:rPr>
              <w:t>/</w:t>
            </w:r>
          </w:p>
        </w:tc>
        <w:tc>
          <w:tcPr>
            <w:tcW w:w="1099" w:type="dxa"/>
            <w:gridSpan w:val="2"/>
            <w:tcMar>
              <w:left w:w="57" w:type="dxa"/>
              <w:right w:w="57" w:type="dxa"/>
            </w:tcMar>
            <w:vAlign w:val="center"/>
          </w:tcPr>
          <w:p w14:paraId="6B8D9E1F">
            <w:pPr>
              <w:spacing w:after="0"/>
              <w:jc w:val="center"/>
              <w:rPr>
                <w:rFonts w:hint="eastAsia" w:ascii="Times New Roman" w:hAnsi="Times New Roman" w:eastAsia="微软雅黑" w:cs="Times New Roman"/>
                <w:color w:val="auto"/>
                <w:kern w:val="2"/>
                <w:sz w:val="15"/>
                <w:szCs w:val="15"/>
                <w:lang w:val="en-US" w:eastAsia="zh-CN"/>
              </w:rPr>
            </w:pPr>
            <w:r>
              <w:rPr>
                <w:rFonts w:hint="eastAsia" w:cs="Times New Roman"/>
                <w:color w:val="auto"/>
                <w:kern w:val="2"/>
                <w:sz w:val="15"/>
                <w:szCs w:val="15"/>
                <w:lang w:val="en-US" w:eastAsia="zh-CN"/>
              </w:rPr>
              <w:t>/</w:t>
            </w:r>
          </w:p>
        </w:tc>
        <w:tc>
          <w:tcPr>
            <w:tcW w:w="966" w:type="dxa"/>
            <w:tcMar>
              <w:left w:w="57" w:type="dxa"/>
              <w:right w:w="57" w:type="dxa"/>
            </w:tcMar>
            <w:vAlign w:val="center"/>
          </w:tcPr>
          <w:p w14:paraId="7CA6107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rPr>
            </w:pPr>
            <w:r>
              <w:rPr>
                <w:rFonts w:hint="default" w:ascii="Times New Roman" w:hAnsi="Times New Roman" w:eastAsia="宋体" w:cs="Times New Roman"/>
                <w:i w:val="0"/>
                <w:iCs w:val="0"/>
                <w:color w:val="auto"/>
                <w:kern w:val="0"/>
                <w:sz w:val="15"/>
                <w:szCs w:val="15"/>
                <w:u w:val="none"/>
                <w:lang w:val="en-US" w:eastAsia="zh-CN" w:bidi="ar"/>
              </w:rPr>
              <w:t xml:space="preserve">0.000270 </w:t>
            </w:r>
          </w:p>
        </w:tc>
        <w:tc>
          <w:tcPr>
            <w:tcW w:w="1299" w:type="dxa"/>
            <w:tcMar>
              <w:left w:w="57" w:type="dxa"/>
              <w:right w:w="57" w:type="dxa"/>
            </w:tcMar>
            <w:vAlign w:val="center"/>
          </w:tcPr>
          <w:p w14:paraId="6E4CC27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rPr>
            </w:pPr>
            <w:r>
              <w:rPr>
                <w:rFonts w:hint="default" w:ascii="Times New Roman" w:hAnsi="Times New Roman" w:eastAsia="宋体" w:cs="Times New Roman"/>
                <w:i w:val="0"/>
                <w:iCs w:val="0"/>
                <w:color w:val="auto"/>
                <w:kern w:val="0"/>
                <w:sz w:val="15"/>
                <w:szCs w:val="15"/>
                <w:u w:val="none"/>
                <w:lang w:val="en-US" w:eastAsia="zh-CN" w:bidi="ar"/>
              </w:rPr>
              <w:t>0.000299</w:t>
            </w:r>
          </w:p>
        </w:tc>
        <w:tc>
          <w:tcPr>
            <w:tcW w:w="1819" w:type="dxa"/>
            <w:tcMar>
              <w:left w:w="57" w:type="dxa"/>
              <w:right w:w="57" w:type="dxa"/>
            </w:tcMar>
            <w:vAlign w:val="center"/>
          </w:tcPr>
          <w:p w14:paraId="1521AF45">
            <w:pPr>
              <w:spacing w:after="0"/>
              <w:jc w:val="center"/>
              <w:rPr>
                <w:rFonts w:hint="eastAsia" w:ascii="Times New Roman" w:hAnsi="Times New Roman" w:eastAsia="微软雅黑" w:cs="Times New Roman"/>
                <w:color w:val="auto"/>
                <w:kern w:val="2"/>
                <w:sz w:val="15"/>
                <w:szCs w:val="15"/>
                <w:lang w:val="en-US" w:eastAsia="zh-CN"/>
              </w:rPr>
            </w:pPr>
            <w:r>
              <w:rPr>
                <w:rFonts w:hint="eastAsia" w:cs="Times New Roman"/>
                <w:color w:val="auto"/>
                <w:kern w:val="2"/>
                <w:sz w:val="15"/>
                <w:szCs w:val="15"/>
                <w:lang w:val="en-US" w:eastAsia="zh-CN"/>
              </w:rPr>
              <w:t>/</w:t>
            </w:r>
          </w:p>
        </w:tc>
        <w:tc>
          <w:tcPr>
            <w:tcW w:w="1016" w:type="dxa"/>
            <w:tcMar>
              <w:left w:w="57" w:type="dxa"/>
              <w:right w:w="57" w:type="dxa"/>
            </w:tcMar>
            <w:vAlign w:val="center"/>
          </w:tcPr>
          <w:p w14:paraId="4AAE2DB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rPr>
            </w:pPr>
            <w:r>
              <w:rPr>
                <w:rFonts w:hint="default" w:ascii="Times New Roman" w:hAnsi="Times New Roman" w:eastAsia="宋体" w:cs="Times New Roman"/>
                <w:i w:val="0"/>
                <w:iCs w:val="0"/>
                <w:color w:val="auto"/>
                <w:kern w:val="0"/>
                <w:sz w:val="15"/>
                <w:szCs w:val="15"/>
                <w:u w:val="none"/>
                <w:lang w:val="en-US" w:eastAsia="zh-CN" w:bidi="ar"/>
              </w:rPr>
              <w:t xml:space="preserve">0.000270 </w:t>
            </w:r>
          </w:p>
        </w:tc>
        <w:tc>
          <w:tcPr>
            <w:tcW w:w="1091" w:type="dxa"/>
            <w:gridSpan w:val="2"/>
            <w:tcMar>
              <w:left w:w="57" w:type="dxa"/>
              <w:right w:w="57" w:type="dxa"/>
            </w:tcMar>
            <w:vAlign w:val="center"/>
          </w:tcPr>
          <w:p w14:paraId="718E40E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rPr>
            </w:pPr>
            <w:r>
              <w:rPr>
                <w:rFonts w:hint="default" w:ascii="Times New Roman" w:hAnsi="Times New Roman" w:eastAsia="宋体" w:cs="Times New Roman"/>
                <w:i w:val="0"/>
                <w:iCs w:val="0"/>
                <w:color w:val="auto"/>
                <w:kern w:val="0"/>
                <w:sz w:val="15"/>
                <w:szCs w:val="15"/>
                <w:u w:val="none"/>
                <w:lang w:val="en-US" w:eastAsia="zh-CN" w:bidi="ar"/>
              </w:rPr>
              <w:t>0.000299</w:t>
            </w:r>
          </w:p>
        </w:tc>
        <w:tc>
          <w:tcPr>
            <w:tcW w:w="846" w:type="dxa"/>
            <w:tcMar>
              <w:left w:w="57" w:type="dxa"/>
              <w:right w:w="57" w:type="dxa"/>
            </w:tcMar>
            <w:vAlign w:val="center"/>
          </w:tcPr>
          <w:p w14:paraId="56AF942B">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微软雅黑" w:cs="Times New Roman"/>
                <w:color w:val="auto"/>
                <w:kern w:val="2"/>
                <w:sz w:val="15"/>
                <w:szCs w:val="15"/>
                <w:lang w:val="en-US" w:eastAsia="zh-CN"/>
              </w:rPr>
            </w:pPr>
            <w:r>
              <w:rPr>
                <w:rFonts w:hint="eastAsia" w:cs="Times New Roman"/>
                <w:color w:val="auto"/>
                <w:kern w:val="2"/>
                <w:sz w:val="15"/>
                <w:szCs w:val="15"/>
                <w:lang w:val="en-US" w:eastAsia="zh-CN"/>
              </w:rPr>
              <w:t>/</w:t>
            </w:r>
          </w:p>
        </w:tc>
        <w:tc>
          <w:tcPr>
            <w:tcW w:w="1049" w:type="dxa"/>
            <w:tcMar>
              <w:left w:w="57" w:type="dxa"/>
              <w:right w:w="57" w:type="dxa"/>
            </w:tcMar>
            <w:vAlign w:val="center"/>
          </w:tcPr>
          <w:p w14:paraId="5CF0504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5"/>
                <w:szCs w:val="15"/>
              </w:rPr>
            </w:pPr>
            <w:r>
              <w:rPr>
                <w:rFonts w:hint="eastAsia" w:ascii="Times New Roman" w:hAnsi="Times New Roman" w:eastAsia="宋体" w:cs="Times New Roman"/>
                <w:i w:val="0"/>
                <w:iCs w:val="0"/>
                <w:color w:val="auto"/>
                <w:kern w:val="0"/>
                <w:sz w:val="15"/>
                <w:szCs w:val="15"/>
                <w:u w:val="none"/>
                <w:lang w:val="en-US" w:eastAsia="zh-CN" w:bidi="ar"/>
              </w:rPr>
              <w:t>+</w:t>
            </w:r>
            <w:r>
              <w:rPr>
                <w:rFonts w:hint="default" w:ascii="Times New Roman" w:hAnsi="Times New Roman" w:eastAsia="宋体" w:cs="Times New Roman"/>
                <w:i w:val="0"/>
                <w:iCs w:val="0"/>
                <w:color w:val="auto"/>
                <w:kern w:val="0"/>
                <w:sz w:val="15"/>
                <w:szCs w:val="15"/>
                <w:u w:val="none"/>
                <w:lang w:val="en-US" w:eastAsia="zh-CN" w:bidi="ar"/>
              </w:rPr>
              <w:t xml:space="preserve">0.000270 </w:t>
            </w:r>
          </w:p>
        </w:tc>
      </w:tr>
      <w:tr w14:paraId="703113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598" w:type="dxa"/>
            <w:gridSpan w:val="2"/>
            <w:vMerge w:val="continue"/>
            <w:tcMar>
              <w:left w:w="57" w:type="dxa"/>
              <w:right w:w="57" w:type="dxa"/>
            </w:tcMar>
            <w:vAlign w:val="center"/>
          </w:tcPr>
          <w:p w14:paraId="0ADDADE9">
            <w:pPr>
              <w:spacing w:after="0"/>
              <w:jc w:val="center"/>
              <w:rPr>
                <w:color w:val="auto"/>
                <w:kern w:val="2"/>
                <w:sz w:val="15"/>
                <w:szCs w:val="15"/>
              </w:rPr>
            </w:pPr>
          </w:p>
        </w:tc>
        <w:tc>
          <w:tcPr>
            <w:tcW w:w="1796" w:type="dxa"/>
            <w:tcMar>
              <w:left w:w="57" w:type="dxa"/>
              <w:right w:w="57" w:type="dxa"/>
            </w:tcMar>
            <w:vAlign w:val="center"/>
          </w:tcPr>
          <w:p w14:paraId="17106A62">
            <w:pPr>
              <w:spacing w:after="0"/>
              <w:jc w:val="center"/>
              <w:rPr>
                <w:rFonts w:eastAsia="黑体"/>
                <w:b/>
                <w:color w:val="auto"/>
                <w:kern w:val="2"/>
                <w:sz w:val="15"/>
                <w:szCs w:val="15"/>
              </w:rPr>
            </w:pPr>
            <w:r>
              <w:rPr>
                <w:b/>
                <w:color w:val="auto"/>
                <w:kern w:val="2"/>
                <w:sz w:val="15"/>
                <w:szCs w:val="15"/>
              </w:rPr>
              <w:t>废气</w:t>
            </w:r>
          </w:p>
        </w:tc>
        <w:tc>
          <w:tcPr>
            <w:tcW w:w="828" w:type="dxa"/>
            <w:tcMar>
              <w:left w:w="57" w:type="dxa"/>
              <w:right w:w="57" w:type="dxa"/>
            </w:tcMar>
            <w:vAlign w:val="center"/>
          </w:tcPr>
          <w:p w14:paraId="6BCDF9AE">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color w:val="auto"/>
                <w:kern w:val="2"/>
                <w:sz w:val="15"/>
                <w:szCs w:val="15"/>
              </w:rPr>
              <w:t>/</w:t>
            </w:r>
          </w:p>
        </w:tc>
        <w:tc>
          <w:tcPr>
            <w:tcW w:w="1379" w:type="dxa"/>
            <w:tcMar>
              <w:left w:w="57" w:type="dxa"/>
              <w:right w:w="57" w:type="dxa"/>
            </w:tcMar>
            <w:vAlign w:val="center"/>
          </w:tcPr>
          <w:p w14:paraId="57F07E5F">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97" w:type="dxa"/>
            <w:tcMar>
              <w:left w:w="57" w:type="dxa"/>
              <w:right w:w="57" w:type="dxa"/>
            </w:tcMar>
            <w:vAlign w:val="center"/>
          </w:tcPr>
          <w:p w14:paraId="402CED96">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993" w:type="dxa"/>
            <w:gridSpan w:val="2"/>
            <w:tcMar>
              <w:left w:w="57" w:type="dxa"/>
              <w:right w:w="57" w:type="dxa"/>
            </w:tcMar>
            <w:vAlign w:val="center"/>
          </w:tcPr>
          <w:p w14:paraId="16A35CA0">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99" w:type="dxa"/>
            <w:gridSpan w:val="2"/>
            <w:tcMar>
              <w:left w:w="57" w:type="dxa"/>
              <w:right w:w="57" w:type="dxa"/>
            </w:tcMar>
            <w:vAlign w:val="center"/>
          </w:tcPr>
          <w:p w14:paraId="14252465">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966" w:type="dxa"/>
            <w:tcMar>
              <w:left w:w="57" w:type="dxa"/>
              <w:right w:w="57" w:type="dxa"/>
            </w:tcMar>
            <w:vAlign w:val="center"/>
          </w:tcPr>
          <w:p w14:paraId="6FF1E7FE">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299" w:type="dxa"/>
            <w:tcMar>
              <w:left w:w="57" w:type="dxa"/>
              <w:right w:w="57" w:type="dxa"/>
            </w:tcMar>
            <w:vAlign w:val="center"/>
          </w:tcPr>
          <w:p w14:paraId="2E5DE90B">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819" w:type="dxa"/>
            <w:tcMar>
              <w:left w:w="57" w:type="dxa"/>
              <w:right w:w="57" w:type="dxa"/>
            </w:tcMar>
            <w:vAlign w:val="center"/>
          </w:tcPr>
          <w:p w14:paraId="63C228E1">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16" w:type="dxa"/>
            <w:tcMar>
              <w:left w:w="57" w:type="dxa"/>
              <w:right w:w="57" w:type="dxa"/>
            </w:tcMar>
            <w:vAlign w:val="center"/>
          </w:tcPr>
          <w:p w14:paraId="2AA7306F">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91" w:type="dxa"/>
            <w:gridSpan w:val="2"/>
            <w:tcMar>
              <w:left w:w="57" w:type="dxa"/>
              <w:right w:w="57" w:type="dxa"/>
            </w:tcMar>
            <w:vAlign w:val="center"/>
          </w:tcPr>
          <w:p w14:paraId="6AF9CCFE">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846" w:type="dxa"/>
            <w:tcMar>
              <w:left w:w="57" w:type="dxa"/>
              <w:right w:w="57" w:type="dxa"/>
            </w:tcMar>
            <w:vAlign w:val="center"/>
          </w:tcPr>
          <w:p w14:paraId="0C3A0EBC">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49" w:type="dxa"/>
            <w:tcMar>
              <w:left w:w="57" w:type="dxa"/>
              <w:right w:w="57" w:type="dxa"/>
            </w:tcMar>
            <w:vAlign w:val="center"/>
          </w:tcPr>
          <w:p w14:paraId="2A53E97C">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r>
      <w:tr w14:paraId="0653E8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598" w:type="dxa"/>
            <w:gridSpan w:val="2"/>
            <w:vMerge w:val="continue"/>
            <w:tcMar>
              <w:left w:w="57" w:type="dxa"/>
              <w:right w:w="57" w:type="dxa"/>
            </w:tcMar>
            <w:vAlign w:val="center"/>
          </w:tcPr>
          <w:p w14:paraId="7ED6D3D2">
            <w:pPr>
              <w:spacing w:after="0"/>
              <w:jc w:val="center"/>
              <w:rPr>
                <w:color w:val="auto"/>
                <w:kern w:val="2"/>
                <w:sz w:val="15"/>
                <w:szCs w:val="15"/>
              </w:rPr>
            </w:pPr>
          </w:p>
        </w:tc>
        <w:tc>
          <w:tcPr>
            <w:tcW w:w="1796" w:type="dxa"/>
            <w:tcMar>
              <w:left w:w="57" w:type="dxa"/>
              <w:right w:w="57" w:type="dxa"/>
            </w:tcMar>
            <w:vAlign w:val="center"/>
          </w:tcPr>
          <w:p w14:paraId="12890E30">
            <w:pPr>
              <w:spacing w:after="0"/>
              <w:jc w:val="center"/>
              <w:rPr>
                <w:b/>
                <w:color w:val="auto"/>
                <w:kern w:val="2"/>
                <w:sz w:val="15"/>
                <w:szCs w:val="15"/>
                <w:highlight w:val="none"/>
              </w:rPr>
            </w:pPr>
            <w:r>
              <w:rPr>
                <w:rFonts w:hint="eastAsia"/>
                <w:b/>
                <w:color w:val="auto"/>
                <w:kern w:val="2"/>
                <w:sz w:val="15"/>
                <w:szCs w:val="15"/>
                <w:highlight w:val="none"/>
              </w:rPr>
              <w:t>非甲烷总烃</w:t>
            </w:r>
          </w:p>
        </w:tc>
        <w:tc>
          <w:tcPr>
            <w:tcW w:w="828" w:type="dxa"/>
            <w:tcMar>
              <w:left w:w="57" w:type="dxa"/>
              <w:right w:w="57" w:type="dxa"/>
            </w:tcMar>
            <w:vAlign w:val="center"/>
          </w:tcPr>
          <w:p w14:paraId="2EF1F452">
            <w:pPr>
              <w:spacing w:after="0"/>
              <w:jc w:val="center"/>
              <w:rPr>
                <w:rFonts w:hint="default" w:ascii="Times New Roman" w:hAnsi="Times New Roman" w:cs="Times New Roman"/>
                <w:color w:val="auto"/>
                <w:kern w:val="2"/>
                <w:sz w:val="15"/>
                <w:szCs w:val="15"/>
                <w:highlight w:val="none"/>
              </w:rPr>
            </w:pPr>
            <w:r>
              <w:rPr>
                <w:rFonts w:hint="default" w:ascii="Times New Roman" w:hAnsi="Times New Roman" w:cs="Times New Roman"/>
                <w:color w:val="auto"/>
                <w:kern w:val="2"/>
                <w:sz w:val="15"/>
                <w:szCs w:val="15"/>
                <w:highlight w:val="none"/>
              </w:rPr>
              <w:t>/</w:t>
            </w:r>
          </w:p>
        </w:tc>
        <w:tc>
          <w:tcPr>
            <w:tcW w:w="1379" w:type="dxa"/>
            <w:tcMar>
              <w:left w:w="57" w:type="dxa"/>
              <w:right w:w="57" w:type="dxa"/>
            </w:tcMar>
            <w:vAlign w:val="center"/>
          </w:tcPr>
          <w:p w14:paraId="1336C010">
            <w:pPr>
              <w:spacing w:after="0"/>
              <w:jc w:val="center"/>
              <w:rPr>
                <w:rFonts w:hint="default" w:ascii="Times New Roman" w:hAnsi="Times New Roman" w:eastAsia="微软雅黑" w:cs="Times New Roman"/>
                <w:color w:val="auto"/>
                <w:kern w:val="2"/>
                <w:sz w:val="15"/>
                <w:szCs w:val="15"/>
                <w:highlight w:val="none"/>
                <w:lang w:val="en-US" w:eastAsia="zh-CN"/>
              </w:rPr>
            </w:pPr>
            <w:r>
              <w:rPr>
                <w:rFonts w:hint="eastAsia" w:cs="Times New Roman"/>
                <w:color w:val="auto"/>
                <w:kern w:val="2"/>
                <w:sz w:val="15"/>
                <w:szCs w:val="15"/>
                <w:highlight w:val="none"/>
                <w:lang w:val="en-US" w:eastAsia="zh-CN"/>
              </w:rPr>
              <w:t>/</w:t>
            </w:r>
          </w:p>
        </w:tc>
        <w:tc>
          <w:tcPr>
            <w:tcW w:w="1097" w:type="dxa"/>
            <w:tcMar>
              <w:left w:w="57" w:type="dxa"/>
              <w:right w:w="57" w:type="dxa"/>
            </w:tcMar>
            <w:vAlign w:val="center"/>
          </w:tcPr>
          <w:p w14:paraId="3672EA39">
            <w:pPr>
              <w:spacing w:after="0"/>
              <w:jc w:val="center"/>
              <w:rPr>
                <w:rFonts w:hint="default" w:ascii="Times New Roman" w:hAnsi="Times New Roman" w:eastAsia="微软雅黑" w:cs="Times New Roman"/>
                <w:color w:val="auto"/>
                <w:kern w:val="2"/>
                <w:sz w:val="15"/>
                <w:szCs w:val="15"/>
                <w:highlight w:val="none"/>
                <w:lang w:val="en-US" w:eastAsia="zh-CN"/>
              </w:rPr>
            </w:pPr>
            <w:r>
              <w:rPr>
                <w:rFonts w:hint="eastAsia" w:cs="Times New Roman"/>
                <w:color w:val="auto"/>
                <w:kern w:val="2"/>
                <w:sz w:val="15"/>
                <w:szCs w:val="15"/>
                <w:highlight w:val="none"/>
                <w:lang w:val="en-US" w:eastAsia="zh-CN"/>
              </w:rPr>
              <w:t>/</w:t>
            </w:r>
          </w:p>
        </w:tc>
        <w:tc>
          <w:tcPr>
            <w:tcW w:w="993" w:type="dxa"/>
            <w:gridSpan w:val="2"/>
            <w:tcMar>
              <w:left w:w="57" w:type="dxa"/>
              <w:right w:w="57" w:type="dxa"/>
            </w:tcMar>
            <w:vAlign w:val="center"/>
          </w:tcPr>
          <w:p w14:paraId="71906053">
            <w:pPr>
              <w:spacing w:after="0"/>
              <w:jc w:val="center"/>
              <w:rPr>
                <w:rFonts w:hint="default" w:ascii="Times New Roman" w:hAnsi="Times New Roman" w:cs="Times New Roman"/>
                <w:color w:val="auto"/>
                <w:kern w:val="2"/>
                <w:sz w:val="15"/>
                <w:szCs w:val="15"/>
                <w:highlight w:val="none"/>
              </w:rPr>
            </w:pPr>
            <w:r>
              <w:rPr>
                <w:rFonts w:hint="default" w:ascii="Times New Roman" w:hAnsi="Times New Roman" w:cs="Times New Roman"/>
                <w:color w:val="auto"/>
                <w:kern w:val="2"/>
                <w:sz w:val="15"/>
                <w:szCs w:val="15"/>
                <w:highlight w:val="none"/>
              </w:rPr>
              <w:t>/</w:t>
            </w:r>
          </w:p>
        </w:tc>
        <w:tc>
          <w:tcPr>
            <w:tcW w:w="1099" w:type="dxa"/>
            <w:gridSpan w:val="2"/>
            <w:tcMar>
              <w:left w:w="57" w:type="dxa"/>
              <w:right w:w="57" w:type="dxa"/>
            </w:tcMar>
            <w:vAlign w:val="center"/>
          </w:tcPr>
          <w:p w14:paraId="4ACC4544">
            <w:pPr>
              <w:spacing w:after="0"/>
              <w:jc w:val="center"/>
              <w:rPr>
                <w:rFonts w:hint="default" w:ascii="Times New Roman" w:hAnsi="Times New Roman" w:cs="Times New Roman"/>
                <w:color w:val="auto"/>
                <w:kern w:val="2"/>
                <w:sz w:val="15"/>
                <w:szCs w:val="15"/>
                <w:highlight w:val="none"/>
              </w:rPr>
            </w:pPr>
            <w:r>
              <w:rPr>
                <w:rFonts w:hint="default" w:ascii="Times New Roman" w:hAnsi="Times New Roman" w:cs="Times New Roman"/>
                <w:color w:val="auto"/>
                <w:kern w:val="2"/>
                <w:sz w:val="15"/>
                <w:szCs w:val="15"/>
                <w:highlight w:val="none"/>
              </w:rPr>
              <w:t>/</w:t>
            </w:r>
          </w:p>
        </w:tc>
        <w:tc>
          <w:tcPr>
            <w:tcW w:w="966" w:type="dxa"/>
            <w:tcMar>
              <w:left w:w="57" w:type="dxa"/>
              <w:right w:w="57" w:type="dxa"/>
            </w:tcMar>
            <w:vAlign w:val="center"/>
          </w:tcPr>
          <w:p w14:paraId="198A17F3">
            <w:pPr>
              <w:spacing w:after="0"/>
              <w:jc w:val="center"/>
              <w:rPr>
                <w:rFonts w:hint="default" w:ascii="Times New Roman" w:hAnsi="Times New Roman" w:eastAsia="微软雅黑" w:cs="Times New Roman"/>
                <w:color w:val="auto"/>
                <w:kern w:val="2"/>
                <w:sz w:val="15"/>
                <w:szCs w:val="15"/>
                <w:highlight w:val="none"/>
                <w:lang w:val="en-US" w:eastAsia="zh-CN"/>
              </w:rPr>
            </w:pPr>
            <w:r>
              <w:rPr>
                <w:rFonts w:hint="eastAsia" w:cs="Times New Roman"/>
                <w:color w:val="auto"/>
                <w:kern w:val="2"/>
                <w:sz w:val="15"/>
                <w:szCs w:val="15"/>
                <w:highlight w:val="none"/>
                <w:lang w:val="en-US" w:eastAsia="zh-CN"/>
              </w:rPr>
              <w:t>0.0368</w:t>
            </w:r>
          </w:p>
        </w:tc>
        <w:tc>
          <w:tcPr>
            <w:tcW w:w="1299" w:type="dxa"/>
            <w:tcMar>
              <w:left w:w="57" w:type="dxa"/>
              <w:right w:w="57" w:type="dxa"/>
            </w:tcMar>
            <w:vAlign w:val="center"/>
          </w:tcPr>
          <w:p w14:paraId="61C57B60">
            <w:pPr>
              <w:spacing w:after="0"/>
              <w:jc w:val="center"/>
              <w:rPr>
                <w:rFonts w:hint="default" w:ascii="Times New Roman" w:hAnsi="Times New Roman" w:cs="Times New Roman"/>
                <w:color w:val="auto"/>
                <w:kern w:val="2"/>
                <w:sz w:val="15"/>
                <w:szCs w:val="15"/>
                <w:highlight w:val="none"/>
              </w:rPr>
            </w:pPr>
            <w:r>
              <w:rPr>
                <w:rFonts w:hint="eastAsia" w:cs="Times New Roman"/>
                <w:color w:val="auto"/>
                <w:kern w:val="2"/>
                <w:sz w:val="15"/>
                <w:szCs w:val="15"/>
                <w:highlight w:val="none"/>
                <w:lang w:val="en-US" w:eastAsia="zh-CN"/>
              </w:rPr>
              <w:t>0.0434</w:t>
            </w:r>
          </w:p>
        </w:tc>
        <w:tc>
          <w:tcPr>
            <w:tcW w:w="1819" w:type="dxa"/>
            <w:tcMar>
              <w:left w:w="57" w:type="dxa"/>
              <w:right w:w="57" w:type="dxa"/>
            </w:tcMar>
            <w:vAlign w:val="center"/>
          </w:tcPr>
          <w:p w14:paraId="701AF142">
            <w:pPr>
              <w:spacing w:after="0"/>
              <w:jc w:val="center"/>
              <w:rPr>
                <w:rFonts w:hint="default" w:ascii="Times New Roman" w:hAnsi="Times New Roman" w:cs="Times New Roman"/>
                <w:color w:val="auto"/>
                <w:kern w:val="2"/>
                <w:sz w:val="15"/>
                <w:szCs w:val="15"/>
                <w:highlight w:val="none"/>
              </w:rPr>
            </w:pPr>
            <w:r>
              <w:rPr>
                <w:rFonts w:hint="default" w:ascii="Times New Roman" w:hAnsi="Times New Roman" w:cs="Times New Roman"/>
                <w:color w:val="auto"/>
                <w:kern w:val="2"/>
                <w:sz w:val="15"/>
                <w:szCs w:val="15"/>
                <w:highlight w:val="none"/>
              </w:rPr>
              <w:t>/</w:t>
            </w:r>
          </w:p>
        </w:tc>
        <w:tc>
          <w:tcPr>
            <w:tcW w:w="1016" w:type="dxa"/>
            <w:tcMar>
              <w:left w:w="57" w:type="dxa"/>
              <w:right w:w="57" w:type="dxa"/>
            </w:tcMar>
            <w:vAlign w:val="center"/>
          </w:tcPr>
          <w:p w14:paraId="54A65395">
            <w:pPr>
              <w:spacing w:after="0"/>
              <w:jc w:val="center"/>
              <w:rPr>
                <w:rFonts w:hint="default" w:ascii="Times New Roman" w:hAnsi="Times New Roman" w:eastAsia="微软雅黑" w:cs="Times New Roman"/>
                <w:color w:val="auto"/>
                <w:kern w:val="2"/>
                <w:sz w:val="15"/>
                <w:szCs w:val="15"/>
                <w:highlight w:val="none"/>
                <w:lang w:val="en-US" w:eastAsia="zh-CN"/>
              </w:rPr>
            </w:pPr>
            <w:r>
              <w:rPr>
                <w:rFonts w:hint="eastAsia" w:cs="Times New Roman"/>
                <w:color w:val="auto"/>
                <w:kern w:val="2"/>
                <w:sz w:val="15"/>
                <w:szCs w:val="15"/>
                <w:highlight w:val="none"/>
                <w:lang w:val="en-US" w:eastAsia="zh-CN"/>
              </w:rPr>
              <w:t>0.0368</w:t>
            </w:r>
          </w:p>
        </w:tc>
        <w:tc>
          <w:tcPr>
            <w:tcW w:w="1091" w:type="dxa"/>
            <w:gridSpan w:val="2"/>
            <w:tcMar>
              <w:left w:w="57" w:type="dxa"/>
              <w:right w:w="57" w:type="dxa"/>
            </w:tcMar>
            <w:vAlign w:val="center"/>
          </w:tcPr>
          <w:p w14:paraId="0BE15678">
            <w:pPr>
              <w:spacing w:after="0"/>
              <w:jc w:val="center"/>
              <w:rPr>
                <w:rFonts w:hint="default" w:ascii="Times New Roman" w:hAnsi="Times New Roman" w:eastAsia="微软雅黑" w:cs="Times New Roman"/>
                <w:color w:val="auto"/>
                <w:kern w:val="2"/>
                <w:sz w:val="15"/>
                <w:szCs w:val="15"/>
                <w:highlight w:val="none"/>
                <w:lang w:val="en-US" w:eastAsia="zh-CN"/>
              </w:rPr>
            </w:pPr>
            <w:r>
              <w:rPr>
                <w:rFonts w:hint="eastAsia" w:cs="Times New Roman"/>
                <w:color w:val="auto"/>
                <w:kern w:val="2"/>
                <w:sz w:val="15"/>
                <w:szCs w:val="15"/>
                <w:highlight w:val="none"/>
                <w:lang w:val="en-US" w:eastAsia="zh-CN"/>
              </w:rPr>
              <w:t>0.0434</w:t>
            </w:r>
          </w:p>
        </w:tc>
        <w:tc>
          <w:tcPr>
            <w:tcW w:w="846" w:type="dxa"/>
            <w:tcMar>
              <w:left w:w="57" w:type="dxa"/>
              <w:right w:w="57" w:type="dxa"/>
            </w:tcMar>
            <w:vAlign w:val="center"/>
          </w:tcPr>
          <w:p w14:paraId="5EBEFD2D">
            <w:pPr>
              <w:spacing w:after="0"/>
              <w:jc w:val="center"/>
              <w:rPr>
                <w:rFonts w:hint="eastAsia" w:ascii="Times New Roman" w:hAnsi="Times New Roman" w:eastAsia="微软雅黑" w:cs="Times New Roman"/>
                <w:color w:val="auto"/>
                <w:kern w:val="2"/>
                <w:sz w:val="15"/>
                <w:szCs w:val="15"/>
                <w:highlight w:val="none"/>
                <w:lang w:val="en-US" w:eastAsia="zh-CN"/>
              </w:rPr>
            </w:pPr>
            <w:r>
              <w:rPr>
                <w:rFonts w:hint="eastAsia" w:cs="Times New Roman"/>
                <w:color w:val="auto"/>
                <w:kern w:val="2"/>
                <w:sz w:val="15"/>
                <w:szCs w:val="15"/>
                <w:highlight w:val="none"/>
                <w:lang w:val="en-US" w:eastAsia="zh-CN"/>
              </w:rPr>
              <w:t>/</w:t>
            </w:r>
          </w:p>
        </w:tc>
        <w:tc>
          <w:tcPr>
            <w:tcW w:w="1049" w:type="dxa"/>
            <w:tcMar>
              <w:left w:w="57" w:type="dxa"/>
              <w:right w:w="57" w:type="dxa"/>
            </w:tcMar>
            <w:vAlign w:val="center"/>
          </w:tcPr>
          <w:p w14:paraId="6003A167">
            <w:pPr>
              <w:spacing w:after="0"/>
              <w:jc w:val="center"/>
              <w:rPr>
                <w:rFonts w:hint="default" w:ascii="Times New Roman" w:hAnsi="Times New Roman" w:eastAsia="微软雅黑" w:cs="Times New Roman"/>
                <w:color w:val="auto"/>
                <w:kern w:val="2"/>
                <w:sz w:val="15"/>
                <w:szCs w:val="15"/>
                <w:highlight w:val="none"/>
                <w:lang w:val="en-US" w:eastAsia="zh-CN"/>
              </w:rPr>
            </w:pPr>
            <w:r>
              <w:rPr>
                <w:rFonts w:hint="eastAsia" w:cs="Times New Roman"/>
                <w:color w:val="auto"/>
                <w:kern w:val="2"/>
                <w:sz w:val="15"/>
                <w:szCs w:val="15"/>
                <w:highlight w:val="none"/>
                <w:lang w:val="en-US" w:eastAsia="zh-CN"/>
              </w:rPr>
              <w:t>+0.0368</w:t>
            </w:r>
          </w:p>
        </w:tc>
      </w:tr>
      <w:tr w14:paraId="54FC39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598" w:type="dxa"/>
            <w:gridSpan w:val="2"/>
            <w:vMerge w:val="continue"/>
            <w:tcMar>
              <w:left w:w="57" w:type="dxa"/>
              <w:right w:w="57" w:type="dxa"/>
            </w:tcMar>
            <w:vAlign w:val="center"/>
          </w:tcPr>
          <w:p w14:paraId="28D86837">
            <w:pPr>
              <w:spacing w:after="0"/>
              <w:rPr>
                <w:color w:val="auto"/>
                <w:kern w:val="2"/>
                <w:sz w:val="15"/>
                <w:szCs w:val="15"/>
              </w:rPr>
            </w:pPr>
          </w:p>
        </w:tc>
        <w:tc>
          <w:tcPr>
            <w:tcW w:w="1796" w:type="dxa"/>
            <w:tcMar>
              <w:left w:w="57" w:type="dxa"/>
              <w:right w:w="57" w:type="dxa"/>
            </w:tcMar>
            <w:vAlign w:val="center"/>
          </w:tcPr>
          <w:p w14:paraId="1122CF6A">
            <w:pPr>
              <w:spacing w:after="0"/>
              <w:jc w:val="center"/>
              <w:rPr>
                <w:rFonts w:eastAsia="黑体"/>
                <w:b/>
                <w:color w:val="auto"/>
                <w:kern w:val="2"/>
                <w:sz w:val="15"/>
                <w:szCs w:val="15"/>
              </w:rPr>
            </w:pPr>
            <w:r>
              <w:rPr>
                <w:b/>
                <w:color w:val="auto"/>
                <w:kern w:val="2"/>
                <w:sz w:val="15"/>
                <w:szCs w:val="15"/>
              </w:rPr>
              <w:t>工业固体废物</w:t>
            </w:r>
          </w:p>
        </w:tc>
        <w:tc>
          <w:tcPr>
            <w:tcW w:w="828" w:type="dxa"/>
            <w:tcMar>
              <w:left w:w="57" w:type="dxa"/>
              <w:right w:w="57" w:type="dxa"/>
            </w:tcMar>
            <w:vAlign w:val="center"/>
          </w:tcPr>
          <w:p w14:paraId="7F7BC948">
            <w:pPr>
              <w:spacing w:after="0"/>
              <w:jc w:val="center"/>
              <w:rPr>
                <w:rFonts w:hint="default" w:ascii="Times New Roman" w:hAnsi="Times New Roman" w:cs="Times New Roman"/>
                <w:color w:val="auto"/>
                <w:kern w:val="2"/>
                <w:sz w:val="15"/>
                <w:szCs w:val="15"/>
              </w:rPr>
            </w:pPr>
            <w:r>
              <w:rPr>
                <w:rFonts w:hint="default" w:ascii="Times New Roman" w:hAnsi="Times New Roman" w:cs="Times New Roman"/>
                <w:color w:val="auto"/>
                <w:kern w:val="2"/>
                <w:sz w:val="15"/>
                <w:szCs w:val="15"/>
              </w:rPr>
              <w:t>/</w:t>
            </w:r>
          </w:p>
        </w:tc>
        <w:tc>
          <w:tcPr>
            <w:tcW w:w="1379" w:type="dxa"/>
            <w:tcMar>
              <w:left w:w="57" w:type="dxa"/>
              <w:right w:w="57" w:type="dxa"/>
            </w:tcMar>
            <w:vAlign w:val="center"/>
          </w:tcPr>
          <w:p w14:paraId="4AE5BCB3">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97" w:type="dxa"/>
            <w:tcMar>
              <w:left w:w="57" w:type="dxa"/>
              <w:right w:w="57" w:type="dxa"/>
            </w:tcMar>
            <w:vAlign w:val="center"/>
          </w:tcPr>
          <w:p w14:paraId="6A850E72">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993" w:type="dxa"/>
            <w:gridSpan w:val="2"/>
            <w:tcMar>
              <w:left w:w="57" w:type="dxa"/>
              <w:right w:w="57" w:type="dxa"/>
            </w:tcMar>
            <w:vAlign w:val="center"/>
          </w:tcPr>
          <w:p w14:paraId="0D880914">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99" w:type="dxa"/>
            <w:gridSpan w:val="2"/>
            <w:tcMar>
              <w:left w:w="57" w:type="dxa"/>
              <w:right w:w="57" w:type="dxa"/>
            </w:tcMar>
            <w:vAlign w:val="center"/>
          </w:tcPr>
          <w:p w14:paraId="36D0F9B1">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966" w:type="dxa"/>
            <w:tcMar>
              <w:left w:w="57" w:type="dxa"/>
              <w:right w:w="57" w:type="dxa"/>
            </w:tcMar>
            <w:vAlign w:val="center"/>
          </w:tcPr>
          <w:p w14:paraId="0A07C256">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299" w:type="dxa"/>
            <w:tcMar>
              <w:left w:w="57" w:type="dxa"/>
              <w:right w:w="57" w:type="dxa"/>
            </w:tcMar>
            <w:vAlign w:val="center"/>
          </w:tcPr>
          <w:p w14:paraId="66B71835">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819" w:type="dxa"/>
            <w:tcMar>
              <w:left w:w="57" w:type="dxa"/>
              <w:right w:w="57" w:type="dxa"/>
            </w:tcMar>
            <w:vAlign w:val="center"/>
          </w:tcPr>
          <w:p w14:paraId="1928A796">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16" w:type="dxa"/>
            <w:tcMar>
              <w:left w:w="57" w:type="dxa"/>
              <w:right w:w="57" w:type="dxa"/>
            </w:tcMar>
            <w:vAlign w:val="center"/>
          </w:tcPr>
          <w:p w14:paraId="47B1E269">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91" w:type="dxa"/>
            <w:gridSpan w:val="2"/>
            <w:tcMar>
              <w:left w:w="57" w:type="dxa"/>
              <w:right w:w="57" w:type="dxa"/>
            </w:tcMar>
            <w:vAlign w:val="center"/>
          </w:tcPr>
          <w:p w14:paraId="0E47A379">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846" w:type="dxa"/>
            <w:tcMar>
              <w:left w:w="57" w:type="dxa"/>
              <w:right w:w="57" w:type="dxa"/>
            </w:tcMar>
            <w:vAlign w:val="center"/>
          </w:tcPr>
          <w:p w14:paraId="6D571DD0">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c>
          <w:tcPr>
            <w:tcW w:w="1049" w:type="dxa"/>
            <w:tcMar>
              <w:left w:w="57" w:type="dxa"/>
              <w:right w:w="57" w:type="dxa"/>
            </w:tcMar>
            <w:vAlign w:val="center"/>
          </w:tcPr>
          <w:p w14:paraId="421FB1FE">
            <w:pPr>
              <w:spacing w:after="0"/>
              <w:jc w:val="center"/>
              <w:rPr>
                <w:rFonts w:hint="default" w:ascii="Times New Roman" w:hAnsi="Times New Roman" w:cs="Times New Roman"/>
                <w:color w:val="auto"/>
                <w:kern w:val="2"/>
                <w:sz w:val="15"/>
                <w:szCs w:val="15"/>
                <w:highlight w:val="yellow"/>
              </w:rPr>
            </w:pPr>
            <w:r>
              <w:rPr>
                <w:rFonts w:hint="default" w:ascii="Times New Roman" w:hAnsi="Times New Roman" w:cs="Times New Roman"/>
                <w:color w:val="auto"/>
                <w:kern w:val="2"/>
                <w:sz w:val="15"/>
                <w:szCs w:val="15"/>
              </w:rPr>
              <w:t>/</w:t>
            </w:r>
          </w:p>
        </w:tc>
      </w:tr>
    </w:tbl>
    <w:p w14:paraId="4EBDF4A1">
      <w:pPr>
        <w:tabs>
          <w:tab w:val="left" w:pos="3118"/>
        </w:tabs>
        <w:spacing w:after="0" w:line="360" w:lineRule="exact"/>
        <w:rPr>
          <w:color w:val="auto"/>
        </w:rPr>
      </w:pP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F6C1C">
    <w:pPr>
      <w:pStyle w:val="12"/>
      <w:jc w:val="center"/>
    </w:pPr>
  </w:p>
  <w:p w14:paraId="60034E61">
    <w:pPr>
      <w:pStyle w:val="12"/>
      <w:spacing w:after="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3193942"/>
      <w:docPartObj>
        <w:docPartGallery w:val="autotext"/>
      </w:docPartObj>
    </w:sdtPr>
    <w:sdtContent>
      <w:p w14:paraId="0B3076F0">
        <w:pPr>
          <w:pStyle w:val="12"/>
          <w:jc w:val="center"/>
        </w:pPr>
        <w:r>
          <w:fldChar w:fldCharType="begin"/>
        </w:r>
        <w:r>
          <w:instrText xml:space="preserve">PAGE   \* MERGEFORMAT</w:instrText>
        </w:r>
        <w:r>
          <w:fldChar w:fldCharType="separate"/>
        </w:r>
        <w:r>
          <w:rPr>
            <w:lang w:val="zh-CN"/>
          </w:rPr>
          <w:t>2</w:t>
        </w:r>
        <w:r>
          <w:fldChar w:fldCharType="end"/>
        </w:r>
      </w:p>
    </w:sdtContent>
  </w:sdt>
  <w:p w14:paraId="5D4F9D0B">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2DE9C">
    <w:pPr>
      <w:pStyle w:val="12"/>
      <w:jc w:val="center"/>
    </w:pPr>
  </w:p>
  <w:p w14:paraId="68B2EE12">
    <w:pPr>
      <w:pStyle w:val="12"/>
      <w:spacing w:after="0"/>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BEAA3D"/>
    <w:multiLevelType w:val="singleLevel"/>
    <w:tmpl w:val="BDBEAA3D"/>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F5E"/>
    <w:rsid w:val="000014B1"/>
    <w:rsid w:val="00002494"/>
    <w:rsid w:val="0000297F"/>
    <w:rsid w:val="00004442"/>
    <w:rsid w:val="00004D83"/>
    <w:rsid w:val="00005559"/>
    <w:rsid w:val="0000560A"/>
    <w:rsid w:val="00005BF5"/>
    <w:rsid w:val="00005D60"/>
    <w:rsid w:val="000063DB"/>
    <w:rsid w:val="0000662D"/>
    <w:rsid w:val="0000668C"/>
    <w:rsid w:val="00006995"/>
    <w:rsid w:val="0001024C"/>
    <w:rsid w:val="0001315E"/>
    <w:rsid w:val="0001325F"/>
    <w:rsid w:val="000137C1"/>
    <w:rsid w:val="000142D1"/>
    <w:rsid w:val="000179E3"/>
    <w:rsid w:val="00021BA4"/>
    <w:rsid w:val="000231E8"/>
    <w:rsid w:val="0002662A"/>
    <w:rsid w:val="00027AA6"/>
    <w:rsid w:val="00030A6B"/>
    <w:rsid w:val="00030AF8"/>
    <w:rsid w:val="00030F11"/>
    <w:rsid w:val="00032657"/>
    <w:rsid w:val="00034A8E"/>
    <w:rsid w:val="000350D8"/>
    <w:rsid w:val="00035197"/>
    <w:rsid w:val="00036ABC"/>
    <w:rsid w:val="00036F2B"/>
    <w:rsid w:val="00037ECA"/>
    <w:rsid w:val="0004062E"/>
    <w:rsid w:val="000413F8"/>
    <w:rsid w:val="00044C60"/>
    <w:rsid w:val="00044DF0"/>
    <w:rsid w:val="000502DC"/>
    <w:rsid w:val="00052467"/>
    <w:rsid w:val="000538EE"/>
    <w:rsid w:val="00053B8D"/>
    <w:rsid w:val="00057326"/>
    <w:rsid w:val="00060122"/>
    <w:rsid w:val="000605DB"/>
    <w:rsid w:val="00060C74"/>
    <w:rsid w:val="00062C79"/>
    <w:rsid w:val="00063BA3"/>
    <w:rsid w:val="00064D0A"/>
    <w:rsid w:val="000659FE"/>
    <w:rsid w:val="00066023"/>
    <w:rsid w:val="00066128"/>
    <w:rsid w:val="00067038"/>
    <w:rsid w:val="000704E1"/>
    <w:rsid w:val="0007144E"/>
    <w:rsid w:val="000749E9"/>
    <w:rsid w:val="00075DC8"/>
    <w:rsid w:val="00076181"/>
    <w:rsid w:val="0007687A"/>
    <w:rsid w:val="00080EF8"/>
    <w:rsid w:val="00082352"/>
    <w:rsid w:val="00084407"/>
    <w:rsid w:val="00085F26"/>
    <w:rsid w:val="00087AF0"/>
    <w:rsid w:val="0009006F"/>
    <w:rsid w:val="00090775"/>
    <w:rsid w:val="00090951"/>
    <w:rsid w:val="000911B5"/>
    <w:rsid w:val="00092095"/>
    <w:rsid w:val="000930E9"/>
    <w:rsid w:val="0009408D"/>
    <w:rsid w:val="000943A2"/>
    <w:rsid w:val="0009521A"/>
    <w:rsid w:val="00097B37"/>
    <w:rsid w:val="000A094B"/>
    <w:rsid w:val="000A0A64"/>
    <w:rsid w:val="000A10C7"/>
    <w:rsid w:val="000A1B6D"/>
    <w:rsid w:val="000A336B"/>
    <w:rsid w:val="000A4AFD"/>
    <w:rsid w:val="000A5694"/>
    <w:rsid w:val="000A5702"/>
    <w:rsid w:val="000A59D6"/>
    <w:rsid w:val="000A7522"/>
    <w:rsid w:val="000A7E3A"/>
    <w:rsid w:val="000B19E0"/>
    <w:rsid w:val="000B35FB"/>
    <w:rsid w:val="000B396F"/>
    <w:rsid w:val="000B3D8D"/>
    <w:rsid w:val="000B3FA1"/>
    <w:rsid w:val="000B5985"/>
    <w:rsid w:val="000B6078"/>
    <w:rsid w:val="000B6A39"/>
    <w:rsid w:val="000B6DE1"/>
    <w:rsid w:val="000C02B4"/>
    <w:rsid w:val="000C2AAE"/>
    <w:rsid w:val="000C5805"/>
    <w:rsid w:val="000C708D"/>
    <w:rsid w:val="000C7140"/>
    <w:rsid w:val="000C7666"/>
    <w:rsid w:val="000C7713"/>
    <w:rsid w:val="000D17FC"/>
    <w:rsid w:val="000D21B6"/>
    <w:rsid w:val="000D3068"/>
    <w:rsid w:val="000D4908"/>
    <w:rsid w:val="000D4BDE"/>
    <w:rsid w:val="000D4F27"/>
    <w:rsid w:val="000D5A3E"/>
    <w:rsid w:val="000D5BF2"/>
    <w:rsid w:val="000D62AD"/>
    <w:rsid w:val="000E0530"/>
    <w:rsid w:val="000E05F7"/>
    <w:rsid w:val="000E3293"/>
    <w:rsid w:val="000E4D04"/>
    <w:rsid w:val="000E52F0"/>
    <w:rsid w:val="000E5CC4"/>
    <w:rsid w:val="000E63F7"/>
    <w:rsid w:val="000E7CA7"/>
    <w:rsid w:val="000F007D"/>
    <w:rsid w:val="000F1770"/>
    <w:rsid w:val="000F208F"/>
    <w:rsid w:val="000F342E"/>
    <w:rsid w:val="000F3AA2"/>
    <w:rsid w:val="000F6ABD"/>
    <w:rsid w:val="000F6DBE"/>
    <w:rsid w:val="000F7878"/>
    <w:rsid w:val="000F78C9"/>
    <w:rsid w:val="000F7F6D"/>
    <w:rsid w:val="00100AE9"/>
    <w:rsid w:val="00101857"/>
    <w:rsid w:val="00101DD3"/>
    <w:rsid w:val="001033A2"/>
    <w:rsid w:val="00105807"/>
    <w:rsid w:val="00106C2A"/>
    <w:rsid w:val="00107024"/>
    <w:rsid w:val="00111D11"/>
    <w:rsid w:val="001133E8"/>
    <w:rsid w:val="00114465"/>
    <w:rsid w:val="0011618A"/>
    <w:rsid w:val="00117CFE"/>
    <w:rsid w:val="00117FF7"/>
    <w:rsid w:val="00120570"/>
    <w:rsid w:val="001211F0"/>
    <w:rsid w:val="001212CF"/>
    <w:rsid w:val="00122196"/>
    <w:rsid w:val="001226C9"/>
    <w:rsid w:val="001246AF"/>
    <w:rsid w:val="0012560E"/>
    <w:rsid w:val="00125D1A"/>
    <w:rsid w:val="001262C2"/>
    <w:rsid w:val="001263BC"/>
    <w:rsid w:val="0012739F"/>
    <w:rsid w:val="00130212"/>
    <w:rsid w:val="001319F4"/>
    <w:rsid w:val="00131BE5"/>
    <w:rsid w:val="00131BED"/>
    <w:rsid w:val="00131EE6"/>
    <w:rsid w:val="00132C6C"/>
    <w:rsid w:val="00134D9D"/>
    <w:rsid w:val="001350E7"/>
    <w:rsid w:val="001367C5"/>
    <w:rsid w:val="00136844"/>
    <w:rsid w:val="001404FA"/>
    <w:rsid w:val="00141AF8"/>
    <w:rsid w:val="00141F04"/>
    <w:rsid w:val="001426CF"/>
    <w:rsid w:val="00142907"/>
    <w:rsid w:val="00142A4A"/>
    <w:rsid w:val="00143001"/>
    <w:rsid w:val="00143F4B"/>
    <w:rsid w:val="001440D1"/>
    <w:rsid w:val="00145F20"/>
    <w:rsid w:val="001469B6"/>
    <w:rsid w:val="00150F39"/>
    <w:rsid w:val="00152F40"/>
    <w:rsid w:val="0015311E"/>
    <w:rsid w:val="001549A9"/>
    <w:rsid w:val="00154B26"/>
    <w:rsid w:val="0015760D"/>
    <w:rsid w:val="00166B6C"/>
    <w:rsid w:val="00166D5B"/>
    <w:rsid w:val="00166EDA"/>
    <w:rsid w:val="00167791"/>
    <w:rsid w:val="001704E3"/>
    <w:rsid w:val="00170647"/>
    <w:rsid w:val="00170851"/>
    <w:rsid w:val="0017160F"/>
    <w:rsid w:val="001749F7"/>
    <w:rsid w:val="00174A94"/>
    <w:rsid w:val="00174CDD"/>
    <w:rsid w:val="00174E93"/>
    <w:rsid w:val="00176846"/>
    <w:rsid w:val="0017763D"/>
    <w:rsid w:val="0018052D"/>
    <w:rsid w:val="00180985"/>
    <w:rsid w:val="00182278"/>
    <w:rsid w:val="001857B7"/>
    <w:rsid w:val="001877E9"/>
    <w:rsid w:val="001917A3"/>
    <w:rsid w:val="00191A77"/>
    <w:rsid w:val="00193300"/>
    <w:rsid w:val="001937BA"/>
    <w:rsid w:val="0019468D"/>
    <w:rsid w:val="00196970"/>
    <w:rsid w:val="001A0018"/>
    <w:rsid w:val="001A01EB"/>
    <w:rsid w:val="001A1315"/>
    <w:rsid w:val="001A14F7"/>
    <w:rsid w:val="001A1976"/>
    <w:rsid w:val="001A2216"/>
    <w:rsid w:val="001A22B7"/>
    <w:rsid w:val="001A2CE0"/>
    <w:rsid w:val="001A2E8A"/>
    <w:rsid w:val="001A6D97"/>
    <w:rsid w:val="001B01A1"/>
    <w:rsid w:val="001B0F83"/>
    <w:rsid w:val="001B2E21"/>
    <w:rsid w:val="001B40C4"/>
    <w:rsid w:val="001B5A9A"/>
    <w:rsid w:val="001B657B"/>
    <w:rsid w:val="001C114E"/>
    <w:rsid w:val="001C1BD1"/>
    <w:rsid w:val="001C1D33"/>
    <w:rsid w:val="001C2CF9"/>
    <w:rsid w:val="001C3E4D"/>
    <w:rsid w:val="001C5304"/>
    <w:rsid w:val="001D1DD9"/>
    <w:rsid w:val="001D2CD8"/>
    <w:rsid w:val="001D2D73"/>
    <w:rsid w:val="001D2F82"/>
    <w:rsid w:val="001D3CAE"/>
    <w:rsid w:val="001D4050"/>
    <w:rsid w:val="001D4D95"/>
    <w:rsid w:val="001D5F50"/>
    <w:rsid w:val="001D7A6C"/>
    <w:rsid w:val="001E0847"/>
    <w:rsid w:val="001E09ED"/>
    <w:rsid w:val="001E0B9E"/>
    <w:rsid w:val="001E1AF3"/>
    <w:rsid w:val="001E2EA2"/>
    <w:rsid w:val="001E3B39"/>
    <w:rsid w:val="001E3CE2"/>
    <w:rsid w:val="001E3F7A"/>
    <w:rsid w:val="001E6F4B"/>
    <w:rsid w:val="001E7626"/>
    <w:rsid w:val="001E794F"/>
    <w:rsid w:val="001F0C46"/>
    <w:rsid w:val="001F1D51"/>
    <w:rsid w:val="001F4720"/>
    <w:rsid w:val="001F582B"/>
    <w:rsid w:val="001F5E73"/>
    <w:rsid w:val="002009B0"/>
    <w:rsid w:val="002017EC"/>
    <w:rsid w:val="00202659"/>
    <w:rsid w:val="002027DB"/>
    <w:rsid w:val="0020668B"/>
    <w:rsid w:val="0020695A"/>
    <w:rsid w:val="002076C4"/>
    <w:rsid w:val="002076E5"/>
    <w:rsid w:val="00211438"/>
    <w:rsid w:val="002115F5"/>
    <w:rsid w:val="00211E7F"/>
    <w:rsid w:val="002131F3"/>
    <w:rsid w:val="00214876"/>
    <w:rsid w:val="00216C33"/>
    <w:rsid w:val="002177E4"/>
    <w:rsid w:val="00217A66"/>
    <w:rsid w:val="00217D0D"/>
    <w:rsid w:val="002200C1"/>
    <w:rsid w:val="0022037E"/>
    <w:rsid w:val="0022107E"/>
    <w:rsid w:val="00222C53"/>
    <w:rsid w:val="00223CCD"/>
    <w:rsid w:val="00223F78"/>
    <w:rsid w:val="0022766E"/>
    <w:rsid w:val="002361EC"/>
    <w:rsid w:val="002361FE"/>
    <w:rsid w:val="00237D0B"/>
    <w:rsid w:val="002415C9"/>
    <w:rsid w:val="00242C96"/>
    <w:rsid w:val="002436A9"/>
    <w:rsid w:val="00244E3E"/>
    <w:rsid w:val="002453AE"/>
    <w:rsid w:val="00250285"/>
    <w:rsid w:val="00250E64"/>
    <w:rsid w:val="00252E0F"/>
    <w:rsid w:val="00253143"/>
    <w:rsid w:val="00253422"/>
    <w:rsid w:val="0025355A"/>
    <w:rsid w:val="00253B31"/>
    <w:rsid w:val="00255338"/>
    <w:rsid w:val="00256514"/>
    <w:rsid w:val="00257F7C"/>
    <w:rsid w:val="0026026C"/>
    <w:rsid w:val="002602FE"/>
    <w:rsid w:val="00261D33"/>
    <w:rsid w:val="00262F53"/>
    <w:rsid w:val="00264743"/>
    <w:rsid w:val="00264DEA"/>
    <w:rsid w:val="00265216"/>
    <w:rsid w:val="00265692"/>
    <w:rsid w:val="0026644D"/>
    <w:rsid w:val="00266607"/>
    <w:rsid w:val="00267055"/>
    <w:rsid w:val="00267B15"/>
    <w:rsid w:val="002705C1"/>
    <w:rsid w:val="0027064C"/>
    <w:rsid w:val="00272E4E"/>
    <w:rsid w:val="0027358E"/>
    <w:rsid w:val="00273C12"/>
    <w:rsid w:val="00274C96"/>
    <w:rsid w:val="002754AA"/>
    <w:rsid w:val="00275E0F"/>
    <w:rsid w:val="002803C6"/>
    <w:rsid w:val="00283A11"/>
    <w:rsid w:val="00283CA0"/>
    <w:rsid w:val="002844CE"/>
    <w:rsid w:val="00284BEE"/>
    <w:rsid w:val="002858DC"/>
    <w:rsid w:val="00286B00"/>
    <w:rsid w:val="00290031"/>
    <w:rsid w:val="0029019E"/>
    <w:rsid w:val="0029031D"/>
    <w:rsid w:val="002910B1"/>
    <w:rsid w:val="00293374"/>
    <w:rsid w:val="00294020"/>
    <w:rsid w:val="0029543A"/>
    <w:rsid w:val="002966B4"/>
    <w:rsid w:val="00296EED"/>
    <w:rsid w:val="002A05FD"/>
    <w:rsid w:val="002A2059"/>
    <w:rsid w:val="002A240F"/>
    <w:rsid w:val="002A27FC"/>
    <w:rsid w:val="002A3947"/>
    <w:rsid w:val="002A540D"/>
    <w:rsid w:val="002A6903"/>
    <w:rsid w:val="002A7846"/>
    <w:rsid w:val="002B1294"/>
    <w:rsid w:val="002B2184"/>
    <w:rsid w:val="002B43E6"/>
    <w:rsid w:val="002B4A54"/>
    <w:rsid w:val="002B517E"/>
    <w:rsid w:val="002B57A0"/>
    <w:rsid w:val="002B65CE"/>
    <w:rsid w:val="002B6AAC"/>
    <w:rsid w:val="002B7057"/>
    <w:rsid w:val="002B7091"/>
    <w:rsid w:val="002C0C52"/>
    <w:rsid w:val="002C1F5A"/>
    <w:rsid w:val="002C2EFF"/>
    <w:rsid w:val="002C3367"/>
    <w:rsid w:val="002C371C"/>
    <w:rsid w:val="002C4169"/>
    <w:rsid w:val="002C56B1"/>
    <w:rsid w:val="002C5737"/>
    <w:rsid w:val="002C5979"/>
    <w:rsid w:val="002C6966"/>
    <w:rsid w:val="002C75A4"/>
    <w:rsid w:val="002C7A15"/>
    <w:rsid w:val="002D2498"/>
    <w:rsid w:val="002D26CB"/>
    <w:rsid w:val="002D51D9"/>
    <w:rsid w:val="002D5A2F"/>
    <w:rsid w:val="002D5D19"/>
    <w:rsid w:val="002D6A15"/>
    <w:rsid w:val="002E2357"/>
    <w:rsid w:val="002E3EE6"/>
    <w:rsid w:val="002E5C92"/>
    <w:rsid w:val="002E6C25"/>
    <w:rsid w:val="002F06B6"/>
    <w:rsid w:val="002F1A6F"/>
    <w:rsid w:val="002F265D"/>
    <w:rsid w:val="002F2DFC"/>
    <w:rsid w:val="002F2E03"/>
    <w:rsid w:val="002F419E"/>
    <w:rsid w:val="002F46FE"/>
    <w:rsid w:val="002F6608"/>
    <w:rsid w:val="002F7EE8"/>
    <w:rsid w:val="00300D97"/>
    <w:rsid w:val="00301800"/>
    <w:rsid w:val="00302861"/>
    <w:rsid w:val="00304F4A"/>
    <w:rsid w:val="00304F8C"/>
    <w:rsid w:val="003051D8"/>
    <w:rsid w:val="0030553F"/>
    <w:rsid w:val="00307FB0"/>
    <w:rsid w:val="003117CA"/>
    <w:rsid w:val="00312DFB"/>
    <w:rsid w:val="0031302E"/>
    <w:rsid w:val="0031496D"/>
    <w:rsid w:val="00315AA4"/>
    <w:rsid w:val="0031670B"/>
    <w:rsid w:val="003168D7"/>
    <w:rsid w:val="003204C2"/>
    <w:rsid w:val="003209D6"/>
    <w:rsid w:val="00320E3B"/>
    <w:rsid w:val="00320E60"/>
    <w:rsid w:val="0032107F"/>
    <w:rsid w:val="0032168E"/>
    <w:rsid w:val="00321A6B"/>
    <w:rsid w:val="00323314"/>
    <w:rsid w:val="00323EE6"/>
    <w:rsid w:val="0032400E"/>
    <w:rsid w:val="00324ECA"/>
    <w:rsid w:val="0032547B"/>
    <w:rsid w:val="003262E4"/>
    <w:rsid w:val="00326F38"/>
    <w:rsid w:val="003279B1"/>
    <w:rsid w:val="0033006E"/>
    <w:rsid w:val="0033063C"/>
    <w:rsid w:val="003324E2"/>
    <w:rsid w:val="003327C5"/>
    <w:rsid w:val="00332B84"/>
    <w:rsid w:val="003347F0"/>
    <w:rsid w:val="00334CA1"/>
    <w:rsid w:val="00335CAF"/>
    <w:rsid w:val="00335D91"/>
    <w:rsid w:val="00336474"/>
    <w:rsid w:val="00336859"/>
    <w:rsid w:val="0033700A"/>
    <w:rsid w:val="003408E8"/>
    <w:rsid w:val="00340AED"/>
    <w:rsid w:val="00340C96"/>
    <w:rsid w:val="00341BE2"/>
    <w:rsid w:val="00341E75"/>
    <w:rsid w:val="00344257"/>
    <w:rsid w:val="00345FD6"/>
    <w:rsid w:val="0034649F"/>
    <w:rsid w:val="003468A9"/>
    <w:rsid w:val="0034726A"/>
    <w:rsid w:val="00347AD0"/>
    <w:rsid w:val="00350E32"/>
    <w:rsid w:val="003525F0"/>
    <w:rsid w:val="00352B58"/>
    <w:rsid w:val="0035371E"/>
    <w:rsid w:val="00354A37"/>
    <w:rsid w:val="00356AF2"/>
    <w:rsid w:val="00356C14"/>
    <w:rsid w:val="0036099A"/>
    <w:rsid w:val="003631C1"/>
    <w:rsid w:val="00364A86"/>
    <w:rsid w:val="00365B95"/>
    <w:rsid w:val="003707BB"/>
    <w:rsid w:val="00370C08"/>
    <w:rsid w:val="00372CB0"/>
    <w:rsid w:val="00373031"/>
    <w:rsid w:val="00373877"/>
    <w:rsid w:val="0037546B"/>
    <w:rsid w:val="00375BBF"/>
    <w:rsid w:val="00376439"/>
    <w:rsid w:val="003764F4"/>
    <w:rsid w:val="00377A41"/>
    <w:rsid w:val="00377BA3"/>
    <w:rsid w:val="00380436"/>
    <w:rsid w:val="00381DA8"/>
    <w:rsid w:val="00382060"/>
    <w:rsid w:val="00382871"/>
    <w:rsid w:val="0038362F"/>
    <w:rsid w:val="003844EE"/>
    <w:rsid w:val="003846F7"/>
    <w:rsid w:val="0038470D"/>
    <w:rsid w:val="00384A83"/>
    <w:rsid w:val="00384F38"/>
    <w:rsid w:val="003864CF"/>
    <w:rsid w:val="003866C7"/>
    <w:rsid w:val="00386DD6"/>
    <w:rsid w:val="00390FF4"/>
    <w:rsid w:val="003920A3"/>
    <w:rsid w:val="003923B9"/>
    <w:rsid w:val="00392B70"/>
    <w:rsid w:val="003940B3"/>
    <w:rsid w:val="003941FA"/>
    <w:rsid w:val="003968E6"/>
    <w:rsid w:val="0039702D"/>
    <w:rsid w:val="003A00FA"/>
    <w:rsid w:val="003A132C"/>
    <w:rsid w:val="003A4AD3"/>
    <w:rsid w:val="003A4DDB"/>
    <w:rsid w:val="003A542B"/>
    <w:rsid w:val="003A5832"/>
    <w:rsid w:val="003A721A"/>
    <w:rsid w:val="003A7A81"/>
    <w:rsid w:val="003B0966"/>
    <w:rsid w:val="003B1AE3"/>
    <w:rsid w:val="003B2D66"/>
    <w:rsid w:val="003B3A16"/>
    <w:rsid w:val="003B416E"/>
    <w:rsid w:val="003B6176"/>
    <w:rsid w:val="003B6DC7"/>
    <w:rsid w:val="003B6F0D"/>
    <w:rsid w:val="003C088A"/>
    <w:rsid w:val="003C14F6"/>
    <w:rsid w:val="003C265F"/>
    <w:rsid w:val="003C4873"/>
    <w:rsid w:val="003C5252"/>
    <w:rsid w:val="003C54F4"/>
    <w:rsid w:val="003C6554"/>
    <w:rsid w:val="003C65F7"/>
    <w:rsid w:val="003C7968"/>
    <w:rsid w:val="003D0A02"/>
    <w:rsid w:val="003D121B"/>
    <w:rsid w:val="003D1D0A"/>
    <w:rsid w:val="003D262C"/>
    <w:rsid w:val="003D2B64"/>
    <w:rsid w:val="003D2E5B"/>
    <w:rsid w:val="003D3096"/>
    <w:rsid w:val="003D30BD"/>
    <w:rsid w:val="003D3CA8"/>
    <w:rsid w:val="003D67AB"/>
    <w:rsid w:val="003D78B0"/>
    <w:rsid w:val="003E0C5A"/>
    <w:rsid w:val="003E2B27"/>
    <w:rsid w:val="003E4255"/>
    <w:rsid w:val="003E45FC"/>
    <w:rsid w:val="003F2F04"/>
    <w:rsid w:val="003F4842"/>
    <w:rsid w:val="003F4D81"/>
    <w:rsid w:val="003F72C4"/>
    <w:rsid w:val="00401219"/>
    <w:rsid w:val="0040221C"/>
    <w:rsid w:val="0040396B"/>
    <w:rsid w:val="004044F0"/>
    <w:rsid w:val="004073C4"/>
    <w:rsid w:val="004074FA"/>
    <w:rsid w:val="004079D9"/>
    <w:rsid w:val="0041058C"/>
    <w:rsid w:val="00412B16"/>
    <w:rsid w:val="0041528C"/>
    <w:rsid w:val="0041551E"/>
    <w:rsid w:val="00415788"/>
    <w:rsid w:val="004168C0"/>
    <w:rsid w:val="00416A3D"/>
    <w:rsid w:val="0041745B"/>
    <w:rsid w:val="0042075C"/>
    <w:rsid w:val="0042084E"/>
    <w:rsid w:val="00420B8F"/>
    <w:rsid w:val="00421372"/>
    <w:rsid w:val="00421386"/>
    <w:rsid w:val="00421CBC"/>
    <w:rsid w:val="0042299D"/>
    <w:rsid w:val="00423CBA"/>
    <w:rsid w:val="0042565F"/>
    <w:rsid w:val="004262A3"/>
    <w:rsid w:val="00426911"/>
    <w:rsid w:val="00426A06"/>
    <w:rsid w:val="00426A31"/>
    <w:rsid w:val="0043074C"/>
    <w:rsid w:val="004307A5"/>
    <w:rsid w:val="0043136B"/>
    <w:rsid w:val="004324A4"/>
    <w:rsid w:val="00432BF8"/>
    <w:rsid w:val="00433E57"/>
    <w:rsid w:val="0043462B"/>
    <w:rsid w:val="00434689"/>
    <w:rsid w:val="00436349"/>
    <w:rsid w:val="00440106"/>
    <w:rsid w:val="0044042C"/>
    <w:rsid w:val="0044106F"/>
    <w:rsid w:val="00442EC5"/>
    <w:rsid w:val="00442ECD"/>
    <w:rsid w:val="004437B1"/>
    <w:rsid w:val="004447E2"/>
    <w:rsid w:val="004453FA"/>
    <w:rsid w:val="00445BE2"/>
    <w:rsid w:val="00445FCF"/>
    <w:rsid w:val="004474AB"/>
    <w:rsid w:val="00447BA4"/>
    <w:rsid w:val="00450B75"/>
    <w:rsid w:val="004518CF"/>
    <w:rsid w:val="00452A3F"/>
    <w:rsid w:val="00455CEC"/>
    <w:rsid w:val="00456544"/>
    <w:rsid w:val="00457576"/>
    <w:rsid w:val="004611FC"/>
    <w:rsid w:val="004623DD"/>
    <w:rsid w:val="00462B98"/>
    <w:rsid w:val="00463945"/>
    <w:rsid w:val="00464B65"/>
    <w:rsid w:val="00465016"/>
    <w:rsid w:val="00465219"/>
    <w:rsid w:val="00465F99"/>
    <w:rsid w:val="0046609C"/>
    <w:rsid w:val="004669D3"/>
    <w:rsid w:val="0047264D"/>
    <w:rsid w:val="00472CD0"/>
    <w:rsid w:val="0047343F"/>
    <w:rsid w:val="00473D33"/>
    <w:rsid w:val="004744C5"/>
    <w:rsid w:val="004750C9"/>
    <w:rsid w:val="00475C85"/>
    <w:rsid w:val="00475FD7"/>
    <w:rsid w:val="00476278"/>
    <w:rsid w:val="00476C92"/>
    <w:rsid w:val="0048067C"/>
    <w:rsid w:val="00481490"/>
    <w:rsid w:val="004819D8"/>
    <w:rsid w:val="00482523"/>
    <w:rsid w:val="00482D57"/>
    <w:rsid w:val="00483516"/>
    <w:rsid w:val="00483C38"/>
    <w:rsid w:val="00484670"/>
    <w:rsid w:val="00484878"/>
    <w:rsid w:val="00486B0E"/>
    <w:rsid w:val="00486B3E"/>
    <w:rsid w:val="004871CA"/>
    <w:rsid w:val="00487AB2"/>
    <w:rsid w:val="004906BB"/>
    <w:rsid w:val="0049129F"/>
    <w:rsid w:val="0049191F"/>
    <w:rsid w:val="00493EBD"/>
    <w:rsid w:val="00494599"/>
    <w:rsid w:val="00494A8A"/>
    <w:rsid w:val="00495143"/>
    <w:rsid w:val="004953D4"/>
    <w:rsid w:val="004961F8"/>
    <w:rsid w:val="00496B04"/>
    <w:rsid w:val="00496B64"/>
    <w:rsid w:val="00497214"/>
    <w:rsid w:val="00497933"/>
    <w:rsid w:val="00497D5C"/>
    <w:rsid w:val="004A23F2"/>
    <w:rsid w:val="004A3F86"/>
    <w:rsid w:val="004A3FA8"/>
    <w:rsid w:val="004A5E76"/>
    <w:rsid w:val="004A69BB"/>
    <w:rsid w:val="004A6A54"/>
    <w:rsid w:val="004B1804"/>
    <w:rsid w:val="004B1A94"/>
    <w:rsid w:val="004B2A44"/>
    <w:rsid w:val="004B2BF3"/>
    <w:rsid w:val="004B37D8"/>
    <w:rsid w:val="004B3960"/>
    <w:rsid w:val="004B39E0"/>
    <w:rsid w:val="004B3E52"/>
    <w:rsid w:val="004B5C14"/>
    <w:rsid w:val="004B61F8"/>
    <w:rsid w:val="004B775F"/>
    <w:rsid w:val="004B791D"/>
    <w:rsid w:val="004B7BE3"/>
    <w:rsid w:val="004C129E"/>
    <w:rsid w:val="004C2096"/>
    <w:rsid w:val="004C25C2"/>
    <w:rsid w:val="004C31E5"/>
    <w:rsid w:val="004C33BA"/>
    <w:rsid w:val="004C40BA"/>
    <w:rsid w:val="004C5677"/>
    <w:rsid w:val="004C5C4A"/>
    <w:rsid w:val="004D0132"/>
    <w:rsid w:val="004D0E13"/>
    <w:rsid w:val="004D1A8F"/>
    <w:rsid w:val="004D24DA"/>
    <w:rsid w:val="004D2738"/>
    <w:rsid w:val="004D3866"/>
    <w:rsid w:val="004D59A8"/>
    <w:rsid w:val="004D6861"/>
    <w:rsid w:val="004D7172"/>
    <w:rsid w:val="004D7F6B"/>
    <w:rsid w:val="004E0379"/>
    <w:rsid w:val="004E0E91"/>
    <w:rsid w:val="004E35E4"/>
    <w:rsid w:val="004F0698"/>
    <w:rsid w:val="004F0A33"/>
    <w:rsid w:val="004F1135"/>
    <w:rsid w:val="004F20A6"/>
    <w:rsid w:val="004F2376"/>
    <w:rsid w:val="004F2628"/>
    <w:rsid w:val="004F5AC2"/>
    <w:rsid w:val="004F7AAA"/>
    <w:rsid w:val="005007DF"/>
    <w:rsid w:val="0050255A"/>
    <w:rsid w:val="005028B2"/>
    <w:rsid w:val="00502BD3"/>
    <w:rsid w:val="00502C69"/>
    <w:rsid w:val="00503FAD"/>
    <w:rsid w:val="00507EBA"/>
    <w:rsid w:val="0051211C"/>
    <w:rsid w:val="00512BA9"/>
    <w:rsid w:val="00513BFE"/>
    <w:rsid w:val="00516974"/>
    <w:rsid w:val="0052070C"/>
    <w:rsid w:val="0052127E"/>
    <w:rsid w:val="0052234C"/>
    <w:rsid w:val="00522AFD"/>
    <w:rsid w:val="00524A64"/>
    <w:rsid w:val="00524B49"/>
    <w:rsid w:val="00526985"/>
    <w:rsid w:val="0052726D"/>
    <w:rsid w:val="005322C0"/>
    <w:rsid w:val="0053248B"/>
    <w:rsid w:val="005330A9"/>
    <w:rsid w:val="0053312F"/>
    <w:rsid w:val="00533A91"/>
    <w:rsid w:val="005354C4"/>
    <w:rsid w:val="00535BC7"/>
    <w:rsid w:val="00535E95"/>
    <w:rsid w:val="005373DB"/>
    <w:rsid w:val="00537CF6"/>
    <w:rsid w:val="005406C1"/>
    <w:rsid w:val="00540742"/>
    <w:rsid w:val="00540C90"/>
    <w:rsid w:val="00541D4B"/>
    <w:rsid w:val="00541D53"/>
    <w:rsid w:val="005422F9"/>
    <w:rsid w:val="00542958"/>
    <w:rsid w:val="005429DA"/>
    <w:rsid w:val="00542A5B"/>
    <w:rsid w:val="005434BE"/>
    <w:rsid w:val="00543901"/>
    <w:rsid w:val="0054456E"/>
    <w:rsid w:val="00546399"/>
    <w:rsid w:val="00550EAB"/>
    <w:rsid w:val="005512B3"/>
    <w:rsid w:val="005513DC"/>
    <w:rsid w:val="0055140D"/>
    <w:rsid w:val="005529B9"/>
    <w:rsid w:val="00552B89"/>
    <w:rsid w:val="005558FD"/>
    <w:rsid w:val="005574CC"/>
    <w:rsid w:val="005577D8"/>
    <w:rsid w:val="00560A4C"/>
    <w:rsid w:val="00561253"/>
    <w:rsid w:val="00561A88"/>
    <w:rsid w:val="005637B5"/>
    <w:rsid w:val="00565D36"/>
    <w:rsid w:val="00565E4A"/>
    <w:rsid w:val="0056724C"/>
    <w:rsid w:val="00567295"/>
    <w:rsid w:val="00570D0E"/>
    <w:rsid w:val="00571586"/>
    <w:rsid w:val="0057188A"/>
    <w:rsid w:val="00572A8E"/>
    <w:rsid w:val="00573D25"/>
    <w:rsid w:val="00575924"/>
    <w:rsid w:val="005759F1"/>
    <w:rsid w:val="00581011"/>
    <w:rsid w:val="0058241A"/>
    <w:rsid w:val="0058397F"/>
    <w:rsid w:val="005844E0"/>
    <w:rsid w:val="00586C13"/>
    <w:rsid w:val="00587353"/>
    <w:rsid w:val="00587A7E"/>
    <w:rsid w:val="0059123C"/>
    <w:rsid w:val="00591416"/>
    <w:rsid w:val="00593068"/>
    <w:rsid w:val="0059355F"/>
    <w:rsid w:val="00593B9E"/>
    <w:rsid w:val="00596D22"/>
    <w:rsid w:val="00597AF9"/>
    <w:rsid w:val="005A005E"/>
    <w:rsid w:val="005A18E7"/>
    <w:rsid w:val="005B1A45"/>
    <w:rsid w:val="005B2D0A"/>
    <w:rsid w:val="005B2D22"/>
    <w:rsid w:val="005B330B"/>
    <w:rsid w:val="005B4EFA"/>
    <w:rsid w:val="005B5DB9"/>
    <w:rsid w:val="005B6016"/>
    <w:rsid w:val="005B69A2"/>
    <w:rsid w:val="005B7449"/>
    <w:rsid w:val="005B7F33"/>
    <w:rsid w:val="005C058E"/>
    <w:rsid w:val="005C13E9"/>
    <w:rsid w:val="005C2AA6"/>
    <w:rsid w:val="005C3115"/>
    <w:rsid w:val="005C42F7"/>
    <w:rsid w:val="005C7147"/>
    <w:rsid w:val="005C728A"/>
    <w:rsid w:val="005C7BE2"/>
    <w:rsid w:val="005D04F6"/>
    <w:rsid w:val="005D09BA"/>
    <w:rsid w:val="005D1174"/>
    <w:rsid w:val="005D25DE"/>
    <w:rsid w:val="005D26E1"/>
    <w:rsid w:val="005D49CA"/>
    <w:rsid w:val="005D5D93"/>
    <w:rsid w:val="005D6D87"/>
    <w:rsid w:val="005D7B09"/>
    <w:rsid w:val="005D7C48"/>
    <w:rsid w:val="005E064B"/>
    <w:rsid w:val="005E13DA"/>
    <w:rsid w:val="005E26C9"/>
    <w:rsid w:val="005E4169"/>
    <w:rsid w:val="005E5B4C"/>
    <w:rsid w:val="005E6576"/>
    <w:rsid w:val="005F1747"/>
    <w:rsid w:val="005F24F7"/>
    <w:rsid w:val="005F2722"/>
    <w:rsid w:val="005F2773"/>
    <w:rsid w:val="005F3631"/>
    <w:rsid w:val="005F3790"/>
    <w:rsid w:val="005F3CAA"/>
    <w:rsid w:val="005F617A"/>
    <w:rsid w:val="005F7123"/>
    <w:rsid w:val="005F7F88"/>
    <w:rsid w:val="006000D2"/>
    <w:rsid w:val="0060051F"/>
    <w:rsid w:val="006020CA"/>
    <w:rsid w:val="00602401"/>
    <w:rsid w:val="0060616D"/>
    <w:rsid w:val="00606880"/>
    <w:rsid w:val="00610C81"/>
    <w:rsid w:val="0061214B"/>
    <w:rsid w:val="006125D7"/>
    <w:rsid w:val="00612FDD"/>
    <w:rsid w:val="006138BB"/>
    <w:rsid w:val="00613CC6"/>
    <w:rsid w:val="00613FE5"/>
    <w:rsid w:val="00614F0B"/>
    <w:rsid w:val="006164A0"/>
    <w:rsid w:val="006172B9"/>
    <w:rsid w:val="00617F5B"/>
    <w:rsid w:val="006220A8"/>
    <w:rsid w:val="0062343A"/>
    <w:rsid w:val="006249D4"/>
    <w:rsid w:val="006344ED"/>
    <w:rsid w:val="00634DA2"/>
    <w:rsid w:val="0063778B"/>
    <w:rsid w:val="006401FB"/>
    <w:rsid w:val="00640CE2"/>
    <w:rsid w:val="00641107"/>
    <w:rsid w:val="00644B76"/>
    <w:rsid w:val="006450CF"/>
    <w:rsid w:val="00646015"/>
    <w:rsid w:val="00647CE1"/>
    <w:rsid w:val="006524C6"/>
    <w:rsid w:val="006534CF"/>
    <w:rsid w:val="0065494F"/>
    <w:rsid w:val="00656C4C"/>
    <w:rsid w:val="00657203"/>
    <w:rsid w:val="00657854"/>
    <w:rsid w:val="00657D39"/>
    <w:rsid w:val="006607AA"/>
    <w:rsid w:val="00660927"/>
    <w:rsid w:val="00660C93"/>
    <w:rsid w:val="006632FB"/>
    <w:rsid w:val="00663D23"/>
    <w:rsid w:val="006648A2"/>
    <w:rsid w:val="00664900"/>
    <w:rsid w:val="006669DF"/>
    <w:rsid w:val="00670531"/>
    <w:rsid w:val="006717EA"/>
    <w:rsid w:val="00671EE0"/>
    <w:rsid w:val="00671FDC"/>
    <w:rsid w:val="00672158"/>
    <w:rsid w:val="0067272A"/>
    <w:rsid w:val="00672F62"/>
    <w:rsid w:val="00676B92"/>
    <w:rsid w:val="00681509"/>
    <w:rsid w:val="00681F51"/>
    <w:rsid w:val="006846B8"/>
    <w:rsid w:val="00686EE4"/>
    <w:rsid w:val="0069002D"/>
    <w:rsid w:val="0069009B"/>
    <w:rsid w:val="00690487"/>
    <w:rsid w:val="0069222D"/>
    <w:rsid w:val="00693065"/>
    <w:rsid w:val="0069380B"/>
    <w:rsid w:val="00693D16"/>
    <w:rsid w:val="00693FA3"/>
    <w:rsid w:val="00694CBC"/>
    <w:rsid w:val="006951B2"/>
    <w:rsid w:val="006952C6"/>
    <w:rsid w:val="00695DC8"/>
    <w:rsid w:val="0069612E"/>
    <w:rsid w:val="00697EC7"/>
    <w:rsid w:val="006A2899"/>
    <w:rsid w:val="006A416E"/>
    <w:rsid w:val="006A4A6D"/>
    <w:rsid w:val="006A558B"/>
    <w:rsid w:val="006A56FE"/>
    <w:rsid w:val="006A635E"/>
    <w:rsid w:val="006A69C6"/>
    <w:rsid w:val="006A7B1D"/>
    <w:rsid w:val="006B0584"/>
    <w:rsid w:val="006B15E2"/>
    <w:rsid w:val="006B3E4B"/>
    <w:rsid w:val="006B4A24"/>
    <w:rsid w:val="006B50B2"/>
    <w:rsid w:val="006C145E"/>
    <w:rsid w:val="006C187D"/>
    <w:rsid w:val="006C1D3E"/>
    <w:rsid w:val="006C2044"/>
    <w:rsid w:val="006C210E"/>
    <w:rsid w:val="006C4540"/>
    <w:rsid w:val="006C5CFF"/>
    <w:rsid w:val="006D0E15"/>
    <w:rsid w:val="006D1E1F"/>
    <w:rsid w:val="006D376C"/>
    <w:rsid w:val="006D4393"/>
    <w:rsid w:val="006D5B35"/>
    <w:rsid w:val="006E1C2E"/>
    <w:rsid w:val="006E20BA"/>
    <w:rsid w:val="006E21C9"/>
    <w:rsid w:val="006E2205"/>
    <w:rsid w:val="006E32D4"/>
    <w:rsid w:val="006E57FF"/>
    <w:rsid w:val="006F142E"/>
    <w:rsid w:val="006F252A"/>
    <w:rsid w:val="006F2760"/>
    <w:rsid w:val="006F3C7E"/>
    <w:rsid w:val="006F3EDF"/>
    <w:rsid w:val="006F4C18"/>
    <w:rsid w:val="006F5861"/>
    <w:rsid w:val="006F5FAC"/>
    <w:rsid w:val="006F7D59"/>
    <w:rsid w:val="0070036F"/>
    <w:rsid w:val="00702175"/>
    <w:rsid w:val="00702C81"/>
    <w:rsid w:val="00705F49"/>
    <w:rsid w:val="007064EB"/>
    <w:rsid w:val="007075A9"/>
    <w:rsid w:val="007076B0"/>
    <w:rsid w:val="00711B86"/>
    <w:rsid w:val="00711B90"/>
    <w:rsid w:val="0071254C"/>
    <w:rsid w:val="00713891"/>
    <w:rsid w:val="00714909"/>
    <w:rsid w:val="0071519C"/>
    <w:rsid w:val="00716223"/>
    <w:rsid w:val="007168C8"/>
    <w:rsid w:val="00717FB0"/>
    <w:rsid w:val="007200DB"/>
    <w:rsid w:val="0072051D"/>
    <w:rsid w:val="007217BE"/>
    <w:rsid w:val="007217C4"/>
    <w:rsid w:val="00722EA7"/>
    <w:rsid w:val="00726643"/>
    <w:rsid w:val="00726934"/>
    <w:rsid w:val="00726A6C"/>
    <w:rsid w:val="00727106"/>
    <w:rsid w:val="0072723E"/>
    <w:rsid w:val="00730C36"/>
    <w:rsid w:val="00730DFD"/>
    <w:rsid w:val="00731724"/>
    <w:rsid w:val="00731BD2"/>
    <w:rsid w:val="00732112"/>
    <w:rsid w:val="00732E2B"/>
    <w:rsid w:val="00734009"/>
    <w:rsid w:val="00737499"/>
    <w:rsid w:val="0073757F"/>
    <w:rsid w:val="0073787C"/>
    <w:rsid w:val="007400C2"/>
    <w:rsid w:val="007400F7"/>
    <w:rsid w:val="00740789"/>
    <w:rsid w:val="00741EFC"/>
    <w:rsid w:val="00743242"/>
    <w:rsid w:val="007432B4"/>
    <w:rsid w:val="00743A8B"/>
    <w:rsid w:val="007460C1"/>
    <w:rsid w:val="007476F7"/>
    <w:rsid w:val="00747AFE"/>
    <w:rsid w:val="00750773"/>
    <w:rsid w:val="00751116"/>
    <w:rsid w:val="00751886"/>
    <w:rsid w:val="00752217"/>
    <w:rsid w:val="00752A28"/>
    <w:rsid w:val="00752BA7"/>
    <w:rsid w:val="00752C1D"/>
    <w:rsid w:val="0075303C"/>
    <w:rsid w:val="00753C83"/>
    <w:rsid w:val="00754458"/>
    <w:rsid w:val="0075707C"/>
    <w:rsid w:val="00762EDC"/>
    <w:rsid w:val="00763277"/>
    <w:rsid w:val="00764573"/>
    <w:rsid w:val="00764C7D"/>
    <w:rsid w:val="00764C9E"/>
    <w:rsid w:val="007656E7"/>
    <w:rsid w:val="00766BA6"/>
    <w:rsid w:val="007707BD"/>
    <w:rsid w:val="00771A18"/>
    <w:rsid w:val="00772388"/>
    <w:rsid w:val="00772E36"/>
    <w:rsid w:val="00773660"/>
    <w:rsid w:val="007747CD"/>
    <w:rsid w:val="00775256"/>
    <w:rsid w:val="00775F0A"/>
    <w:rsid w:val="0077681C"/>
    <w:rsid w:val="00776A27"/>
    <w:rsid w:val="00776CA3"/>
    <w:rsid w:val="00776E5B"/>
    <w:rsid w:val="0077777C"/>
    <w:rsid w:val="0078110D"/>
    <w:rsid w:val="0078153D"/>
    <w:rsid w:val="00782357"/>
    <w:rsid w:val="00783081"/>
    <w:rsid w:val="007862E0"/>
    <w:rsid w:val="00786A5A"/>
    <w:rsid w:val="007909A6"/>
    <w:rsid w:val="00791DDA"/>
    <w:rsid w:val="007929EA"/>
    <w:rsid w:val="00793485"/>
    <w:rsid w:val="0079452F"/>
    <w:rsid w:val="007956FF"/>
    <w:rsid w:val="00795B2B"/>
    <w:rsid w:val="0079646A"/>
    <w:rsid w:val="007968A8"/>
    <w:rsid w:val="007968E9"/>
    <w:rsid w:val="007975D3"/>
    <w:rsid w:val="00797EBF"/>
    <w:rsid w:val="007A0584"/>
    <w:rsid w:val="007A0FB9"/>
    <w:rsid w:val="007A1A92"/>
    <w:rsid w:val="007A1F79"/>
    <w:rsid w:val="007A3501"/>
    <w:rsid w:val="007A4CF0"/>
    <w:rsid w:val="007A5570"/>
    <w:rsid w:val="007A58B4"/>
    <w:rsid w:val="007A608F"/>
    <w:rsid w:val="007A6B59"/>
    <w:rsid w:val="007A6E95"/>
    <w:rsid w:val="007A793B"/>
    <w:rsid w:val="007B083F"/>
    <w:rsid w:val="007B0A18"/>
    <w:rsid w:val="007B0A32"/>
    <w:rsid w:val="007B0A8D"/>
    <w:rsid w:val="007B0E22"/>
    <w:rsid w:val="007B0FED"/>
    <w:rsid w:val="007B125D"/>
    <w:rsid w:val="007B33C0"/>
    <w:rsid w:val="007B5663"/>
    <w:rsid w:val="007B599A"/>
    <w:rsid w:val="007C09A5"/>
    <w:rsid w:val="007C1788"/>
    <w:rsid w:val="007C2149"/>
    <w:rsid w:val="007C2598"/>
    <w:rsid w:val="007C2D40"/>
    <w:rsid w:val="007C3560"/>
    <w:rsid w:val="007C37E1"/>
    <w:rsid w:val="007C3E97"/>
    <w:rsid w:val="007C4608"/>
    <w:rsid w:val="007C58C7"/>
    <w:rsid w:val="007C66C8"/>
    <w:rsid w:val="007D00B0"/>
    <w:rsid w:val="007D4551"/>
    <w:rsid w:val="007E456A"/>
    <w:rsid w:val="007E47B5"/>
    <w:rsid w:val="007F0DF9"/>
    <w:rsid w:val="007F1C24"/>
    <w:rsid w:val="007F2B2C"/>
    <w:rsid w:val="007F35A2"/>
    <w:rsid w:val="007F580E"/>
    <w:rsid w:val="007F6E39"/>
    <w:rsid w:val="007F7AC9"/>
    <w:rsid w:val="0080139D"/>
    <w:rsid w:val="008030E9"/>
    <w:rsid w:val="0080330C"/>
    <w:rsid w:val="008034DE"/>
    <w:rsid w:val="0080572C"/>
    <w:rsid w:val="008064D1"/>
    <w:rsid w:val="00807815"/>
    <w:rsid w:val="00807C71"/>
    <w:rsid w:val="008126D2"/>
    <w:rsid w:val="00812708"/>
    <w:rsid w:val="0081378C"/>
    <w:rsid w:val="008141D9"/>
    <w:rsid w:val="00814EE3"/>
    <w:rsid w:val="00815975"/>
    <w:rsid w:val="00815C92"/>
    <w:rsid w:val="00815FDA"/>
    <w:rsid w:val="00816519"/>
    <w:rsid w:val="00816C1F"/>
    <w:rsid w:val="00821B1B"/>
    <w:rsid w:val="0082292E"/>
    <w:rsid w:val="00822B73"/>
    <w:rsid w:val="00823C4F"/>
    <w:rsid w:val="00824C54"/>
    <w:rsid w:val="00825456"/>
    <w:rsid w:val="0082550F"/>
    <w:rsid w:val="00825CED"/>
    <w:rsid w:val="00825EF8"/>
    <w:rsid w:val="008260E4"/>
    <w:rsid w:val="008261B2"/>
    <w:rsid w:val="00826683"/>
    <w:rsid w:val="008324D9"/>
    <w:rsid w:val="008326A2"/>
    <w:rsid w:val="00832DA9"/>
    <w:rsid w:val="00834E1F"/>
    <w:rsid w:val="00835285"/>
    <w:rsid w:val="00836104"/>
    <w:rsid w:val="0084034C"/>
    <w:rsid w:val="008413DA"/>
    <w:rsid w:val="008414AE"/>
    <w:rsid w:val="00841926"/>
    <w:rsid w:val="00845D40"/>
    <w:rsid w:val="00845FA1"/>
    <w:rsid w:val="008469D1"/>
    <w:rsid w:val="00847122"/>
    <w:rsid w:val="008474D4"/>
    <w:rsid w:val="00847F71"/>
    <w:rsid w:val="00852047"/>
    <w:rsid w:val="0085387D"/>
    <w:rsid w:val="008544B7"/>
    <w:rsid w:val="00856A67"/>
    <w:rsid w:val="00857EA6"/>
    <w:rsid w:val="00863154"/>
    <w:rsid w:val="00863494"/>
    <w:rsid w:val="00863B83"/>
    <w:rsid w:val="008646F5"/>
    <w:rsid w:val="00864BF2"/>
    <w:rsid w:val="0086548B"/>
    <w:rsid w:val="00865E6A"/>
    <w:rsid w:val="00865EE1"/>
    <w:rsid w:val="0086757F"/>
    <w:rsid w:val="00870F26"/>
    <w:rsid w:val="008713FA"/>
    <w:rsid w:val="008718DC"/>
    <w:rsid w:val="00872BF7"/>
    <w:rsid w:val="00873381"/>
    <w:rsid w:val="008735DB"/>
    <w:rsid w:val="008750AA"/>
    <w:rsid w:val="0088153B"/>
    <w:rsid w:val="00882C78"/>
    <w:rsid w:val="008839A5"/>
    <w:rsid w:val="00883A98"/>
    <w:rsid w:val="00884194"/>
    <w:rsid w:val="00884FCA"/>
    <w:rsid w:val="00886ED1"/>
    <w:rsid w:val="008879FE"/>
    <w:rsid w:val="00890C53"/>
    <w:rsid w:val="0089124F"/>
    <w:rsid w:val="00891DF4"/>
    <w:rsid w:val="0089203A"/>
    <w:rsid w:val="008933D1"/>
    <w:rsid w:val="00895043"/>
    <w:rsid w:val="008960B1"/>
    <w:rsid w:val="008972A5"/>
    <w:rsid w:val="008A15B8"/>
    <w:rsid w:val="008A21DF"/>
    <w:rsid w:val="008A2BBC"/>
    <w:rsid w:val="008A37EA"/>
    <w:rsid w:val="008A3E88"/>
    <w:rsid w:val="008A432B"/>
    <w:rsid w:val="008A5D16"/>
    <w:rsid w:val="008A645A"/>
    <w:rsid w:val="008B4633"/>
    <w:rsid w:val="008B6827"/>
    <w:rsid w:val="008C01FA"/>
    <w:rsid w:val="008C0C97"/>
    <w:rsid w:val="008C2240"/>
    <w:rsid w:val="008C2CCE"/>
    <w:rsid w:val="008C2D92"/>
    <w:rsid w:val="008C34D0"/>
    <w:rsid w:val="008C3B3D"/>
    <w:rsid w:val="008C3BF9"/>
    <w:rsid w:val="008C3EDA"/>
    <w:rsid w:val="008C5480"/>
    <w:rsid w:val="008C5CD4"/>
    <w:rsid w:val="008C6A49"/>
    <w:rsid w:val="008D0D0C"/>
    <w:rsid w:val="008D0FF0"/>
    <w:rsid w:val="008D36D1"/>
    <w:rsid w:val="008D5786"/>
    <w:rsid w:val="008D5A7D"/>
    <w:rsid w:val="008D7198"/>
    <w:rsid w:val="008D7804"/>
    <w:rsid w:val="008E0464"/>
    <w:rsid w:val="008E05F5"/>
    <w:rsid w:val="008E06E6"/>
    <w:rsid w:val="008E0717"/>
    <w:rsid w:val="008E0D6E"/>
    <w:rsid w:val="008E1E6C"/>
    <w:rsid w:val="008E21C1"/>
    <w:rsid w:val="008E4C82"/>
    <w:rsid w:val="008E70FA"/>
    <w:rsid w:val="008E71C8"/>
    <w:rsid w:val="008F0C07"/>
    <w:rsid w:val="008F2F5D"/>
    <w:rsid w:val="008F45EB"/>
    <w:rsid w:val="008F566D"/>
    <w:rsid w:val="008F5F14"/>
    <w:rsid w:val="008F6499"/>
    <w:rsid w:val="008F7C5C"/>
    <w:rsid w:val="009007B6"/>
    <w:rsid w:val="00902AC6"/>
    <w:rsid w:val="00903642"/>
    <w:rsid w:val="009036EC"/>
    <w:rsid w:val="00905ACB"/>
    <w:rsid w:val="009069E5"/>
    <w:rsid w:val="009077DE"/>
    <w:rsid w:val="0091294A"/>
    <w:rsid w:val="00913EA1"/>
    <w:rsid w:val="009141BF"/>
    <w:rsid w:val="00914330"/>
    <w:rsid w:val="009143AF"/>
    <w:rsid w:val="0091469E"/>
    <w:rsid w:val="00914794"/>
    <w:rsid w:val="00914894"/>
    <w:rsid w:val="0091497C"/>
    <w:rsid w:val="0091528C"/>
    <w:rsid w:val="0091678B"/>
    <w:rsid w:val="009168FD"/>
    <w:rsid w:val="00917482"/>
    <w:rsid w:val="00920D35"/>
    <w:rsid w:val="00921F6D"/>
    <w:rsid w:val="0092252B"/>
    <w:rsid w:val="009228C8"/>
    <w:rsid w:val="0092393B"/>
    <w:rsid w:val="00924267"/>
    <w:rsid w:val="00924737"/>
    <w:rsid w:val="00924A9F"/>
    <w:rsid w:val="00924F81"/>
    <w:rsid w:val="0092710F"/>
    <w:rsid w:val="00927A9E"/>
    <w:rsid w:val="00927D88"/>
    <w:rsid w:val="009302B8"/>
    <w:rsid w:val="00930EB6"/>
    <w:rsid w:val="009322DA"/>
    <w:rsid w:val="00932BFE"/>
    <w:rsid w:val="009332C6"/>
    <w:rsid w:val="009338F7"/>
    <w:rsid w:val="00933DE1"/>
    <w:rsid w:val="00934402"/>
    <w:rsid w:val="00934542"/>
    <w:rsid w:val="0093491B"/>
    <w:rsid w:val="0093578A"/>
    <w:rsid w:val="009361E7"/>
    <w:rsid w:val="00936475"/>
    <w:rsid w:val="009365F2"/>
    <w:rsid w:val="00936CA6"/>
    <w:rsid w:val="00941381"/>
    <w:rsid w:val="00941CFD"/>
    <w:rsid w:val="00944D33"/>
    <w:rsid w:val="00945A24"/>
    <w:rsid w:val="00945DCF"/>
    <w:rsid w:val="00946E38"/>
    <w:rsid w:val="009470B0"/>
    <w:rsid w:val="00947BA3"/>
    <w:rsid w:val="0095050B"/>
    <w:rsid w:val="0095111A"/>
    <w:rsid w:val="00951408"/>
    <w:rsid w:val="009525B6"/>
    <w:rsid w:val="009536DF"/>
    <w:rsid w:val="009537A7"/>
    <w:rsid w:val="0095385C"/>
    <w:rsid w:val="00953A34"/>
    <w:rsid w:val="00954375"/>
    <w:rsid w:val="00955129"/>
    <w:rsid w:val="009565AB"/>
    <w:rsid w:val="00957913"/>
    <w:rsid w:val="0096024B"/>
    <w:rsid w:val="009602F6"/>
    <w:rsid w:val="00960565"/>
    <w:rsid w:val="00964A75"/>
    <w:rsid w:val="009655D0"/>
    <w:rsid w:val="009677C4"/>
    <w:rsid w:val="00970FA1"/>
    <w:rsid w:val="00971AEA"/>
    <w:rsid w:val="00973B31"/>
    <w:rsid w:val="00976226"/>
    <w:rsid w:val="0097656D"/>
    <w:rsid w:val="00976E6C"/>
    <w:rsid w:val="0098175B"/>
    <w:rsid w:val="00982838"/>
    <w:rsid w:val="00982AB6"/>
    <w:rsid w:val="00983283"/>
    <w:rsid w:val="0098684C"/>
    <w:rsid w:val="00986AD2"/>
    <w:rsid w:val="0099041B"/>
    <w:rsid w:val="0099101A"/>
    <w:rsid w:val="0099208F"/>
    <w:rsid w:val="00992315"/>
    <w:rsid w:val="009924EF"/>
    <w:rsid w:val="00992816"/>
    <w:rsid w:val="009944DB"/>
    <w:rsid w:val="0099450C"/>
    <w:rsid w:val="00994A52"/>
    <w:rsid w:val="00995089"/>
    <w:rsid w:val="00995B32"/>
    <w:rsid w:val="00995F45"/>
    <w:rsid w:val="009A1A1F"/>
    <w:rsid w:val="009A3011"/>
    <w:rsid w:val="009A3C84"/>
    <w:rsid w:val="009A464F"/>
    <w:rsid w:val="009A5511"/>
    <w:rsid w:val="009A72D9"/>
    <w:rsid w:val="009A790A"/>
    <w:rsid w:val="009B0159"/>
    <w:rsid w:val="009B0497"/>
    <w:rsid w:val="009B0C78"/>
    <w:rsid w:val="009B1E35"/>
    <w:rsid w:val="009B443C"/>
    <w:rsid w:val="009C0678"/>
    <w:rsid w:val="009C083A"/>
    <w:rsid w:val="009C1912"/>
    <w:rsid w:val="009C2A47"/>
    <w:rsid w:val="009C2A8E"/>
    <w:rsid w:val="009C3314"/>
    <w:rsid w:val="009C434A"/>
    <w:rsid w:val="009C4484"/>
    <w:rsid w:val="009C4AC0"/>
    <w:rsid w:val="009C558A"/>
    <w:rsid w:val="009C6571"/>
    <w:rsid w:val="009C6C1E"/>
    <w:rsid w:val="009C6D81"/>
    <w:rsid w:val="009C6E5E"/>
    <w:rsid w:val="009C702D"/>
    <w:rsid w:val="009C7CD8"/>
    <w:rsid w:val="009D15B7"/>
    <w:rsid w:val="009D1A49"/>
    <w:rsid w:val="009D3277"/>
    <w:rsid w:val="009D3646"/>
    <w:rsid w:val="009D536B"/>
    <w:rsid w:val="009D5DF8"/>
    <w:rsid w:val="009D64D0"/>
    <w:rsid w:val="009D654E"/>
    <w:rsid w:val="009D7DC5"/>
    <w:rsid w:val="009D7E2B"/>
    <w:rsid w:val="009E0F6D"/>
    <w:rsid w:val="009E18A0"/>
    <w:rsid w:val="009E20E6"/>
    <w:rsid w:val="009E214B"/>
    <w:rsid w:val="009E21BA"/>
    <w:rsid w:val="009E42DF"/>
    <w:rsid w:val="009E5209"/>
    <w:rsid w:val="009E5E9F"/>
    <w:rsid w:val="009E79C0"/>
    <w:rsid w:val="009F1D36"/>
    <w:rsid w:val="009F22CC"/>
    <w:rsid w:val="009F3BBC"/>
    <w:rsid w:val="009F4043"/>
    <w:rsid w:val="009F4657"/>
    <w:rsid w:val="009F63B0"/>
    <w:rsid w:val="009F6876"/>
    <w:rsid w:val="009F72DF"/>
    <w:rsid w:val="00A0047D"/>
    <w:rsid w:val="00A00725"/>
    <w:rsid w:val="00A0193B"/>
    <w:rsid w:val="00A03276"/>
    <w:rsid w:val="00A047F4"/>
    <w:rsid w:val="00A05778"/>
    <w:rsid w:val="00A0635E"/>
    <w:rsid w:val="00A06DEA"/>
    <w:rsid w:val="00A10D1E"/>
    <w:rsid w:val="00A11FA1"/>
    <w:rsid w:val="00A14328"/>
    <w:rsid w:val="00A148C3"/>
    <w:rsid w:val="00A15843"/>
    <w:rsid w:val="00A16F96"/>
    <w:rsid w:val="00A171E8"/>
    <w:rsid w:val="00A177F0"/>
    <w:rsid w:val="00A20D9B"/>
    <w:rsid w:val="00A23579"/>
    <w:rsid w:val="00A23B67"/>
    <w:rsid w:val="00A24066"/>
    <w:rsid w:val="00A258F4"/>
    <w:rsid w:val="00A26852"/>
    <w:rsid w:val="00A26931"/>
    <w:rsid w:val="00A27E31"/>
    <w:rsid w:val="00A30C00"/>
    <w:rsid w:val="00A317D9"/>
    <w:rsid w:val="00A31A08"/>
    <w:rsid w:val="00A325AC"/>
    <w:rsid w:val="00A3265C"/>
    <w:rsid w:val="00A340AA"/>
    <w:rsid w:val="00A34461"/>
    <w:rsid w:val="00A364CD"/>
    <w:rsid w:val="00A36921"/>
    <w:rsid w:val="00A370EE"/>
    <w:rsid w:val="00A37615"/>
    <w:rsid w:val="00A40035"/>
    <w:rsid w:val="00A40BC5"/>
    <w:rsid w:val="00A41C08"/>
    <w:rsid w:val="00A425CD"/>
    <w:rsid w:val="00A432C7"/>
    <w:rsid w:val="00A43467"/>
    <w:rsid w:val="00A44BE8"/>
    <w:rsid w:val="00A454E1"/>
    <w:rsid w:val="00A46334"/>
    <w:rsid w:val="00A47382"/>
    <w:rsid w:val="00A47EBE"/>
    <w:rsid w:val="00A500C2"/>
    <w:rsid w:val="00A511A5"/>
    <w:rsid w:val="00A51998"/>
    <w:rsid w:val="00A51F94"/>
    <w:rsid w:val="00A539A1"/>
    <w:rsid w:val="00A55109"/>
    <w:rsid w:val="00A5605E"/>
    <w:rsid w:val="00A61206"/>
    <w:rsid w:val="00A6657E"/>
    <w:rsid w:val="00A67166"/>
    <w:rsid w:val="00A707FE"/>
    <w:rsid w:val="00A71E95"/>
    <w:rsid w:val="00A726FD"/>
    <w:rsid w:val="00A7360F"/>
    <w:rsid w:val="00A743E2"/>
    <w:rsid w:val="00A75CAA"/>
    <w:rsid w:val="00A75E1A"/>
    <w:rsid w:val="00A7772C"/>
    <w:rsid w:val="00A80E1D"/>
    <w:rsid w:val="00A8140B"/>
    <w:rsid w:val="00A825CC"/>
    <w:rsid w:val="00A851F5"/>
    <w:rsid w:val="00A859B9"/>
    <w:rsid w:val="00A860C3"/>
    <w:rsid w:val="00A8663D"/>
    <w:rsid w:val="00A86CDF"/>
    <w:rsid w:val="00A872F8"/>
    <w:rsid w:val="00A90C44"/>
    <w:rsid w:val="00A91A2E"/>
    <w:rsid w:val="00A924DA"/>
    <w:rsid w:val="00A9382E"/>
    <w:rsid w:val="00A94E71"/>
    <w:rsid w:val="00A954A8"/>
    <w:rsid w:val="00A968C6"/>
    <w:rsid w:val="00AA0969"/>
    <w:rsid w:val="00AA3280"/>
    <w:rsid w:val="00AA44D3"/>
    <w:rsid w:val="00AA7FCF"/>
    <w:rsid w:val="00AB1CAF"/>
    <w:rsid w:val="00AB2002"/>
    <w:rsid w:val="00AB2286"/>
    <w:rsid w:val="00AB2CE4"/>
    <w:rsid w:val="00AB4458"/>
    <w:rsid w:val="00AB5FE6"/>
    <w:rsid w:val="00AB7995"/>
    <w:rsid w:val="00AC0923"/>
    <w:rsid w:val="00AC2B3C"/>
    <w:rsid w:val="00AC3E87"/>
    <w:rsid w:val="00AC4EE6"/>
    <w:rsid w:val="00AC553D"/>
    <w:rsid w:val="00AC659E"/>
    <w:rsid w:val="00AD11C0"/>
    <w:rsid w:val="00AD2D3C"/>
    <w:rsid w:val="00AD38DF"/>
    <w:rsid w:val="00AD6B24"/>
    <w:rsid w:val="00AD705C"/>
    <w:rsid w:val="00AD73C5"/>
    <w:rsid w:val="00AD763B"/>
    <w:rsid w:val="00AD7CCD"/>
    <w:rsid w:val="00AE1684"/>
    <w:rsid w:val="00AE38BF"/>
    <w:rsid w:val="00AE3DCC"/>
    <w:rsid w:val="00AE5130"/>
    <w:rsid w:val="00AE5D91"/>
    <w:rsid w:val="00AF0C99"/>
    <w:rsid w:val="00AF29BB"/>
    <w:rsid w:val="00AF2AB3"/>
    <w:rsid w:val="00AF4F54"/>
    <w:rsid w:val="00AF6D30"/>
    <w:rsid w:val="00B023F4"/>
    <w:rsid w:val="00B02923"/>
    <w:rsid w:val="00B03229"/>
    <w:rsid w:val="00B036C5"/>
    <w:rsid w:val="00B05594"/>
    <w:rsid w:val="00B056CB"/>
    <w:rsid w:val="00B05D8D"/>
    <w:rsid w:val="00B05DAD"/>
    <w:rsid w:val="00B06FB0"/>
    <w:rsid w:val="00B07ABB"/>
    <w:rsid w:val="00B1049C"/>
    <w:rsid w:val="00B107AE"/>
    <w:rsid w:val="00B135D8"/>
    <w:rsid w:val="00B14603"/>
    <w:rsid w:val="00B147BF"/>
    <w:rsid w:val="00B170B1"/>
    <w:rsid w:val="00B17281"/>
    <w:rsid w:val="00B17335"/>
    <w:rsid w:val="00B20CB4"/>
    <w:rsid w:val="00B227F8"/>
    <w:rsid w:val="00B23B8E"/>
    <w:rsid w:val="00B23E0E"/>
    <w:rsid w:val="00B24035"/>
    <w:rsid w:val="00B24476"/>
    <w:rsid w:val="00B24506"/>
    <w:rsid w:val="00B24B67"/>
    <w:rsid w:val="00B258F5"/>
    <w:rsid w:val="00B25D24"/>
    <w:rsid w:val="00B25FDF"/>
    <w:rsid w:val="00B268DC"/>
    <w:rsid w:val="00B26D8F"/>
    <w:rsid w:val="00B27301"/>
    <w:rsid w:val="00B33BA9"/>
    <w:rsid w:val="00B33FE2"/>
    <w:rsid w:val="00B341FC"/>
    <w:rsid w:val="00B34743"/>
    <w:rsid w:val="00B40FE4"/>
    <w:rsid w:val="00B41087"/>
    <w:rsid w:val="00B41E56"/>
    <w:rsid w:val="00B43BC6"/>
    <w:rsid w:val="00B457DE"/>
    <w:rsid w:val="00B465C7"/>
    <w:rsid w:val="00B4698C"/>
    <w:rsid w:val="00B47FF5"/>
    <w:rsid w:val="00B50100"/>
    <w:rsid w:val="00B52578"/>
    <w:rsid w:val="00B53EDA"/>
    <w:rsid w:val="00B55DBF"/>
    <w:rsid w:val="00B56A3B"/>
    <w:rsid w:val="00B57361"/>
    <w:rsid w:val="00B65DD9"/>
    <w:rsid w:val="00B66816"/>
    <w:rsid w:val="00B66F66"/>
    <w:rsid w:val="00B674D4"/>
    <w:rsid w:val="00B67563"/>
    <w:rsid w:val="00B7204B"/>
    <w:rsid w:val="00B73EBF"/>
    <w:rsid w:val="00B74674"/>
    <w:rsid w:val="00B74A09"/>
    <w:rsid w:val="00B74FCA"/>
    <w:rsid w:val="00B76F49"/>
    <w:rsid w:val="00B80ED7"/>
    <w:rsid w:val="00B82A32"/>
    <w:rsid w:val="00B82AAD"/>
    <w:rsid w:val="00B83474"/>
    <w:rsid w:val="00B83C37"/>
    <w:rsid w:val="00B84DAF"/>
    <w:rsid w:val="00B8535D"/>
    <w:rsid w:val="00B87491"/>
    <w:rsid w:val="00B9285F"/>
    <w:rsid w:val="00B95417"/>
    <w:rsid w:val="00B97EBE"/>
    <w:rsid w:val="00BA0FA8"/>
    <w:rsid w:val="00BA2AAD"/>
    <w:rsid w:val="00BA3813"/>
    <w:rsid w:val="00BA7798"/>
    <w:rsid w:val="00BA7AFA"/>
    <w:rsid w:val="00BA7B73"/>
    <w:rsid w:val="00BB0CD1"/>
    <w:rsid w:val="00BB1EB6"/>
    <w:rsid w:val="00BB2747"/>
    <w:rsid w:val="00BB3CAB"/>
    <w:rsid w:val="00BB518E"/>
    <w:rsid w:val="00BB7DCE"/>
    <w:rsid w:val="00BC0D33"/>
    <w:rsid w:val="00BC110C"/>
    <w:rsid w:val="00BC1480"/>
    <w:rsid w:val="00BC1768"/>
    <w:rsid w:val="00BC1EE7"/>
    <w:rsid w:val="00BC238C"/>
    <w:rsid w:val="00BC2670"/>
    <w:rsid w:val="00BC2ADC"/>
    <w:rsid w:val="00BC45FE"/>
    <w:rsid w:val="00BC474F"/>
    <w:rsid w:val="00BC4943"/>
    <w:rsid w:val="00BC5CE8"/>
    <w:rsid w:val="00BC633A"/>
    <w:rsid w:val="00BC640E"/>
    <w:rsid w:val="00BC6455"/>
    <w:rsid w:val="00BC7CE6"/>
    <w:rsid w:val="00BD2E22"/>
    <w:rsid w:val="00BD3406"/>
    <w:rsid w:val="00BD369D"/>
    <w:rsid w:val="00BD4CD9"/>
    <w:rsid w:val="00BD5783"/>
    <w:rsid w:val="00BD6562"/>
    <w:rsid w:val="00BD7429"/>
    <w:rsid w:val="00BD754E"/>
    <w:rsid w:val="00BE0B8C"/>
    <w:rsid w:val="00BE1165"/>
    <w:rsid w:val="00BE409F"/>
    <w:rsid w:val="00BE72D0"/>
    <w:rsid w:val="00BE7FF0"/>
    <w:rsid w:val="00BF020C"/>
    <w:rsid w:val="00BF1CD8"/>
    <w:rsid w:val="00BF20A7"/>
    <w:rsid w:val="00BF2850"/>
    <w:rsid w:val="00BF3366"/>
    <w:rsid w:val="00BF3891"/>
    <w:rsid w:val="00BF4262"/>
    <w:rsid w:val="00BF7CD8"/>
    <w:rsid w:val="00C00A65"/>
    <w:rsid w:val="00C01F7B"/>
    <w:rsid w:val="00C0274E"/>
    <w:rsid w:val="00C03033"/>
    <w:rsid w:val="00C06D90"/>
    <w:rsid w:val="00C1064C"/>
    <w:rsid w:val="00C10721"/>
    <w:rsid w:val="00C11CA6"/>
    <w:rsid w:val="00C12FE5"/>
    <w:rsid w:val="00C1336F"/>
    <w:rsid w:val="00C13473"/>
    <w:rsid w:val="00C1486D"/>
    <w:rsid w:val="00C14871"/>
    <w:rsid w:val="00C14B3B"/>
    <w:rsid w:val="00C16718"/>
    <w:rsid w:val="00C167A7"/>
    <w:rsid w:val="00C20C2A"/>
    <w:rsid w:val="00C2110B"/>
    <w:rsid w:val="00C2148B"/>
    <w:rsid w:val="00C21562"/>
    <w:rsid w:val="00C22B05"/>
    <w:rsid w:val="00C22B7E"/>
    <w:rsid w:val="00C24B55"/>
    <w:rsid w:val="00C252BE"/>
    <w:rsid w:val="00C25AB4"/>
    <w:rsid w:val="00C266AE"/>
    <w:rsid w:val="00C305F3"/>
    <w:rsid w:val="00C3140F"/>
    <w:rsid w:val="00C31DD8"/>
    <w:rsid w:val="00C33960"/>
    <w:rsid w:val="00C33D30"/>
    <w:rsid w:val="00C35C94"/>
    <w:rsid w:val="00C361D7"/>
    <w:rsid w:val="00C36DD0"/>
    <w:rsid w:val="00C37D8F"/>
    <w:rsid w:val="00C408DC"/>
    <w:rsid w:val="00C416C8"/>
    <w:rsid w:val="00C42897"/>
    <w:rsid w:val="00C42F0B"/>
    <w:rsid w:val="00C45F7E"/>
    <w:rsid w:val="00C475C2"/>
    <w:rsid w:val="00C506A9"/>
    <w:rsid w:val="00C50C76"/>
    <w:rsid w:val="00C50E9F"/>
    <w:rsid w:val="00C514C0"/>
    <w:rsid w:val="00C51794"/>
    <w:rsid w:val="00C52A7A"/>
    <w:rsid w:val="00C531E1"/>
    <w:rsid w:val="00C5364B"/>
    <w:rsid w:val="00C5380D"/>
    <w:rsid w:val="00C53F3C"/>
    <w:rsid w:val="00C54041"/>
    <w:rsid w:val="00C55107"/>
    <w:rsid w:val="00C56A99"/>
    <w:rsid w:val="00C5733E"/>
    <w:rsid w:val="00C57573"/>
    <w:rsid w:val="00C57DC1"/>
    <w:rsid w:val="00C57F11"/>
    <w:rsid w:val="00C61EEA"/>
    <w:rsid w:val="00C63060"/>
    <w:rsid w:val="00C63BDE"/>
    <w:rsid w:val="00C64016"/>
    <w:rsid w:val="00C640FF"/>
    <w:rsid w:val="00C66BC7"/>
    <w:rsid w:val="00C67A0F"/>
    <w:rsid w:val="00C713C4"/>
    <w:rsid w:val="00C71C75"/>
    <w:rsid w:val="00C720CE"/>
    <w:rsid w:val="00C72B9D"/>
    <w:rsid w:val="00C73C5A"/>
    <w:rsid w:val="00C73D75"/>
    <w:rsid w:val="00C757E6"/>
    <w:rsid w:val="00C76D69"/>
    <w:rsid w:val="00C76D83"/>
    <w:rsid w:val="00C8024B"/>
    <w:rsid w:val="00C816BC"/>
    <w:rsid w:val="00C81782"/>
    <w:rsid w:val="00C82041"/>
    <w:rsid w:val="00C82F67"/>
    <w:rsid w:val="00C85B3C"/>
    <w:rsid w:val="00C90A0C"/>
    <w:rsid w:val="00C91F78"/>
    <w:rsid w:val="00C93752"/>
    <w:rsid w:val="00C93B50"/>
    <w:rsid w:val="00C95483"/>
    <w:rsid w:val="00C954E7"/>
    <w:rsid w:val="00C96EB5"/>
    <w:rsid w:val="00CA0B78"/>
    <w:rsid w:val="00CA1CE2"/>
    <w:rsid w:val="00CA3409"/>
    <w:rsid w:val="00CA39F3"/>
    <w:rsid w:val="00CA3CAF"/>
    <w:rsid w:val="00CA469E"/>
    <w:rsid w:val="00CA4B52"/>
    <w:rsid w:val="00CA60C0"/>
    <w:rsid w:val="00CA6589"/>
    <w:rsid w:val="00CA6E7C"/>
    <w:rsid w:val="00CA6F4C"/>
    <w:rsid w:val="00CA7763"/>
    <w:rsid w:val="00CB2329"/>
    <w:rsid w:val="00CB2C0A"/>
    <w:rsid w:val="00CB3008"/>
    <w:rsid w:val="00CB399B"/>
    <w:rsid w:val="00CB3B79"/>
    <w:rsid w:val="00CB49E8"/>
    <w:rsid w:val="00CB68F4"/>
    <w:rsid w:val="00CB753F"/>
    <w:rsid w:val="00CB756E"/>
    <w:rsid w:val="00CB790A"/>
    <w:rsid w:val="00CC1679"/>
    <w:rsid w:val="00CC1720"/>
    <w:rsid w:val="00CC35BB"/>
    <w:rsid w:val="00CC40D7"/>
    <w:rsid w:val="00CC4174"/>
    <w:rsid w:val="00CC5D4F"/>
    <w:rsid w:val="00CC5E33"/>
    <w:rsid w:val="00CC65C7"/>
    <w:rsid w:val="00CC6F31"/>
    <w:rsid w:val="00CD223D"/>
    <w:rsid w:val="00CD2BCE"/>
    <w:rsid w:val="00CD407F"/>
    <w:rsid w:val="00CD5E8B"/>
    <w:rsid w:val="00CD6746"/>
    <w:rsid w:val="00CD7A82"/>
    <w:rsid w:val="00CE0B33"/>
    <w:rsid w:val="00CE2B6A"/>
    <w:rsid w:val="00CF048F"/>
    <w:rsid w:val="00CF0D9D"/>
    <w:rsid w:val="00CF10B4"/>
    <w:rsid w:val="00CF155D"/>
    <w:rsid w:val="00CF1B5E"/>
    <w:rsid w:val="00CF1B6A"/>
    <w:rsid w:val="00CF36B9"/>
    <w:rsid w:val="00CF481B"/>
    <w:rsid w:val="00CF5919"/>
    <w:rsid w:val="00CF66C8"/>
    <w:rsid w:val="00CF6E55"/>
    <w:rsid w:val="00CF78B9"/>
    <w:rsid w:val="00CF7D62"/>
    <w:rsid w:val="00D0011B"/>
    <w:rsid w:val="00D0333F"/>
    <w:rsid w:val="00D0498B"/>
    <w:rsid w:val="00D04D16"/>
    <w:rsid w:val="00D06ACD"/>
    <w:rsid w:val="00D1154C"/>
    <w:rsid w:val="00D11FE9"/>
    <w:rsid w:val="00D12D5B"/>
    <w:rsid w:val="00D15ECE"/>
    <w:rsid w:val="00D20BAA"/>
    <w:rsid w:val="00D20CE3"/>
    <w:rsid w:val="00D216F8"/>
    <w:rsid w:val="00D218C1"/>
    <w:rsid w:val="00D23E1C"/>
    <w:rsid w:val="00D25FCE"/>
    <w:rsid w:val="00D27CF5"/>
    <w:rsid w:val="00D30473"/>
    <w:rsid w:val="00D30541"/>
    <w:rsid w:val="00D3088F"/>
    <w:rsid w:val="00D30FF7"/>
    <w:rsid w:val="00D322B2"/>
    <w:rsid w:val="00D328D0"/>
    <w:rsid w:val="00D32EAB"/>
    <w:rsid w:val="00D334F6"/>
    <w:rsid w:val="00D3452B"/>
    <w:rsid w:val="00D34739"/>
    <w:rsid w:val="00D34E1B"/>
    <w:rsid w:val="00D36876"/>
    <w:rsid w:val="00D3755B"/>
    <w:rsid w:val="00D37A61"/>
    <w:rsid w:val="00D408BD"/>
    <w:rsid w:val="00D40C63"/>
    <w:rsid w:val="00D40D70"/>
    <w:rsid w:val="00D40EC2"/>
    <w:rsid w:val="00D424CC"/>
    <w:rsid w:val="00D426D0"/>
    <w:rsid w:val="00D42763"/>
    <w:rsid w:val="00D42C41"/>
    <w:rsid w:val="00D42FEE"/>
    <w:rsid w:val="00D430B0"/>
    <w:rsid w:val="00D44053"/>
    <w:rsid w:val="00D4456E"/>
    <w:rsid w:val="00D44852"/>
    <w:rsid w:val="00D458CA"/>
    <w:rsid w:val="00D501AF"/>
    <w:rsid w:val="00D50F31"/>
    <w:rsid w:val="00D51670"/>
    <w:rsid w:val="00D55723"/>
    <w:rsid w:val="00D55875"/>
    <w:rsid w:val="00D5611D"/>
    <w:rsid w:val="00D56695"/>
    <w:rsid w:val="00D56C70"/>
    <w:rsid w:val="00D57144"/>
    <w:rsid w:val="00D61E75"/>
    <w:rsid w:val="00D630C1"/>
    <w:rsid w:val="00D6364A"/>
    <w:rsid w:val="00D63763"/>
    <w:rsid w:val="00D64856"/>
    <w:rsid w:val="00D64A57"/>
    <w:rsid w:val="00D66733"/>
    <w:rsid w:val="00D66884"/>
    <w:rsid w:val="00D66D55"/>
    <w:rsid w:val="00D67889"/>
    <w:rsid w:val="00D71BE5"/>
    <w:rsid w:val="00D72B35"/>
    <w:rsid w:val="00D72C44"/>
    <w:rsid w:val="00D7623D"/>
    <w:rsid w:val="00D766EE"/>
    <w:rsid w:val="00D76F4E"/>
    <w:rsid w:val="00D80146"/>
    <w:rsid w:val="00D8042D"/>
    <w:rsid w:val="00D80BC2"/>
    <w:rsid w:val="00D812BF"/>
    <w:rsid w:val="00D85837"/>
    <w:rsid w:val="00D85BC9"/>
    <w:rsid w:val="00D86820"/>
    <w:rsid w:val="00D86A53"/>
    <w:rsid w:val="00D86B22"/>
    <w:rsid w:val="00D87006"/>
    <w:rsid w:val="00D87FDE"/>
    <w:rsid w:val="00D9000C"/>
    <w:rsid w:val="00D91D59"/>
    <w:rsid w:val="00D9239B"/>
    <w:rsid w:val="00D92B12"/>
    <w:rsid w:val="00D95CE5"/>
    <w:rsid w:val="00D97E31"/>
    <w:rsid w:val="00DA0379"/>
    <w:rsid w:val="00DA18CF"/>
    <w:rsid w:val="00DA1B24"/>
    <w:rsid w:val="00DA1B62"/>
    <w:rsid w:val="00DA2BD0"/>
    <w:rsid w:val="00DA2C22"/>
    <w:rsid w:val="00DA50C2"/>
    <w:rsid w:val="00DA50E2"/>
    <w:rsid w:val="00DA52E5"/>
    <w:rsid w:val="00DA5C24"/>
    <w:rsid w:val="00DA5E64"/>
    <w:rsid w:val="00DA6346"/>
    <w:rsid w:val="00DA639A"/>
    <w:rsid w:val="00DA6C55"/>
    <w:rsid w:val="00DA7C14"/>
    <w:rsid w:val="00DB0E81"/>
    <w:rsid w:val="00DB1E53"/>
    <w:rsid w:val="00DB213D"/>
    <w:rsid w:val="00DB2C4C"/>
    <w:rsid w:val="00DB409D"/>
    <w:rsid w:val="00DB4772"/>
    <w:rsid w:val="00DB4D06"/>
    <w:rsid w:val="00DB5538"/>
    <w:rsid w:val="00DB79EF"/>
    <w:rsid w:val="00DC14D9"/>
    <w:rsid w:val="00DC1863"/>
    <w:rsid w:val="00DC2565"/>
    <w:rsid w:val="00DC39E6"/>
    <w:rsid w:val="00DC3B35"/>
    <w:rsid w:val="00DC6617"/>
    <w:rsid w:val="00DC6959"/>
    <w:rsid w:val="00DC6AC1"/>
    <w:rsid w:val="00DD060B"/>
    <w:rsid w:val="00DD06EB"/>
    <w:rsid w:val="00DD0CE2"/>
    <w:rsid w:val="00DD11ED"/>
    <w:rsid w:val="00DD1811"/>
    <w:rsid w:val="00DD2098"/>
    <w:rsid w:val="00DD230F"/>
    <w:rsid w:val="00DD26A2"/>
    <w:rsid w:val="00DD422A"/>
    <w:rsid w:val="00DD5880"/>
    <w:rsid w:val="00DD5D5E"/>
    <w:rsid w:val="00DD6BF9"/>
    <w:rsid w:val="00DD70EB"/>
    <w:rsid w:val="00DD7EAE"/>
    <w:rsid w:val="00DE15BF"/>
    <w:rsid w:val="00DE1784"/>
    <w:rsid w:val="00DE495A"/>
    <w:rsid w:val="00DE4CF9"/>
    <w:rsid w:val="00DE70B6"/>
    <w:rsid w:val="00DE7935"/>
    <w:rsid w:val="00DF0663"/>
    <w:rsid w:val="00DF073F"/>
    <w:rsid w:val="00DF168B"/>
    <w:rsid w:val="00DF1889"/>
    <w:rsid w:val="00DF2760"/>
    <w:rsid w:val="00DF2BD3"/>
    <w:rsid w:val="00DF3940"/>
    <w:rsid w:val="00DF4355"/>
    <w:rsid w:val="00DF5E0F"/>
    <w:rsid w:val="00DF75C5"/>
    <w:rsid w:val="00E00113"/>
    <w:rsid w:val="00E01089"/>
    <w:rsid w:val="00E01956"/>
    <w:rsid w:val="00E023CC"/>
    <w:rsid w:val="00E05105"/>
    <w:rsid w:val="00E06A9D"/>
    <w:rsid w:val="00E07A07"/>
    <w:rsid w:val="00E12D6D"/>
    <w:rsid w:val="00E14592"/>
    <w:rsid w:val="00E203BE"/>
    <w:rsid w:val="00E20763"/>
    <w:rsid w:val="00E20B11"/>
    <w:rsid w:val="00E212BD"/>
    <w:rsid w:val="00E22740"/>
    <w:rsid w:val="00E23A90"/>
    <w:rsid w:val="00E23E5D"/>
    <w:rsid w:val="00E2599A"/>
    <w:rsid w:val="00E267B6"/>
    <w:rsid w:val="00E27CA1"/>
    <w:rsid w:val="00E27EF2"/>
    <w:rsid w:val="00E307A7"/>
    <w:rsid w:val="00E3170C"/>
    <w:rsid w:val="00E317F9"/>
    <w:rsid w:val="00E332A8"/>
    <w:rsid w:val="00E33F10"/>
    <w:rsid w:val="00E35D24"/>
    <w:rsid w:val="00E360A0"/>
    <w:rsid w:val="00E36B31"/>
    <w:rsid w:val="00E374D0"/>
    <w:rsid w:val="00E424AF"/>
    <w:rsid w:val="00E43B1D"/>
    <w:rsid w:val="00E447BB"/>
    <w:rsid w:val="00E44DB6"/>
    <w:rsid w:val="00E44FB8"/>
    <w:rsid w:val="00E4511A"/>
    <w:rsid w:val="00E459B1"/>
    <w:rsid w:val="00E465A3"/>
    <w:rsid w:val="00E47AB2"/>
    <w:rsid w:val="00E47CA7"/>
    <w:rsid w:val="00E507E4"/>
    <w:rsid w:val="00E53C08"/>
    <w:rsid w:val="00E53C75"/>
    <w:rsid w:val="00E544C5"/>
    <w:rsid w:val="00E552A2"/>
    <w:rsid w:val="00E56147"/>
    <w:rsid w:val="00E60239"/>
    <w:rsid w:val="00E60263"/>
    <w:rsid w:val="00E62DE6"/>
    <w:rsid w:val="00E64C60"/>
    <w:rsid w:val="00E66685"/>
    <w:rsid w:val="00E66F9B"/>
    <w:rsid w:val="00E677E4"/>
    <w:rsid w:val="00E73969"/>
    <w:rsid w:val="00E7415B"/>
    <w:rsid w:val="00E75940"/>
    <w:rsid w:val="00E759C0"/>
    <w:rsid w:val="00E75F6E"/>
    <w:rsid w:val="00E76AF1"/>
    <w:rsid w:val="00E819A1"/>
    <w:rsid w:val="00E82CEA"/>
    <w:rsid w:val="00E82D6E"/>
    <w:rsid w:val="00E832B8"/>
    <w:rsid w:val="00E8344D"/>
    <w:rsid w:val="00E83662"/>
    <w:rsid w:val="00E84B64"/>
    <w:rsid w:val="00E869FB"/>
    <w:rsid w:val="00E87025"/>
    <w:rsid w:val="00E8708E"/>
    <w:rsid w:val="00E90CFC"/>
    <w:rsid w:val="00E92D38"/>
    <w:rsid w:val="00E92DCD"/>
    <w:rsid w:val="00E93559"/>
    <w:rsid w:val="00E93D4D"/>
    <w:rsid w:val="00E94156"/>
    <w:rsid w:val="00E945F7"/>
    <w:rsid w:val="00E9464B"/>
    <w:rsid w:val="00E96B72"/>
    <w:rsid w:val="00E97DC8"/>
    <w:rsid w:val="00EA10FD"/>
    <w:rsid w:val="00EA1BAB"/>
    <w:rsid w:val="00EA2518"/>
    <w:rsid w:val="00EA3375"/>
    <w:rsid w:val="00EA3766"/>
    <w:rsid w:val="00EA3BE3"/>
    <w:rsid w:val="00EB0FA4"/>
    <w:rsid w:val="00EB1E2A"/>
    <w:rsid w:val="00EB2537"/>
    <w:rsid w:val="00EB36D3"/>
    <w:rsid w:val="00EB5F23"/>
    <w:rsid w:val="00EB7CE0"/>
    <w:rsid w:val="00EC2EF1"/>
    <w:rsid w:val="00EC35CB"/>
    <w:rsid w:val="00EC483E"/>
    <w:rsid w:val="00EC797E"/>
    <w:rsid w:val="00EC7E72"/>
    <w:rsid w:val="00ED27BE"/>
    <w:rsid w:val="00ED5354"/>
    <w:rsid w:val="00ED6641"/>
    <w:rsid w:val="00ED77B5"/>
    <w:rsid w:val="00EE2500"/>
    <w:rsid w:val="00EE2683"/>
    <w:rsid w:val="00EE2789"/>
    <w:rsid w:val="00EE2B62"/>
    <w:rsid w:val="00EE3783"/>
    <w:rsid w:val="00EE3BD1"/>
    <w:rsid w:val="00EE4AAF"/>
    <w:rsid w:val="00EE6817"/>
    <w:rsid w:val="00EE7D01"/>
    <w:rsid w:val="00EF0E51"/>
    <w:rsid w:val="00EF14C7"/>
    <w:rsid w:val="00EF1561"/>
    <w:rsid w:val="00EF2019"/>
    <w:rsid w:val="00EF275F"/>
    <w:rsid w:val="00EF3FAF"/>
    <w:rsid w:val="00EF5796"/>
    <w:rsid w:val="00EF648B"/>
    <w:rsid w:val="00EF70A9"/>
    <w:rsid w:val="00EF71A9"/>
    <w:rsid w:val="00EF774A"/>
    <w:rsid w:val="00F00970"/>
    <w:rsid w:val="00F01985"/>
    <w:rsid w:val="00F03865"/>
    <w:rsid w:val="00F03E70"/>
    <w:rsid w:val="00F05275"/>
    <w:rsid w:val="00F05DE9"/>
    <w:rsid w:val="00F12A79"/>
    <w:rsid w:val="00F13CF3"/>
    <w:rsid w:val="00F14F57"/>
    <w:rsid w:val="00F15BCC"/>
    <w:rsid w:val="00F16726"/>
    <w:rsid w:val="00F1729F"/>
    <w:rsid w:val="00F177F5"/>
    <w:rsid w:val="00F21AFE"/>
    <w:rsid w:val="00F23348"/>
    <w:rsid w:val="00F2416F"/>
    <w:rsid w:val="00F26E1A"/>
    <w:rsid w:val="00F26FDB"/>
    <w:rsid w:val="00F271BA"/>
    <w:rsid w:val="00F277CE"/>
    <w:rsid w:val="00F27A12"/>
    <w:rsid w:val="00F27A81"/>
    <w:rsid w:val="00F3197D"/>
    <w:rsid w:val="00F31B3C"/>
    <w:rsid w:val="00F32B16"/>
    <w:rsid w:val="00F32BA7"/>
    <w:rsid w:val="00F33188"/>
    <w:rsid w:val="00F34131"/>
    <w:rsid w:val="00F34BA0"/>
    <w:rsid w:val="00F3586D"/>
    <w:rsid w:val="00F36DDD"/>
    <w:rsid w:val="00F37ABB"/>
    <w:rsid w:val="00F4028E"/>
    <w:rsid w:val="00F40EA9"/>
    <w:rsid w:val="00F42B5C"/>
    <w:rsid w:val="00F43079"/>
    <w:rsid w:val="00F43969"/>
    <w:rsid w:val="00F440CB"/>
    <w:rsid w:val="00F441D9"/>
    <w:rsid w:val="00F44249"/>
    <w:rsid w:val="00F45D8B"/>
    <w:rsid w:val="00F45DC9"/>
    <w:rsid w:val="00F46F45"/>
    <w:rsid w:val="00F47A1A"/>
    <w:rsid w:val="00F47E8F"/>
    <w:rsid w:val="00F50CE3"/>
    <w:rsid w:val="00F53F16"/>
    <w:rsid w:val="00F5564B"/>
    <w:rsid w:val="00F56B77"/>
    <w:rsid w:val="00F574F2"/>
    <w:rsid w:val="00F60135"/>
    <w:rsid w:val="00F60571"/>
    <w:rsid w:val="00F61222"/>
    <w:rsid w:val="00F615F0"/>
    <w:rsid w:val="00F61DAC"/>
    <w:rsid w:val="00F621F2"/>
    <w:rsid w:val="00F62555"/>
    <w:rsid w:val="00F62E03"/>
    <w:rsid w:val="00F633FB"/>
    <w:rsid w:val="00F637D7"/>
    <w:rsid w:val="00F63C58"/>
    <w:rsid w:val="00F63E7A"/>
    <w:rsid w:val="00F65595"/>
    <w:rsid w:val="00F6575B"/>
    <w:rsid w:val="00F65ECF"/>
    <w:rsid w:val="00F67B45"/>
    <w:rsid w:val="00F7036B"/>
    <w:rsid w:val="00F70D76"/>
    <w:rsid w:val="00F73700"/>
    <w:rsid w:val="00F73729"/>
    <w:rsid w:val="00F73AE6"/>
    <w:rsid w:val="00F740EB"/>
    <w:rsid w:val="00F7507F"/>
    <w:rsid w:val="00F75CF6"/>
    <w:rsid w:val="00F7686D"/>
    <w:rsid w:val="00F77534"/>
    <w:rsid w:val="00F77737"/>
    <w:rsid w:val="00F77814"/>
    <w:rsid w:val="00F77C33"/>
    <w:rsid w:val="00F77ED6"/>
    <w:rsid w:val="00F8056C"/>
    <w:rsid w:val="00F81A77"/>
    <w:rsid w:val="00F83759"/>
    <w:rsid w:val="00F84712"/>
    <w:rsid w:val="00F86BC7"/>
    <w:rsid w:val="00F9203C"/>
    <w:rsid w:val="00F92491"/>
    <w:rsid w:val="00F93733"/>
    <w:rsid w:val="00F9572F"/>
    <w:rsid w:val="00F971A0"/>
    <w:rsid w:val="00F9732B"/>
    <w:rsid w:val="00F97A30"/>
    <w:rsid w:val="00F97D46"/>
    <w:rsid w:val="00FA1CE1"/>
    <w:rsid w:val="00FA2352"/>
    <w:rsid w:val="00FA26EE"/>
    <w:rsid w:val="00FA2E75"/>
    <w:rsid w:val="00FA3993"/>
    <w:rsid w:val="00FA3A02"/>
    <w:rsid w:val="00FA5AF8"/>
    <w:rsid w:val="00FA6308"/>
    <w:rsid w:val="00FA7873"/>
    <w:rsid w:val="00FB0C0E"/>
    <w:rsid w:val="00FB1092"/>
    <w:rsid w:val="00FB2ABC"/>
    <w:rsid w:val="00FB2BB9"/>
    <w:rsid w:val="00FB32C0"/>
    <w:rsid w:val="00FB3631"/>
    <w:rsid w:val="00FB3A97"/>
    <w:rsid w:val="00FB43C5"/>
    <w:rsid w:val="00FB451A"/>
    <w:rsid w:val="00FB4A81"/>
    <w:rsid w:val="00FB7F0F"/>
    <w:rsid w:val="00FC072F"/>
    <w:rsid w:val="00FC1BC4"/>
    <w:rsid w:val="00FC3552"/>
    <w:rsid w:val="00FC36F4"/>
    <w:rsid w:val="00FC3E0D"/>
    <w:rsid w:val="00FC4177"/>
    <w:rsid w:val="00FC47BC"/>
    <w:rsid w:val="00FC6232"/>
    <w:rsid w:val="00FC7577"/>
    <w:rsid w:val="00FC790C"/>
    <w:rsid w:val="00FD05AE"/>
    <w:rsid w:val="00FD07B1"/>
    <w:rsid w:val="00FD1737"/>
    <w:rsid w:val="00FD1FE0"/>
    <w:rsid w:val="00FD2D97"/>
    <w:rsid w:val="00FD42A1"/>
    <w:rsid w:val="00FD4EDE"/>
    <w:rsid w:val="00FD52DE"/>
    <w:rsid w:val="00FD5A1B"/>
    <w:rsid w:val="00FD6B75"/>
    <w:rsid w:val="00FD715D"/>
    <w:rsid w:val="00FD74C0"/>
    <w:rsid w:val="00FE16D6"/>
    <w:rsid w:val="00FE22A6"/>
    <w:rsid w:val="00FE2FA5"/>
    <w:rsid w:val="00FE34D8"/>
    <w:rsid w:val="00FE35E9"/>
    <w:rsid w:val="00FE6E82"/>
    <w:rsid w:val="00FF450C"/>
    <w:rsid w:val="00FF463B"/>
    <w:rsid w:val="00FF50FA"/>
    <w:rsid w:val="00FF5C73"/>
    <w:rsid w:val="00FF6A3D"/>
    <w:rsid w:val="00FF6D0D"/>
    <w:rsid w:val="013110F6"/>
    <w:rsid w:val="018D0F17"/>
    <w:rsid w:val="039F1BC2"/>
    <w:rsid w:val="03A569EC"/>
    <w:rsid w:val="052A74D0"/>
    <w:rsid w:val="05624EF4"/>
    <w:rsid w:val="075F4C9F"/>
    <w:rsid w:val="08E053FD"/>
    <w:rsid w:val="0A2F0DBE"/>
    <w:rsid w:val="0C2D307A"/>
    <w:rsid w:val="0CDB347F"/>
    <w:rsid w:val="0DA77C2D"/>
    <w:rsid w:val="0E273209"/>
    <w:rsid w:val="0F9C17DE"/>
    <w:rsid w:val="12B10F0A"/>
    <w:rsid w:val="133C22DA"/>
    <w:rsid w:val="13B10A95"/>
    <w:rsid w:val="19B45B7D"/>
    <w:rsid w:val="1AF20BEF"/>
    <w:rsid w:val="1C035187"/>
    <w:rsid w:val="1C2242CF"/>
    <w:rsid w:val="1DA6254D"/>
    <w:rsid w:val="1DEA1774"/>
    <w:rsid w:val="1EC024D4"/>
    <w:rsid w:val="20D643EF"/>
    <w:rsid w:val="211D776A"/>
    <w:rsid w:val="21444A13"/>
    <w:rsid w:val="22516416"/>
    <w:rsid w:val="232E03A4"/>
    <w:rsid w:val="2436724D"/>
    <w:rsid w:val="24A5771B"/>
    <w:rsid w:val="24D5401F"/>
    <w:rsid w:val="25AF576B"/>
    <w:rsid w:val="263F63D5"/>
    <w:rsid w:val="268838D8"/>
    <w:rsid w:val="27C9373B"/>
    <w:rsid w:val="2A934323"/>
    <w:rsid w:val="2ADE7F6A"/>
    <w:rsid w:val="2D4649D2"/>
    <w:rsid w:val="2E0F48DF"/>
    <w:rsid w:val="2E30152B"/>
    <w:rsid w:val="2F6561F6"/>
    <w:rsid w:val="2FC10EF9"/>
    <w:rsid w:val="31C7350E"/>
    <w:rsid w:val="32603595"/>
    <w:rsid w:val="34BC6D94"/>
    <w:rsid w:val="34F67558"/>
    <w:rsid w:val="34F82570"/>
    <w:rsid w:val="37DE3AC6"/>
    <w:rsid w:val="393B3575"/>
    <w:rsid w:val="3A5C70FE"/>
    <w:rsid w:val="3A655477"/>
    <w:rsid w:val="3D7824A0"/>
    <w:rsid w:val="3DE962EC"/>
    <w:rsid w:val="3E130618"/>
    <w:rsid w:val="3E151A9D"/>
    <w:rsid w:val="3ED92426"/>
    <w:rsid w:val="4075299B"/>
    <w:rsid w:val="433834D6"/>
    <w:rsid w:val="44BC0F7A"/>
    <w:rsid w:val="469226F7"/>
    <w:rsid w:val="47672544"/>
    <w:rsid w:val="479E4CC5"/>
    <w:rsid w:val="47B83B92"/>
    <w:rsid w:val="49153BFE"/>
    <w:rsid w:val="495B70B4"/>
    <w:rsid w:val="4A84718C"/>
    <w:rsid w:val="4AD13A61"/>
    <w:rsid w:val="4B5A1437"/>
    <w:rsid w:val="4C5E0AB3"/>
    <w:rsid w:val="504654CE"/>
    <w:rsid w:val="50487D45"/>
    <w:rsid w:val="52BE5277"/>
    <w:rsid w:val="55CE6CAA"/>
    <w:rsid w:val="55FD3366"/>
    <w:rsid w:val="57F66847"/>
    <w:rsid w:val="59427CEF"/>
    <w:rsid w:val="59946F61"/>
    <w:rsid w:val="59B12B6A"/>
    <w:rsid w:val="5A456CC3"/>
    <w:rsid w:val="5A575AE7"/>
    <w:rsid w:val="5A9F6E67"/>
    <w:rsid w:val="5AA31F68"/>
    <w:rsid w:val="5BF1297E"/>
    <w:rsid w:val="5C8A1451"/>
    <w:rsid w:val="5CBA7F88"/>
    <w:rsid w:val="60FD1BF8"/>
    <w:rsid w:val="6468003D"/>
    <w:rsid w:val="648D5F94"/>
    <w:rsid w:val="66C57C55"/>
    <w:rsid w:val="68060525"/>
    <w:rsid w:val="69B907A6"/>
    <w:rsid w:val="6B131A2D"/>
    <w:rsid w:val="6B144D07"/>
    <w:rsid w:val="6C6E3075"/>
    <w:rsid w:val="6DE52087"/>
    <w:rsid w:val="6F3A0AB4"/>
    <w:rsid w:val="72777687"/>
    <w:rsid w:val="74D86DA5"/>
    <w:rsid w:val="75A73F57"/>
    <w:rsid w:val="76951223"/>
    <w:rsid w:val="77A35C79"/>
    <w:rsid w:val="78C43872"/>
    <w:rsid w:val="79BC0A44"/>
    <w:rsid w:val="7DEE70B2"/>
    <w:rsid w:val="7E8342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qFormat="1" w:unhideWhenUsed="0" w:uiPriority="0" w:semiHidden="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imes New Roman" w:hAnsi="Times New Roman" w:eastAsia="微软雅黑" w:cs="Times New Roman"/>
      <w:sz w:val="22"/>
      <w:szCs w:val="22"/>
      <w:lang w:val="en-US" w:eastAsia="zh-CN" w:bidi="ar-SA"/>
    </w:rPr>
  </w:style>
  <w:style w:type="paragraph" w:styleId="2">
    <w:name w:val="heading 1"/>
    <w:basedOn w:val="1"/>
    <w:next w:val="1"/>
    <w:link w:val="5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8"/>
    <w:qFormat/>
    <w:uiPriority w:val="0"/>
    <w:pPr>
      <w:keepNext/>
      <w:widowControl w:val="0"/>
      <w:adjustRightInd/>
      <w:snapToGrid/>
      <w:spacing w:before="240" w:after="240" w:line="520" w:lineRule="exact"/>
      <w:outlineLvl w:val="1"/>
    </w:pPr>
    <w:rPr>
      <w:rFonts w:eastAsia="Times New Roman"/>
      <w:b/>
      <w:bCs/>
      <w:kern w:val="2"/>
      <w:sz w:val="28"/>
      <w:szCs w:val="32"/>
    </w:rPr>
  </w:style>
  <w:style w:type="paragraph" w:styleId="4">
    <w:name w:val="heading 3"/>
    <w:basedOn w:val="1"/>
    <w:next w:val="1"/>
    <w:link w:val="24"/>
    <w:qFormat/>
    <w:uiPriority w:val="0"/>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qFormat/>
    <w:uiPriority w:val="35"/>
    <w:rPr>
      <w:rFonts w:ascii="黑体" w:hAnsi="黑体" w:eastAsia="宋体" w:cs="等线 Light"/>
      <w:sz w:val="20"/>
      <w:szCs w:val="20"/>
    </w:rPr>
  </w:style>
  <w:style w:type="paragraph" w:styleId="6">
    <w:name w:val="annotation text"/>
    <w:basedOn w:val="1"/>
    <w:link w:val="56"/>
    <w:semiHidden/>
    <w:qFormat/>
    <w:uiPriority w:val="0"/>
  </w:style>
  <w:style w:type="paragraph" w:styleId="7">
    <w:name w:val="Body Text Indent"/>
    <w:basedOn w:val="1"/>
    <w:link w:val="34"/>
    <w:qFormat/>
    <w:uiPriority w:val="0"/>
    <w:pPr>
      <w:widowControl w:val="0"/>
      <w:adjustRightInd/>
      <w:snapToGrid/>
      <w:spacing w:after="120"/>
      <w:ind w:left="420" w:leftChars="200"/>
      <w:jc w:val="both"/>
    </w:pPr>
    <w:rPr>
      <w:rFonts w:eastAsia="宋体"/>
      <w:kern w:val="2"/>
      <w:sz w:val="21"/>
      <w:szCs w:val="20"/>
    </w:rPr>
  </w:style>
  <w:style w:type="paragraph" w:styleId="8">
    <w:name w:val="Block Text"/>
    <w:basedOn w:val="1"/>
    <w:qFormat/>
    <w:uiPriority w:val="0"/>
    <w:pPr>
      <w:spacing w:line="460" w:lineRule="exact"/>
      <w:ind w:firstLine="200" w:firstLineChars="200"/>
      <w:jc w:val="left"/>
    </w:pPr>
    <w:rPr>
      <w:rFonts w:cs="Calibri"/>
      <w:sz w:val="24"/>
    </w:rPr>
  </w:style>
  <w:style w:type="paragraph" w:styleId="9">
    <w:name w:val="Plain Text"/>
    <w:basedOn w:val="1"/>
    <w:link w:val="25"/>
    <w:qFormat/>
    <w:uiPriority w:val="0"/>
    <w:rPr>
      <w:rFonts w:ascii="宋体" w:hAnsi="Courier New" w:eastAsia="宋体" w:cs="Courier New"/>
      <w:sz w:val="21"/>
      <w:szCs w:val="21"/>
    </w:rPr>
  </w:style>
  <w:style w:type="paragraph" w:styleId="10">
    <w:name w:val="Date"/>
    <w:basedOn w:val="1"/>
    <w:next w:val="1"/>
    <w:link w:val="51"/>
    <w:qFormat/>
    <w:uiPriority w:val="0"/>
    <w:pPr>
      <w:ind w:left="100" w:leftChars="2500"/>
    </w:pPr>
  </w:style>
  <w:style w:type="paragraph" w:styleId="11">
    <w:name w:val="Balloon Text"/>
    <w:basedOn w:val="1"/>
    <w:link w:val="58"/>
    <w:semiHidden/>
    <w:qFormat/>
    <w:uiPriority w:val="0"/>
    <w:rPr>
      <w:sz w:val="18"/>
      <w:szCs w:val="18"/>
    </w:rPr>
  </w:style>
  <w:style w:type="paragraph" w:styleId="12">
    <w:name w:val="footer"/>
    <w:basedOn w:val="1"/>
    <w:link w:val="40"/>
    <w:qFormat/>
    <w:uiPriority w:val="99"/>
    <w:pPr>
      <w:tabs>
        <w:tab w:val="center" w:pos="4153"/>
        <w:tab w:val="right" w:pos="8306"/>
      </w:tabs>
    </w:pPr>
    <w:rPr>
      <w:rFonts w:eastAsia="宋体"/>
      <w:sz w:val="18"/>
      <w:szCs w:val="18"/>
    </w:rPr>
  </w:style>
  <w:style w:type="paragraph" w:styleId="13">
    <w:name w:val="header"/>
    <w:basedOn w:val="1"/>
    <w:link w:val="37"/>
    <w:qFormat/>
    <w:uiPriority w:val="0"/>
    <w:pPr>
      <w:pBdr>
        <w:bottom w:val="single" w:color="auto" w:sz="6" w:space="1"/>
      </w:pBdr>
      <w:tabs>
        <w:tab w:val="center" w:pos="4153"/>
        <w:tab w:val="right" w:pos="8306"/>
      </w:tabs>
      <w:jc w:val="center"/>
    </w:pPr>
    <w:rPr>
      <w:sz w:val="18"/>
      <w:szCs w:val="18"/>
    </w:rPr>
  </w:style>
  <w:style w:type="paragraph" w:styleId="14">
    <w:name w:val="Body Text 2"/>
    <w:basedOn w:val="1"/>
    <w:link w:val="52"/>
    <w:qFormat/>
    <w:uiPriority w:val="0"/>
    <w:pPr>
      <w:spacing w:after="120" w:line="480" w:lineRule="auto"/>
    </w:pPr>
  </w:style>
  <w:style w:type="paragraph" w:styleId="15">
    <w:name w:val="Normal (Web)"/>
    <w:basedOn w:val="1"/>
    <w:semiHidden/>
    <w:unhideWhenUsed/>
    <w:qFormat/>
    <w:uiPriority w:val="0"/>
    <w:rPr>
      <w:sz w:val="24"/>
      <w:szCs w:val="24"/>
    </w:rPr>
  </w:style>
  <w:style w:type="paragraph" w:styleId="16">
    <w:name w:val="annotation subject"/>
    <w:basedOn w:val="6"/>
    <w:next w:val="6"/>
    <w:link w:val="57"/>
    <w:semiHidden/>
    <w:qFormat/>
    <w:uiPriority w:val="0"/>
    <w:rPr>
      <w:b/>
      <w:bCs/>
    </w:rPr>
  </w:style>
  <w:style w:type="paragraph" w:styleId="17">
    <w:name w:val="Body Text First Indent 2"/>
    <w:basedOn w:val="1"/>
    <w:next w:val="1"/>
    <w:link w:val="48"/>
    <w:qFormat/>
    <w:uiPriority w:val="0"/>
    <w:pPr>
      <w:widowControl/>
      <w:adjustRightInd w:val="0"/>
      <w:snapToGrid w:val="0"/>
      <w:ind w:firstLine="420" w:firstLineChars="200"/>
      <w:jc w:val="left"/>
    </w:pPr>
    <w:rPr>
      <w:rFonts w:ascii="Tahoma" w:hAnsi="Tahoma" w:eastAsia="微软雅黑"/>
      <w:kern w:val="0"/>
      <w:sz w:val="22"/>
      <w:szCs w:val="22"/>
    </w:rPr>
  </w:style>
  <w:style w:type="table" w:styleId="19">
    <w:name w:val="Table Grid"/>
    <w:basedOn w:val="18"/>
    <w:qFormat/>
    <w:uiPriority w:val="99"/>
    <w:pPr>
      <w:adjustRightInd w:val="0"/>
      <w:snapToGrid w:val="0"/>
      <w:spacing w:after="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character" w:styleId="22">
    <w:name w:val="Emphasis"/>
    <w:qFormat/>
    <w:uiPriority w:val="0"/>
    <w:rPr>
      <w:i/>
      <w:iCs/>
    </w:rPr>
  </w:style>
  <w:style w:type="character" w:styleId="23">
    <w:name w:val="annotation reference"/>
    <w:semiHidden/>
    <w:qFormat/>
    <w:uiPriority w:val="0"/>
    <w:rPr>
      <w:sz w:val="21"/>
      <w:szCs w:val="21"/>
    </w:rPr>
  </w:style>
  <w:style w:type="character" w:customStyle="1" w:styleId="24">
    <w:name w:val="标题 3 字符"/>
    <w:link w:val="4"/>
    <w:qFormat/>
    <w:uiPriority w:val="0"/>
    <w:rPr>
      <w:rFonts w:ascii="Tahoma" w:hAnsi="Tahoma" w:eastAsia="微软雅黑"/>
      <w:b/>
      <w:bCs/>
      <w:sz w:val="32"/>
      <w:szCs w:val="32"/>
    </w:rPr>
  </w:style>
  <w:style w:type="character" w:customStyle="1" w:styleId="25">
    <w:name w:val="纯文本 字符"/>
    <w:link w:val="9"/>
    <w:qFormat/>
    <w:uiPriority w:val="0"/>
    <w:rPr>
      <w:rFonts w:ascii="宋体" w:hAnsi="Courier New" w:eastAsia="宋体" w:cs="Courier New"/>
      <w:sz w:val="21"/>
      <w:szCs w:val="21"/>
      <w:lang w:val="en-US" w:eastAsia="zh-CN" w:bidi="ar-SA"/>
    </w:rPr>
  </w:style>
  <w:style w:type="character" w:customStyle="1" w:styleId="26">
    <w:name w:val="段落 Char Char Char Char Char Char"/>
    <w:link w:val="27"/>
    <w:qFormat/>
    <w:uiPriority w:val="0"/>
    <w:rPr>
      <w:rFonts w:eastAsia="宋体"/>
      <w:kern w:val="2"/>
      <w:sz w:val="21"/>
      <w:szCs w:val="21"/>
      <w:lang w:val="en-US" w:eastAsia="zh-CN" w:bidi="ar-SA"/>
    </w:rPr>
  </w:style>
  <w:style w:type="paragraph" w:customStyle="1" w:styleId="27">
    <w:name w:val="段落 Char Char Char Char Char"/>
    <w:basedOn w:val="9"/>
    <w:link w:val="26"/>
    <w:qFormat/>
    <w:uiPriority w:val="0"/>
    <w:pPr>
      <w:widowControl w:val="0"/>
      <w:tabs>
        <w:tab w:val="left" w:pos="600"/>
        <w:tab w:val="left" w:pos="720"/>
      </w:tabs>
      <w:adjustRightInd/>
      <w:spacing w:after="0" w:line="240" w:lineRule="atLeast"/>
      <w:jc w:val="center"/>
    </w:pPr>
    <w:rPr>
      <w:rFonts w:ascii="Times New Roman" w:hAnsi="Times New Roman" w:cs="Times New Roman"/>
      <w:kern w:val="2"/>
    </w:rPr>
  </w:style>
  <w:style w:type="character" w:customStyle="1" w:styleId="28">
    <w:name w:val="标题 2 字符"/>
    <w:link w:val="3"/>
    <w:qFormat/>
    <w:uiPriority w:val="0"/>
    <w:rPr>
      <w:rFonts w:eastAsia="Times New Roman"/>
      <w:b/>
      <w:bCs/>
      <w:kern w:val="2"/>
      <w:sz w:val="28"/>
      <w:szCs w:val="32"/>
    </w:rPr>
  </w:style>
  <w:style w:type="character" w:customStyle="1" w:styleId="29">
    <w:name w:val="font31"/>
    <w:qFormat/>
    <w:uiPriority w:val="0"/>
    <w:rPr>
      <w:rFonts w:hint="eastAsia" w:ascii="宋体" w:hAnsi="宋体" w:eastAsia="宋体" w:cs="宋体"/>
      <w:color w:val="000000"/>
      <w:sz w:val="24"/>
      <w:szCs w:val="24"/>
      <w:u w:val="none"/>
    </w:rPr>
  </w:style>
  <w:style w:type="character" w:customStyle="1" w:styleId="30">
    <w:name w:val="font51"/>
    <w:qFormat/>
    <w:uiPriority w:val="0"/>
    <w:rPr>
      <w:rFonts w:hint="default" w:ascii="Times New Roman" w:hAnsi="Times New Roman" w:cs="Times New Roman"/>
      <w:color w:val="000000"/>
      <w:sz w:val="22"/>
      <w:szCs w:val="22"/>
      <w:u w:val="none"/>
      <w:vertAlign w:val="superscript"/>
    </w:rPr>
  </w:style>
  <w:style w:type="character" w:customStyle="1" w:styleId="31">
    <w:name w:val="表头 Char1"/>
    <w:link w:val="32"/>
    <w:qFormat/>
    <w:uiPriority w:val="0"/>
    <w:rPr>
      <w:rFonts w:eastAsia="黑体"/>
      <w:spacing w:val="6"/>
      <w:kern w:val="2"/>
      <w:position w:val="10"/>
      <w:sz w:val="24"/>
      <w:szCs w:val="24"/>
    </w:rPr>
  </w:style>
  <w:style w:type="paragraph" w:customStyle="1" w:styleId="32">
    <w:name w:val="表头"/>
    <w:basedOn w:val="33"/>
    <w:link w:val="31"/>
    <w:qFormat/>
    <w:uiPriority w:val="0"/>
    <w:pPr>
      <w:spacing w:line="240" w:lineRule="auto"/>
      <w:ind w:firstLine="504"/>
      <w:jc w:val="left"/>
    </w:pPr>
    <w:rPr>
      <w:rFonts w:eastAsia="黑体"/>
      <w:spacing w:val="6"/>
      <w:position w:val="10"/>
      <w:sz w:val="24"/>
      <w:szCs w:val="24"/>
    </w:rPr>
  </w:style>
  <w:style w:type="paragraph" w:customStyle="1" w:styleId="33">
    <w:name w:val="表格正文"/>
    <w:basedOn w:val="1"/>
    <w:qFormat/>
    <w:uiPriority w:val="0"/>
    <w:pPr>
      <w:widowControl w:val="0"/>
      <w:adjustRightInd/>
      <w:snapToGrid/>
      <w:spacing w:after="0" w:line="520" w:lineRule="exact"/>
      <w:ind w:firstLine="200" w:firstLineChars="200"/>
      <w:jc w:val="center"/>
    </w:pPr>
    <w:rPr>
      <w:rFonts w:eastAsia="宋体"/>
      <w:kern w:val="2"/>
      <w:sz w:val="21"/>
      <w:szCs w:val="20"/>
    </w:rPr>
  </w:style>
  <w:style w:type="character" w:customStyle="1" w:styleId="34">
    <w:name w:val="正文文本缩进 字符"/>
    <w:link w:val="7"/>
    <w:qFormat/>
    <w:uiPriority w:val="0"/>
    <w:rPr>
      <w:kern w:val="2"/>
      <w:sz w:val="21"/>
    </w:rPr>
  </w:style>
  <w:style w:type="character" w:customStyle="1" w:styleId="35">
    <w:name w:val="font101"/>
    <w:qFormat/>
    <w:uiPriority w:val="0"/>
    <w:rPr>
      <w:rFonts w:hint="default" w:ascii="Times New Roman" w:hAnsi="Times New Roman" w:cs="Times New Roman"/>
      <w:color w:val="000000"/>
      <w:sz w:val="22"/>
      <w:szCs w:val="22"/>
      <w:u w:val="none"/>
    </w:rPr>
  </w:style>
  <w:style w:type="character" w:customStyle="1" w:styleId="36">
    <w:name w:val="font21"/>
    <w:qFormat/>
    <w:uiPriority w:val="0"/>
    <w:rPr>
      <w:rFonts w:hint="default" w:ascii="Times New Roman" w:hAnsi="Times New Roman" w:cs="Times New Roman"/>
      <w:color w:val="000000"/>
      <w:sz w:val="22"/>
      <w:szCs w:val="22"/>
      <w:u w:val="none"/>
    </w:rPr>
  </w:style>
  <w:style w:type="character" w:customStyle="1" w:styleId="37">
    <w:name w:val="页眉 字符"/>
    <w:link w:val="13"/>
    <w:qFormat/>
    <w:uiPriority w:val="0"/>
    <w:rPr>
      <w:rFonts w:ascii="Tahoma" w:hAnsi="Tahoma" w:eastAsia="微软雅黑"/>
      <w:sz w:val="18"/>
      <w:szCs w:val="18"/>
    </w:rPr>
  </w:style>
  <w:style w:type="character" w:customStyle="1" w:styleId="38">
    <w:name w:val="段落 Char"/>
    <w:link w:val="39"/>
    <w:qFormat/>
    <w:uiPriority w:val="99"/>
    <w:rPr>
      <w:rFonts w:ascii="宋体" w:hAnsi="Courier New" w:eastAsia="宋体"/>
      <w:kern w:val="2"/>
      <w:sz w:val="28"/>
      <w:lang w:val="en-US" w:eastAsia="zh-CN" w:bidi="ar-SA"/>
    </w:rPr>
  </w:style>
  <w:style w:type="paragraph" w:customStyle="1" w:styleId="39">
    <w:name w:val="段落"/>
    <w:basedOn w:val="9"/>
    <w:link w:val="38"/>
    <w:qFormat/>
    <w:uiPriority w:val="0"/>
    <w:pPr>
      <w:widowControl w:val="0"/>
      <w:adjustRightInd/>
      <w:snapToGrid/>
      <w:spacing w:after="0" w:line="500" w:lineRule="exact"/>
      <w:ind w:firstLine="578"/>
      <w:jc w:val="both"/>
    </w:pPr>
    <w:rPr>
      <w:rFonts w:cs="Times New Roman"/>
      <w:kern w:val="2"/>
      <w:sz w:val="28"/>
      <w:szCs w:val="20"/>
    </w:rPr>
  </w:style>
  <w:style w:type="character" w:customStyle="1" w:styleId="40">
    <w:name w:val="页脚 字符"/>
    <w:link w:val="12"/>
    <w:qFormat/>
    <w:uiPriority w:val="99"/>
    <w:rPr>
      <w:rFonts w:ascii="Tahoma" w:hAnsi="Tahoma"/>
      <w:sz w:val="18"/>
      <w:szCs w:val="18"/>
      <w:lang w:bidi="ar-SA"/>
    </w:rPr>
  </w:style>
  <w:style w:type="paragraph" w:customStyle="1" w:styleId="41">
    <w:name w:val="样式 结论 + 段后: 0.5 行"/>
    <w:basedOn w:val="1"/>
    <w:qFormat/>
    <w:uiPriority w:val="0"/>
    <w:pPr>
      <w:widowControl w:val="0"/>
      <w:adjustRightInd/>
      <w:spacing w:beforeLines="50" w:afterLines="50" w:line="500" w:lineRule="atLeast"/>
      <w:ind w:firstLine="561"/>
      <w:jc w:val="both"/>
    </w:pPr>
    <w:rPr>
      <w:rFonts w:ascii="楷体_GB2312" w:eastAsia="楷体_GB2312" w:cs="宋体"/>
      <w:b/>
      <w:bCs/>
      <w:kern w:val="2"/>
      <w:sz w:val="28"/>
      <w:szCs w:val="21"/>
    </w:rPr>
  </w:style>
  <w:style w:type="paragraph" w:customStyle="1" w:styleId="42">
    <w:name w:val="表格加粗"/>
    <w:basedOn w:val="33"/>
    <w:next w:val="33"/>
    <w:qFormat/>
    <w:uiPriority w:val="0"/>
    <w:pPr>
      <w:keepNext/>
      <w:adjustRightInd w:val="0"/>
      <w:textAlignment w:val="baseline"/>
    </w:pPr>
    <w:rPr>
      <w:b/>
      <w:kern w:val="0"/>
    </w:rPr>
  </w:style>
  <w:style w:type="paragraph" w:styleId="43">
    <w:name w:val="List Paragraph"/>
    <w:basedOn w:val="1"/>
    <w:qFormat/>
    <w:uiPriority w:val="0"/>
    <w:pPr>
      <w:widowControl w:val="0"/>
      <w:adjustRightInd/>
      <w:snapToGrid/>
      <w:spacing w:after="0"/>
      <w:ind w:firstLine="420" w:firstLineChars="200"/>
      <w:jc w:val="both"/>
    </w:pPr>
    <w:rPr>
      <w:rFonts w:eastAsia="宋体"/>
      <w:kern w:val="2"/>
      <w:sz w:val="21"/>
      <w:szCs w:val="20"/>
    </w:rPr>
  </w:style>
  <w:style w:type="paragraph" w:customStyle="1" w:styleId="44">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45">
    <w:name w:val="五号表格"/>
    <w:basedOn w:val="1"/>
    <w:qFormat/>
    <w:uiPriority w:val="0"/>
    <w:pPr>
      <w:widowControl w:val="0"/>
      <w:adjustRightInd/>
      <w:snapToGrid/>
      <w:spacing w:after="0"/>
      <w:jc w:val="center"/>
    </w:pPr>
    <w:rPr>
      <w:rFonts w:eastAsia="宋体"/>
      <w:kern w:val="2"/>
      <w:sz w:val="21"/>
      <w:szCs w:val="21"/>
    </w:rPr>
  </w:style>
  <w:style w:type="character" w:customStyle="1" w:styleId="46">
    <w:name w:val="正文1 Char"/>
    <w:link w:val="47"/>
    <w:qFormat/>
    <w:uiPriority w:val="0"/>
    <w:rPr>
      <w:rFonts w:ascii="楷体_GB2312" w:eastAsia="楷体_GB2312"/>
      <w:b/>
      <w:kern w:val="2"/>
      <w:sz w:val="28"/>
    </w:rPr>
  </w:style>
  <w:style w:type="paragraph" w:customStyle="1" w:styleId="47">
    <w:name w:val="正文1"/>
    <w:basedOn w:val="1"/>
    <w:link w:val="46"/>
    <w:qFormat/>
    <w:uiPriority w:val="0"/>
    <w:pPr>
      <w:widowControl w:val="0"/>
      <w:adjustRightInd/>
      <w:snapToGrid/>
      <w:spacing w:after="0"/>
      <w:ind w:firstLine="552"/>
      <w:jc w:val="both"/>
    </w:pPr>
    <w:rPr>
      <w:rFonts w:ascii="楷体_GB2312" w:eastAsia="楷体_GB2312"/>
      <w:b/>
      <w:kern w:val="2"/>
      <w:sz w:val="28"/>
      <w:szCs w:val="20"/>
    </w:rPr>
  </w:style>
  <w:style w:type="character" w:customStyle="1" w:styleId="48">
    <w:name w:val="正文文本首行缩进 2 字符"/>
    <w:basedOn w:val="34"/>
    <w:link w:val="17"/>
    <w:qFormat/>
    <w:uiPriority w:val="0"/>
    <w:rPr>
      <w:rFonts w:ascii="Tahoma" w:hAnsi="Tahoma" w:eastAsia="微软雅黑"/>
      <w:kern w:val="2"/>
      <w:sz w:val="22"/>
      <w:szCs w:val="22"/>
    </w:rPr>
  </w:style>
  <w:style w:type="paragraph" w:customStyle="1" w:styleId="49">
    <w:name w:val="表格"/>
    <w:basedOn w:val="50"/>
    <w:qFormat/>
    <w:uiPriority w:val="0"/>
    <w:pPr>
      <w:keepNext/>
      <w:widowControl w:val="0"/>
      <w:adjustRightInd/>
      <w:snapToGrid/>
      <w:spacing w:after="0" w:line="312" w:lineRule="atLeast"/>
      <w:jc w:val="center"/>
    </w:pPr>
    <w:rPr>
      <w:rFonts w:eastAsia="宋体"/>
      <w:color w:val="000000"/>
      <w:sz w:val="21"/>
      <w:szCs w:val="20"/>
    </w:rPr>
  </w:style>
  <w:style w:type="paragraph" w:customStyle="1" w:styleId="50">
    <w:name w:val="表格标题"/>
    <w:basedOn w:val="5"/>
    <w:qFormat/>
    <w:uiPriority w:val="0"/>
    <w:pPr>
      <w:spacing w:line="240" w:lineRule="auto"/>
      <w:jc w:val="center"/>
    </w:pPr>
    <w:rPr>
      <w:rFonts w:ascii="Times New Roman" w:hAnsi="Times New Roman" w:eastAsia="黑体"/>
      <w:sz w:val="30"/>
      <w:szCs w:val="30"/>
    </w:rPr>
  </w:style>
  <w:style w:type="character" w:customStyle="1" w:styleId="51">
    <w:name w:val="日期 字符"/>
    <w:basedOn w:val="20"/>
    <w:link w:val="10"/>
    <w:qFormat/>
    <w:uiPriority w:val="0"/>
    <w:rPr>
      <w:rFonts w:ascii="Tahoma" w:hAnsi="Tahoma" w:eastAsia="微软雅黑"/>
      <w:sz w:val="22"/>
      <w:szCs w:val="22"/>
    </w:rPr>
  </w:style>
  <w:style w:type="character" w:customStyle="1" w:styleId="52">
    <w:name w:val="正文文本 2 字符"/>
    <w:basedOn w:val="20"/>
    <w:link w:val="14"/>
    <w:qFormat/>
    <w:uiPriority w:val="0"/>
    <w:rPr>
      <w:rFonts w:ascii="Tahoma" w:hAnsi="Tahoma" w:eastAsia="微软雅黑"/>
      <w:sz w:val="22"/>
      <w:szCs w:val="22"/>
    </w:rPr>
  </w:style>
  <w:style w:type="character" w:customStyle="1" w:styleId="53">
    <w:name w:val="fontstyle01"/>
    <w:basedOn w:val="20"/>
    <w:qFormat/>
    <w:uiPriority w:val="0"/>
    <w:rPr>
      <w:rFonts w:hint="eastAsia" w:ascii="仿宋_GB2312" w:eastAsia="仿宋_GB2312"/>
      <w:color w:val="000000"/>
      <w:sz w:val="30"/>
      <w:szCs w:val="30"/>
    </w:rPr>
  </w:style>
  <w:style w:type="paragraph" w:customStyle="1" w:styleId="54">
    <w:name w:val="Table Paragraph"/>
    <w:basedOn w:val="1"/>
    <w:qFormat/>
    <w:uiPriority w:val="0"/>
    <w:pPr>
      <w:widowControl w:val="0"/>
      <w:autoSpaceDE w:val="0"/>
      <w:autoSpaceDN w:val="0"/>
      <w:adjustRightInd/>
      <w:snapToGrid/>
      <w:spacing w:after="0"/>
    </w:pPr>
    <w:rPr>
      <w:rFonts w:ascii="宋体" w:hAnsi="宋体" w:eastAsia="宋体" w:cs="宋体"/>
      <w:lang w:val="zh-CN" w:bidi="zh-CN"/>
    </w:rPr>
  </w:style>
  <w:style w:type="character" w:customStyle="1" w:styleId="55">
    <w:name w:val="标题 1 字符"/>
    <w:basedOn w:val="20"/>
    <w:link w:val="2"/>
    <w:qFormat/>
    <w:uiPriority w:val="0"/>
    <w:rPr>
      <w:rFonts w:ascii="Tahoma" w:hAnsi="Tahoma" w:eastAsia="微软雅黑"/>
      <w:b/>
      <w:bCs/>
      <w:kern w:val="44"/>
      <w:sz w:val="44"/>
      <w:szCs w:val="44"/>
    </w:rPr>
  </w:style>
  <w:style w:type="character" w:customStyle="1" w:styleId="56">
    <w:name w:val="批注文字 字符"/>
    <w:basedOn w:val="20"/>
    <w:link w:val="6"/>
    <w:semiHidden/>
    <w:qFormat/>
    <w:uiPriority w:val="0"/>
    <w:rPr>
      <w:rFonts w:ascii="Tahoma" w:hAnsi="Tahoma" w:eastAsia="微软雅黑"/>
      <w:sz w:val="22"/>
      <w:szCs w:val="22"/>
    </w:rPr>
  </w:style>
  <w:style w:type="character" w:customStyle="1" w:styleId="57">
    <w:name w:val="批注主题 字符"/>
    <w:basedOn w:val="56"/>
    <w:link w:val="16"/>
    <w:semiHidden/>
    <w:qFormat/>
    <w:uiPriority w:val="0"/>
    <w:rPr>
      <w:rFonts w:ascii="Tahoma" w:hAnsi="Tahoma" w:eastAsia="微软雅黑"/>
      <w:b/>
      <w:bCs/>
      <w:sz w:val="22"/>
      <w:szCs w:val="22"/>
    </w:rPr>
  </w:style>
  <w:style w:type="character" w:customStyle="1" w:styleId="58">
    <w:name w:val="批注框文本 字符"/>
    <w:basedOn w:val="20"/>
    <w:link w:val="11"/>
    <w:semiHidden/>
    <w:qFormat/>
    <w:uiPriority w:val="0"/>
    <w:rPr>
      <w:rFonts w:ascii="Tahoma" w:hAnsi="Tahoma" w:eastAsia="微软雅黑"/>
      <w:sz w:val="18"/>
      <w:szCs w:val="18"/>
    </w:rPr>
  </w:style>
  <w:style w:type="character" w:customStyle="1" w:styleId="59">
    <w:name w:val="纯文本 字符1"/>
    <w:basedOn w:val="20"/>
    <w:semiHidden/>
    <w:qFormat/>
    <w:uiPriority w:val="99"/>
    <w:rPr>
      <w:rFonts w:hAnsi="Courier New" w:cs="Courier New" w:asciiTheme="minorEastAsia" w:eastAsiaTheme="minorEastAsia"/>
      <w:sz w:val="22"/>
      <w:szCs w:val="22"/>
    </w:rPr>
  </w:style>
  <w:style w:type="character" w:customStyle="1" w:styleId="60">
    <w:name w:val="正文文本缩进 字符1"/>
    <w:basedOn w:val="20"/>
    <w:semiHidden/>
    <w:qFormat/>
    <w:uiPriority w:val="99"/>
    <w:rPr>
      <w:rFonts w:ascii="Tahoma" w:hAnsi="Tahoma" w:eastAsia="微软雅黑"/>
      <w:sz w:val="22"/>
      <w:szCs w:val="22"/>
    </w:rPr>
  </w:style>
  <w:style w:type="character" w:customStyle="1" w:styleId="61">
    <w:name w:val="页脚 字符1"/>
    <w:basedOn w:val="20"/>
    <w:semiHidden/>
    <w:qFormat/>
    <w:uiPriority w:val="99"/>
    <w:rPr>
      <w:rFonts w:ascii="Tahoma" w:hAnsi="Tahoma" w:eastAsia="微软雅黑"/>
      <w:sz w:val="18"/>
      <w:szCs w:val="18"/>
    </w:rPr>
  </w:style>
  <w:style w:type="character" w:customStyle="1" w:styleId="62">
    <w:name w:val="页眉 字符1"/>
    <w:basedOn w:val="20"/>
    <w:semiHidden/>
    <w:qFormat/>
    <w:uiPriority w:val="99"/>
    <w:rPr>
      <w:rFonts w:ascii="Tahoma" w:hAnsi="Tahoma" w:eastAsia="微软雅黑"/>
      <w:sz w:val="18"/>
      <w:szCs w:val="18"/>
    </w:rPr>
  </w:style>
  <w:style w:type="paragraph" w:customStyle="1" w:styleId="63">
    <w:name w:val="Char"/>
    <w:basedOn w:val="1"/>
    <w:qFormat/>
    <w:uiPriority w:val="0"/>
    <w:pPr>
      <w:widowControl w:val="0"/>
      <w:adjustRightInd/>
      <w:snapToGrid/>
      <w:spacing w:after="0" w:line="360" w:lineRule="auto"/>
      <w:ind w:firstLine="200" w:firstLineChars="200"/>
      <w:jc w:val="both"/>
    </w:pPr>
    <w:rPr>
      <w:rFonts w:ascii="宋体" w:hAnsi="宋体" w:eastAsia="宋体" w:cs="宋体"/>
      <w:kern w:val="2"/>
      <w:sz w:val="24"/>
      <w:szCs w:val="24"/>
    </w:rPr>
  </w:style>
  <w:style w:type="paragraph" w:customStyle="1" w:styleId="64">
    <w:name w:val="鸿达表格文字"/>
    <w:basedOn w:val="1"/>
    <w:link w:val="65"/>
    <w:qFormat/>
    <w:uiPriority w:val="0"/>
    <w:pPr>
      <w:widowControl w:val="0"/>
      <w:adjustRightInd/>
      <w:snapToGrid/>
      <w:spacing w:after="0"/>
      <w:contextualSpacing/>
      <w:jc w:val="center"/>
      <w:textAlignment w:val="baseline"/>
    </w:pPr>
    <w:rPr>
      <w:rFonts w:eastAsia="宋体"/>
      <w:sz w:val="21"/>
      <w:szCs w:val="21"/>
    </w:rPr>
  </w:style>
  <w:style w:type="character" w:customStyle="1" w:styleId="65">
    <w:name w:val="鸿达表格文字 Char"/>
    <w:link w:val="64"/>
    <w:qFormat/>
    <w:uiPriority w:val="0"/>
    <w:rPr>
      <w:sz w:val="21"/>
      <w:szCs w:val="21"/>
    </w:rPr>
  </w:style>
  <w:style w:type="character" w:customStyle="1" w:styleId="66">
    <w:name w:val="批注文字 字符2"/>
    <w:qFormat/>
    <w:locked/>
    <w:uiPriority w:val="0"/>
    <w:rPr>
      <w:rFonts w:ascii="Times New Roman" w:hAnsi="Times New Roman" w:eastAsia="宋体"/>
      <w:sz w:val="24"/>
    </w:rPr>
  </w:style>
  <w:style w:type="paragraph" w:customStyle="1" w:styleId="67">
    <w:name w:val="表格居中文字"/>
    <w:basedOn w:val="1"/>
    <w:next w:val="1"/>
    <w:qFormat/>
    <w:uiPriority w:val="0"/>
    <w:pPr>
      <w:widowControl w:val="0"/>
      <w:spacing w:after="0"/>
      <w:jc w:val="center"/>
    </w:pPr>
    <w:rPr>
      <w:rFonts w:eastAsia="宋体" w:cs="宋体"/>
      <w:kern w:val="2"/>
      <w:sz w:val="21"/>
      <w:szCs w:val="21"/>
    </w:rPr>
  </w:style>
  <w:style w:type="paragraph" w:customStyle="1" w:styleId="68">
    <w:name w:val="鸿达表加粗"/>
    <w:basedOn w:val="1"/>
    <w:qFormat/>
    <w:uiPriority w:val="0"/>
    <w:pPr>
      <w:jc w:val="center"/>
    </w:pPr>
    <w:rPr>
      <w:rFonts w:cs="宋体"/>
      <w:b/>
      <w:color w:val="000000"/>
      <w:szCs w:val="20"/>
    </w:rPr>
  </w:style>
  <w:style w:type="character" w:customStyle="1" w:styleId="69">
    <w:name w:val="font71"/>
    <w:basedOn w:val="20"/>
    <w:qFormat/>
    <w:uiPriority w:val="0"/>
    <w:rPr>
      <w:rFonts w:hint="eastAsia" w:ascii="宋体" w:hAnsi="宋体" w:eastAsia="宋体" w:cs="宋体"/>
      <w:color w:val="000000"/>
      <w:sz w:val="20"/>
      <w:szCs w:val="20"/>
      <w:u w:val="none"/>
    </w:rPr>
  </w:style>
  <w:style w:type="character" w:customStyle="1" w:styleId="70">
    <w:name w:val="font81"/>
    <w:basedOn w:val="20"/>
    <w:qFormat/>
    <w:uiPriority w:val="0"/>
    <w:rPr>
      <w:rFonts w:hint="default" w:ascii="Times New Roman" w:hAnsi="Times New Roman" w:cs="Times New Roman"/>
      <w:color w:val="000000"/>
      <w:sz w:val="24"/>
      <w:szCs w:val="24"/>
      <w:u w:val="none"/>
    </w:rPr>
  </w:style>
  <w:style w:type="paragraph" w:customStyle="1" w:styleId="71">
    <w:name w:val="正文首行缩进 21"/>
    <w:basedOn w:val="7"/>
    <w:qFormat/>
    <w:uiPriority w:val="0"/>
    <w:pPr>
      <w:ind w:firstLine="420" w:firstLineChars="200"/>
    </w:pPr>
  </w:style>
  <w:style w:type="character" w:customStyle="1" w:styleId="72">
    <w:name w:val="font61"/>
    <w:basedOn w:val="20"/>
    <w:qFormat/>
    <w:uiPriority w:val="0"/>
    <w:rPr>
      <w:rFonts w:hint="default" w:ascii="Times New Roman" w:hAnsi="Times New Roman" w:cs="Times New Roman"/>
      <w:color w:val="EE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3.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6.emf"/><Relationship Id="rId17" Type="http://schemas.openxmlformats.org/officeDocument/2006/relationships/oleObject" Target="embeddings/oleObject5.bin"/><Relationship Id="rId16" Type="http://schemas.openxmlformats.org/officeDocument/2006/relationships/image" Target="media/image5.png"/><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ontractReview xmlns="http://schemas.wps.cn/vas-ai-hub/contract-review">
  <reviewItems>
    <reviewItem>
      <errorID>240722ae-644f-4d0c-96c8-88785b0cdc40</errorID>
      <errorWord>:</errorWord>
      <group>L1_Format</group>
      <groupName>格式问题</groupName>
      <ability>L2_HalfPunc</ability>
      <abilityName>全半角检查</abilityName>
      <candidateList>
        <item>：</item>
      </candidateList>
      <explain>文本全半角错误。</explain>
      <paraID>59EB2B17</paraID>
      <start>7</start>
      <end>8</end>
      <status>modified</status>
      <modifiedWord>：</modifiedWord>
      <trackRevisions>false</trackRevisions>
    </reviewItem>
    <reviewItem>
      <errorID>dc39e02b-72dd-46e1-93c8-59a2f85d142a</errorID>
      <errorWord>:</errorWord>
      <group>L1_Format</group>
      <groupName>格式问题</groupName>
      <ability>L2_HalfPunc</ability>
      <abilityName>全半角检查</abilityName>
      <candidateList>
        <item>：</item>
      </candidateList>
      <explain>文本全半角错误。</explain>
      <paraID>536F3FDD</paraID>
      <start>8</start>
      <end>9</end>
      <status>unmodified</status>
      <modifiedWord/>
      <trackRevisions>false</trackRevisions>
    </reviewItem>
    <reviewItem>
      <errorID>303e3f25-eee1-41f5-b2cc-cf9fc2f15069</errorID>
      <errorWord>:</errorWord>
      <group>L1_Format</group>
      <groupName>格式问题</groupName>
      <ability>L2_HalfPunc</ability>
      <abilityName>全半角检查</abilityName>
      <candidateList>
        <item>：</item>
      </candidateList>
      <explain>文本全半角错误。</explain>
      <paraID>6DF1F0C7</paraID>
      <start>8</start>
      <end>9</end>
      <status>unmodified</status>
      <modifiedWord/>
      <trackRevisions>false</trackRevisions>
    </reviewItem>
    <reviewItem>
      <errorID>1afbb6c9-8cdc-4ac3-bfe1-f76f5908b567</errorID>
      <errorWord>:</errorWord>
      <group>L1_Format</group>
      <groupName>格式问题</groupName>
      <ability>L2_HalfPunc</ability>
      <abilityName>全半角检查</abilityName>
      <candidateList>
        <item>：</item>
      </candidateList>
      <explain>文本全半角错误。</explain>
      <paraID>75AEE6EB</paraID>
      <start>5</start>
      <end>6</end>
      <status>unmodified</status>
      <modifiedWord/>
      <trackRevisions>false</trackRevisions>
    </reviewItem>
    <reviewItem>
      <errorID>e276ba9c-ac29-4aea-9de5-035b58aeb534</errorID>
      <errorWord>:</errorWord>
      <group>L1_Format</group>
      <groupName>格式问题</groupName>
      <ability>L2_HalfPunc</ability>
      <abilityName>全半角检查</abilityName>
      <candidateList>
        <item>：</item>
      </candidateList>
      <explain>文本全半角错误。</explain>
      <paraID>51DDC37A</paraID>
      <start>3</start>
      <end>4</end>
      <status>unmodified</status>
      <modifiedWord/>
      <trackRevisions>false</trackRevisions>
    </reviewItem>
    <reviewItem>
      <errorID>a31cdc13-9099-4b22-96a6-e690f70b2e51</errorID>
      <errorWord>:</errorWord>
      <group>L1_Format</group>
      <groupName>格式问题</groupName>
      <ability>L2_HalfPunc</ability>
      <abilityName>全半角检查</abilityName>
      <candidateList>
        <item>：</item>
      </candidateList>
      <explain>文本全半角错误。</explain>
      <paraID>2AEFC669</paraID>
      <start>4</start>
      <end>5</end>
      <status>unmodified</status>
      <modifiedWord/>
      <trackRevisions>false</trackRevisions>
    </reviewItem>
    <reviewItem>
      <errorID>b48aef2c-9f1f-46ba-9980-d5569dfdbd6d</errorID>
      <errorWord>:</errorWord>
      <group>L1_Format</group>
      <groupName>格式问题</groupName>
      <ability>L2_HalfPunc</ability>
      <abilityName>全半角检查</abilityName>
      <candidateList>
        <item>：</item>
      </candidateList>
      <explain>文本全半角错误。</explain>
      <paraID>2AEFC669</paraID>
      <start>40</start>
      <end>41</end>
      <status>unmodified</status>
      <modifiedWord/>
      <trackRevisions>false</trackRevisions>
    </reviewItem>
    <reviewItem>
      <errorID>4b1365b9-35d7-44e6-84ca-14f047a89c65</errorID>
      <errorWord>:</errorWord>
      <group>L1_Format</group>
      <groupName>格式问题</groupName>
      <ability>L2_HalfPunc</ability>
      <abilityName>全半角检查</abilityName>
      <candidateList>
        <item>：</item>
      </candidateList>
      <explain>文本全半角错误。</explain>
      <paraID>1FF05753</paraID>
      <start>2</start>
      <end>3</end>
      <status>unmodified</status>
      <modifiedWord/>
      <trackRevisions>false</trackRevisions>
    </reviewItem>
    <reviewItem>
      <errorID>4cc9ec5b-6a9e-4143-b806-3e529969ee7b</errorID>
      <errorWord>:</errorWord>
      <group>L1_Format</group>
      <groupName>格式问题</groupName>
      <ability>L2_HalfPunc</ability>
      <abilityName>全半角检查</abilityName>
      <candidateList>
        <item>：</item>
      </candidateList>
      <explain>文本全半角错误。</explain>
      <paraID>1FF05753</paraID>
      <start>53</start>
      <end>54</end>
      <status>unmodified</status>
      <modifiedWord/>
      <trackRevisions>false</trackRevisions>
    </reviewItem>
    <reviewItem>
      <errorID>b8e936dc-09b7-499e-bf25-394ddf4ae8e2</errorID>
      <errorWord>:</errorWord>
      <group>L1_Format</group>
      <groupName>格式问题</groupName>
      <ability>L2_HalfPunc</ability>
      <abilityName>全半角检查</abilityName>
      <candidateList>
        <item>：</item>
      </candidateList>
      <explain>文本全半角错误。</explain>
      <paraID>6252DEEC</paraID>
      <start>2</start>
      <end>3</end>
      <status>unmodified</status>
      <modifiedWord/>
      <trackRevisions>false</trackRevisions>
    </reviewItem>
    <reviewItem>
      <errorID>2d4a25bb-2f54-4ac5-b841-81e67219a1ba</errorID>
      <errorWord>:</errorWord>
      <group>L1_Format</group>
      <groupName>格式问题</groupName>
      <ability>L2_HalfPunc</ability>
      <abilityName>全半角检查</abilityName>
      <candidateList>
        <item>：</item>
      </candidateList>
      <explain>文本全半角错误。</explain>
      <paraID>6252DEEC</paraID>
      <start>57</start>
      <end>58</end>
      <status>unmodified</status>
      <modifiedWord/>
      <trackRevisions>false</trackRevisions>
    </reviewItem>
    <reviewItem>
      <errorID>c88c86c2-ca37-4602-ba40-1c43d2d4d918</errorID>
      <errorWord>:</errorWord>
      <group>L1_Format</group>
      <groupName>格式问题</groupName>
      <ability>L2_HalfPunc</ability>
      <abilityName>全半角检查</abilityName>
      <candidateList>
        <item>：</item>
      </candidateList>
      <explain>文本全半角错误。</explain>
      <paraID>203EE06C</paraID>
      <start>2</start>
      <end>3</end>
      <status>unmodified</status>
      <modifiedWord/>
      <trackRevisions>false</trackRevisions>
    </reviewItem>
    <reviewItem>
      <errorID>c0961c0c-435c-4e7e-a8b3-8e7454fb3c3e</errorID>
      <errorWord>:</errorWord>
      <group>L1_Format</group>
      <groupName>格式问题</groupName>
      <ability>L2_HalfPunc</ability>
      <abilityName>全半角检查</abilityName>
      <candidateList>
        <item>：</item>
      </candidateList>
      <explain>文本全半角错误。</explain>
      <paraID>203EE06C</paraID>
      <start>55</start>
      <end>56</end>
      <status>unmodified</status>
      <modifiedWord/>
      <trackRevisions>false</trackRevisions>
    </reviewItem>
    <reviewItem>
      <errorID>b6e5fa48-3da4-415a-8069-4378ce55e692</errorID>
      <errorWord>:</errorWord>
      <group>L1_Format</group>
      <groupName>格式问题</groupName>
      <ability>L2_HalfPunc</ability>
      <abilityName>全半角检查</abilityName>
      <candidateList>
        <item>：</item>
      </candidateList>
      <explain>文本全半角错误。</explain>
      <paraID>1EE6C424</paraID>
      <start>2</start>
      <end>3</end>
      <status>unmodified</status>
      <modifiedWord/>
      <trackRevisions>false</trackRevisions>
    </reviewItem>
    <reviewItem>
      <errorID>2ab834b0-d8c2-47ca-8dd3-d6fa5b93c0ac</errorID>
      <errorWord>:</errorWord>
      <group>L1_Format</group>
      <groupName>格式问题</groupName>
      <ability>L2_HalfPunc</ability>
      <abilityName>全半角检查</abilityName>
      <candidateList>
        <item>：</item>
      </candidateList>
      <explain>文本全半角错误。</explain>
      <paraID>1EE6C424</paraID>
      <start>39</start>
      <end>40</end>
      <status>unmodified</status>
      <modifiedWord/>
      <trackRevisions>false</trackRevisions>
    </reviewItem>
    <reviewItem>
      <errorID>3739207a-c874-4a51-ae82-05a370c008e1</errorID>
      <errorWord>(</errorWord>
      <group>L1_Format</group>
      <groupName>格式问题</groupName>
      <ability>L2_HalfPunc</ability>
      <abilityName>全半角检查</abilityName>
      <candidateList>
        <item>（</item>
      </candidateList>
      <explain>文本全半角错误。</explain>
      <paraID>17527D0B</paraID>
      <start>16</start>
      <end>17</end>
      <status>unmodified</status>
      <modifiedWord/>
      <trackRevisions>false</trackRevisions>
    </reviewItem>
    <reviewItem>
      <errorID>20a3a1ba-dce0-48f6-8ba9-7965c8e2f5c3</errorID>
      <errorWord>)</errorWord>
      <group>L1_Format</group>
      <groupName>格式问题</groupName>
      <ability>L2_HalfPunc</ability>
      <abilityName>全半角检查</abilityName>
      <candidateList>
        <item>）</item>
      </candidateList>
      <explain>文本全半角错误。</explain>
      <paraID>17527D0B</paraID>
      <start>28</start>
      <end>29</end>
      <status>unmodified</status>
      <modifiedWord/>
      <trackRevisions>false</trackRevisions>
    </reviewItem>
    <reviewItem>
      <errorID>5bfc97f6-29d8-419b-886a-cad7f05cc8ac</errorID>
      <errorWord>（2020）688号</errorWord>
      <group>L1_Knowledge</group>
      <groupName>知识性问题</groupName>
      <ability>L2_Knowledge</ability>
      <abilityName>其他知识</abilityName>
      <candidateList>
        <item>〔2020〕688号</item>
      </candidateList>
      <explain>发文字号格式错误。</explain>
      <paraID>589A7528</paraID>
      <start>42</start>
      <end>52</end>
      <status>unmodified</status>
      <modifiedWord/>
      <trackRevisions>false</trackRevisions>
    </reviewItem>
    <reviewItem>
      <errorID>3196ef49-8ae0-4590-a701-abe48dc61ecd</errorID>
      <errorWord>[2022]14号</errorWord>
      <group>L1_Knowledge</group>
      <groupName>知识性问题</groupName>
      <ability>L2_Knowledge</ability>
      <abilityName>其他知识</abilityName>
      <candidateList>
        <item>〔2022〕14号</item>
      </candidateList>
      <explain>发文字号格式错误。</explain>
      <paraID>5F3BF501</paraID>
      <start>46</start>
      <end>55</end>
      <status>unmodified</status>
      <modifiedWord/>
      <trackRevisions>false</trackRevisions>
    </reviewItem>
    <reviewItem>
      <errorID>de96e060-c818-43db-9d5b-e8f441271bc0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42672329</paraID>
      <start>0</start>
      <end>2</end>
      <status>unmodified</status>
      <modifiedWord/>
      <trackRevisions>false</trackRevisions>
    </reviewItem>
    <reviewItem>
      <errorID>9f3c479b-716b-4c73-b7c1-889bb4505976</errorID>
      <errorWord>(</errorWord>
      <group>L1_Format</group>
      <groupName>格式问题</groupName>
      <ability>L2_HalfPunc</ability>
      <abilityName>全半角检查</abilityName>
      <candidateList>
        <item>（</item>
      </candidateList>
      <explain>文本全半角错误。</explain>
      <paraID>2E6BC3BA</paraID>
      <start>6</start>
      <end>7</end>
      <status>unmodified</status>
      <modifiedWord/>
      <trackRevisions>false</trackRevisions>
    </reviewItem>
    <reviewItem>
      <errorID>09c696f1-21a9-4ac7-8e88-69a711457e37</errorID>
      <errorWord>)</errorWord>
      <group>L1_Format</group>
      <groupName>格式问题</groupName>
      <ability>L2_HalfPunc</ability>
      <abilityName>全半角检查</abilityName>
      <candidateList>
        <item>）</item>
      </candidateList>
      <explain>文本全半角错误。</explain>
      <paraID>2E6BC3BA</paraID>
      <start>8</start>
      <end>9</end>
      <status>unmodified</status>
      <modifiedWord/>
      <trackRevisions>false</trackRevisions>
    </reviewItem>
    <reviewItem>
      <errorID>29b8bc9b-450c-419d-9f94-a55c6c07e289</errorID>
      <errorWord>（2017）162号</errorWord>
      <group>L1_Knowledge</group>
      <groupName>知识性问题</groupName>
      <ability>L2_Knowledge</ability>
      <abilityName>其他知识</abilityName>
      <candidateList>
        <item>〔2017〕162号</item>
      </candidateList>
      <explain>发文字号格式错误。</explain>
      <paraID>503B2D3F</paraID>
      <start>39</start>
      <end>49</end>
      <status>unmodified</status>
      <modifiedWord/>
      <trackRevisions>false</trackRevisions>
    </reviewItem>
    <reviewItem>
      <errorID>41c26247-dcc3-47b6-912a-92977609b2b0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41528343</paraID>
      <start>0</start>
      <end>2</end>
      <status>unmodified</status>
      <modifiedWord/>
      <trackRevisions>false</trackRevisions>
    </reviewItem>
    <reviewItem>
      <errorID>27f42332-061c-4d16-a9ff-d602181f1091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6BBAF3F1</paraID>
      <start>0</start>
      <end>2</end>
      <status>unmodified</status>
      <modifiedWord/>
      <trackRevisions>false</trackRevisions>
    </reviewItem>
    <reviewItem>
      <errorID>f6fa40bf-ca2e-4761-856a-d39319058bdb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F9F0D1C</paraID>
      <start>0</start>
      <end>2</end>
      <status>unmodified</status>
      <modifiedWord/>
      <trackRevisions>false</trackRevisions>
    </reviewItem>
    <reviewItem>
      <errorID>8ae03be5-1cba-4982-a31a-54f7ae93352e</errorID>
      <errorWord>[2015]39号</errorWord>
      <group>L1_Knowledge</group>
      <groupName>知识性问题</groupName>
      <ability>L2_Knowledge</ability>
      <abilityName>其他知识</abilityName>
      <candidateList>
        <item>〔2015〕39号</item>
      </candidateList>
      <explain>发文字号格式错误。</explain>
      <paraID>180210A9</paraID>
      <start>4</start>
      <end>13</end>
      <status>unmodified</status>
      <modifiedWord/>
      <trackRevisions>false</trackRevisions>
    </reviewItem>
    <reviewItem>
      <errorID>4b4fc06d-cb68-4a1a-af44-78703cc97221</errorID>
      <errorWord>（2016）101号</errorWord>
      <group>L1_Knowledge</group>
      <groupName>知识性问题</groupName>
      <ability>L2_Knowledge</ability>
      <abilityName>其他知识</abilityName>
      <candidateList>
        <item>〔2016〕101号</item>
      </candidateList>
      <explain>发文字号格式错误。</explain>
      <paraID>7F65F8FD</paraID>
      <start>3</start>
      <end>13</end>
      <status>unmodified</status>
      <modifiedWord/>
      <trackRevisions>false</trackRevisions>
    </reviewItem>
    <reviewItem>
      <errorID>f99908a9-6a5a-4f4d-88e7-4371f53819ad</errorID>
      <errorWord>（2016）008号</errorWord>
      <group>L1_Knowledge</group>
      <groupName>知识性问题</groupName>
      <ability>L2_Knowledge</ability>
      <abilityName>其他知识</abilityName>
      <candidateList>
        <item>〔2016〕8号</item>
      </candidateList>
      <explain>发文字号格式错误。</explain>
      <paraID>2D814AA1</paraID>
      <start>3</start>
      <end>13</end>
      <status>unmodified</status>
      <modifiedWord/>
      <trackRevisions>false</trackRevisions>
    </reviewItem>
    <reviewItem>
      <errorID>3a653bb0-607e-47c9-b5df-646cdbb090a9</errorID>
      <errorWord>（2017）008号</errorWord>
      <group>L1_Knowledge</group>
      <groupName>知识性问题</groupName>
      <ability>L2_Knowledge</ability>
      <abilityName>其他知识</abilityName>
      <candidateList>
        <item>〔2017〕8号</item>
      </candidateList>
      <explain>发文字号格式错误。</explain>
      <paraID>26BFAA0F</paraID>
      <start>3</start>
      <end>13</end>
      <status>unmodified</status>
      <modifiedWord/>
      <trackRevisions>false</trackRevisions>
    </reviewItem>
    <reviewItem>
      <errorID>ebccf01b-385f-4f2c-a51c-03c48b25ab30</errorID>
      <errorWord>[2019]36号</errorWord>
      <group>L1_Knowledge</group>
      <groupName>知识性问题</groupName>
      <ability>L2_Knowledge</ability>
      <abilityName>其他知识</abilityName>
      <candidateList>
        <item>〔2019〕36号</item>
      </candidateList>
      <explain>发文字号格式错误。</explain>
      <paraID>48DF1A85</paraID>
      <start>3</start>
      <end>12</end>
      <status>unmodified</status>
      <modifiedWord/>
      <trackRevisions>false</trackRevisions>
    </reviewItem>
    <reviewItem>
      <errorID>913cff77-5d36-4b31-afa5-4810159ee333</errorID>
      <errorWord>[2022]14号</errorWord>
      <group>L1_Knowledge</group>
      <groupName>知识性问题</groupName>
      <ability>L2_Knowledge</ability>
      <abilityName>其他知识</abilityName>
      <candidateList>
        <item>〔2022〕14号</item>
      </candidateList>
      <explain>发文字号格式错误。</explain>
      <paraID>1D3DA111</paraID>
      <start>3</start>
      <end>12</end>
      <status>unmodified</status>
      <modifiedWord/>
      <trackRevisions>false</trackRevisions>
    </reviewItem>
    <reviewItem>
      <errorID>bed09a11-0515-4958-8f73-d84bdd36fc94</errorID>
      <errorWord>[2022]14号</errorWord>
      <group>L1_Knowledge</group>
      <groupName>知识性问题</groupName>
      <ability>L2_Knowledge</ability>
      <abilityName>其他知识</abilityName>
      <candidateList>
        <item>〔2022〕14号</item>
      </candidateList>
      <explain>发文字号格式错误。</explain>
      <paraID>19B12F83</paraID>
      <start>84</start>
      <end>93</end>
      <status>unmodified</status>
      <modifiedWord/>
      <trackRevisions>false</trackRevisions>
    </reviewItem>
    <reviewItem>
      <errorID>5e6bf431-4b6d-4157-8938-034ef851ed3c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365E14E2</paraID>
      <start>0</start>
      <end>2</end>
      <status>unmodified</status>
      <modifiedWord/>
      <trackRevisions>false</trackRevisions>
    </reviewItem>
    <reviewItem>
      <errorID>69ceb549-6376-4d37-9030-aa3ac53db949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562F2A30</paraID>
      <start>0</start>
      <end>2</end>
      <status>unmodified</status>
      <modifiedWord/>
      <trackRevisions>false</trackRevisions>
    </reviewItem>
    <reviewItem>
      <errorID>2709e12e-e47a-4e43-abdf-f2e048e21db6</errorID>
      <errorWord>为</errorWord>
      <group>L1_Word</group>
      <groupName>字词问题</groupName>
      <ability>L2_Typo</ability>
      <abilityName>字词错误</abilityName>
      <candidateList>
        <item>未</item>
      </candidateList>
      <explain>〈副〉❶没（跟“已”相对）：尚～成年｜健康仍～恢复。❷不：～便｜～敢苟同｜～可厚非。</explain>
      <paraID>108C1376</paraID>
      <start>121</start>
      <end>122</end>
      <status>unmodified</status>
      <modifiedWord/>
      <trackRevisions>false</trackRevisions>
    </reviewItem>
    <reviewItem>
      <errorID>d0a387e1-72df-4b4b-aa1b-4d758422d2b6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556F3E19</paraID>
      <start>0</start>
      <end>2</end>
      <status>unmodified</status>
      <modifiedWord/>
      <trackRevisions>false</trackRevisions>
    </reviewItem>
    <reviewItem>
      <errorID>391dc59f-fd54-4524-b789-0c9af1974a3d</errorID>
      <errorWord>一致</errorWord>
      <group>L1_Word</group>
      <groupName>字词问题</groupName>
      <ability>L2_Typo</ability>
      <abilityName>字词错误</abilityName>
      <candidateList>
        <item>一期</item>
      </candidateList>
      <explain/>
      <paraID>1126F218</paraID>
      <start>0</start>
      <end>2</end>
      <status>unmodified</status>
      <modifiedWord/>
      <trackRevisions>false</trackRevisions>
    </reviewItem>
    <reviewItem>
      <errorID>5ed4c8d2-ec4b-4d0b-b58d-88d5ddc2d7c1</errorID>
      <errorWord>*</errorWord>
      <group>L1_Punc</group>
      <groupName>标点问题</groupName>
      <ability>L2_Punc</ability>
      <abilityName>标点符号检查</abilityName>
      <candidateList/>
      <explain/>
      <paraID>12A44D0F</paraID>
      <start>0</start>
      <end>1</end>
      <status>unmodified</status>
      <modifiedWord/>
      <trackRevisions>false</trackRevisions>
    </reviewItem>
    <reviewItem>
      <errorID>6709134d-39be-42b8-9514-5b60a61c46a1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C88EDC</paraID>
      <start>0</start>
      <end>2</end>
      <status>unmodified</status>
      <modifiedWord/>
      <trackRevisions>false</trackRevisions>
    </reviewItem>
    <reviewItem>
      <errorID>c51aac4c-a4ee-4549-9254-aec81f5c43df</errorID>
      <errorWord>KW</errorWord>
      <group>L1_Word</group>
      <groupName>字词问题</groupName>
      <ability>L2_Typo</ability>
      <abilityName>字词错误</abilityName>
      <candidateList>
        <item>kW</item>
      </candidateList>
      <explain/>
      <paraID>601F5B0B</paraID>
      <start>5</start>
      <end>7</end>
      <status>unmodified</status>
      <modifiedWord/>
      <trackRevisions>false</trackRevisions>
    </reviewItem>
    <reviewItem>
      <errorID>56f9c868-be52-4212-8559-cb017e77fcb1</errorID>
      <errorWord>KW</errorWord>
      <group>L1_Word</group>
      <groupName>字词问题</groupName>
      <ability>L2_Typo</ability>
      <abilityName>字词错误</abilityName>
      <candidateList>
        <item>kW</item>
      </candidateList>
      <explain/>
      <paraID>2DF49535</paraID>
      <start>6</start>
      <end>8</end>
      <status>unmodified</status>
      <modifiedWord/>
      <trackRevisions>false</trackRevisions>
    </reviewItem>
    <reviewItem>
      <errorID>e16818b7-82aa-476f-881d-2cba8e78e96f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19FE1EAE</paraID>
      <start>0</start>
      <end>2</end>
      <status>unmodified</status>
      <modifiedWord/>
      <trackRevisions>false</trackRevisions>
    </reviewItem>
    <reviewItem>
      <errorID>6eda1896-838f-4a1e-9a36-68ce3ca6ec9a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5FC45D00</paraID>
      <start>0</start>
      <end>2</end>
      <status>unmodified</status>
      <modifiedWord/>
      <trackRevisions>false</trackRevisions>
    </reviewItem>
    <reviewItem>
      <errorID>76cdda8c-9416-49a4-a22e-ad72dec1847a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2FFE2DDF</paraID>
      <start>0</start>
      <end>2</end>
      <status>unmodified</status>
      <modifiedWord/>
      <trackRevisions>false</trackRevisions>
    </reviewItem>
    <reviewItem>
      <errorID>074e453f-b4d7-4dc2-923e-a1b5f44c1c96</errorID>
      <errorWord>)</errorWord>
      <group>L1_Format</group>
      <groupName>格式问题</groupName>
      <ability>L2_HalfPunc</ability>
      <abilityName>全半角检查</abilityName>
      <candidateList>
        <item>）</item>
      </candidateList>
      <explain>文本全半角错误。</explain>
      <paraID>45327EE8</paraID>
      <start>86</start>
      <end>87</end>
      <status>unmodified</status>
      <modifiedWord/>
      <trackRevisions>false</trackRevisions>
    </reviewItem>
    <reviewItem>
      <errorID>a4b1cd9c-0f0f-400a-aae8-fdd88466de79</errorID>
      <errorWord>)</errorWord>
      <group>L1_Format</group>
      <groupName>格式问题</groupName>
      <ability>L2_HalfPunc</ability>
      <abilityName>全半角检查</abilityName>
      <candidateList>
        <item>）</item>
      </candidateList>
      <explain>文本全半角错误。</explain>
      <paraID>45327EE8</paraID>
      <start>96</start>
      <end>97</end>
      <status>unmodified</status>
      <modifiedWord/>
      <trackRevisions>false</trackRevisions>
    </reviewItem>
    <reviewItem>
      <errorID>36bfaf55-88be-4178-9eb5-3fb0e0f2697b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62EE7047</paraID>
      <start>0</start>
      <end>2</end>
      <status>unmodified</status>
      <modifiedWord/>
      <trackRevisions>false</trackRevisions>
    </reviewItem>
    <reviewItem>
      <errorID>f55a2444-fc77-45d7-b823-f70ae48e5e46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6C6DCB30</paraID>
      <start>0</start>
      <end>2</end>
      <status>unmodified</status>
      <modifiedWord/>
      <trackRevisions>false</trackRevisions>
    </reviewItem>
    <reviewItem>
      <errorID>19382a13-4de7-471d-acd2-213f19aac5ae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12EE9218</paraID>
      <start>0</start>
      <end>2</end>
      <status>unmodified</status>
      <modifiedWord/>
      <trackRevisions>false</trackRevisions>
    </reviewItem>
    <reviewItem>
      <errorID>91f5ea7c-eb47-4cec-8dad-d0e2b54f0283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5242B7E3</paraID>
      <start>0</start>
      <end>2</end>
      <status>unmodified</status>
      <modifiedWord/>
      <trackRevisions>false</trackRevisions>
    </reviewItem>
    <reviewItem>
      <errorID>a5bd7c8e-0a2d-4ac0-86b5-23ed11677259</errorID>
      <errorWord>[2020]688号</errorWord>
      <group>L1_Knowledge</group>
      <groupName>知识性问题</groupName>
      <ability>L2_Knowledge</ability>
      <abilityName>其他知识</abilityName>
      <candidateList>
        <item>〔2020〕688号</item>
      </candidateList>
      <explain>发文字号格式错误。</explain>
      <paraID>64E80CEA</paraID>
      <start>40</start>
      <end>50</end>
      <status>unmodified</status>
      <modifiedWord/>
      <trackRevisions>false</trackRevisions>
    </reviewItem>
    <reviewItem>
      <errorID>250bafc7-5de6-436b-8f1b-a197dcac05d7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1E80C321</paraID>
      <start>0</start>
      <end>2</end>
      <status>unmodified</status>
      <modifiedWord/>
      <trackRevisions>false</trackRevisions>
    </reviewItem>
    <reviewItem>
      <errorID>3b1a77bc-4f82-49e2-8f8e-57a490eade73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6D6F4B39</paraID>
      <start>0</start>
      <end>2</end>
      <status>unmodified</status>
      <modifiedWord/>
      <trackRevisions>false</trackRevisions>
    </reviewItem>
    <reviewItem>
      <errorID>89bb2da1-a5b9-49de-9d13-3c312ea9b50b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302474B5</paraID>
      <start>0</start>
      <end>2</end>
      <status>unmodified</status>
      <modifiedWord/>
      <trackRevisions>false</trackRevisions>
    </reviewItem>
    <reviewItem>
      <errorID>7fed5c2f-1f3f-4a0d-97a7-7e49ca89826e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640F7A9F</paraID>
      <start>0</start>
      <end>2</end>
      <status>unmodified</status>
      <modifiedWord/>
      <trackRevisions>false</trackRevisions>
    </reviewItem>
    <reviewItem>
      <errorID>87762e4f-9d74-40e6-a635-286accd7e752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259D07E6</paraID>
      <start>0</start>
      <end>2</end>
      <status>unmodified</status>
      <modifiedWord/>
      <trackRevisions>false</trackRevisions>
    </reviewItem>
    <reviewItem>
      <errorID>ecddd80c-75e4-464d-a5e0-c8bae4f4f600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4C0D390D</paraID>
      <start>0</start>
      <end>2</end>
      <status>unmodified</status>
      <modifiedWord/>
      <trackRevisions>false</trackRevisions>
    </reviewItem>
    <reviewItem>
      <errorID>eda4d97d-902e-4318-bd4b-3d07ff046d18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5FB0BA90</paraID>
      <start>0</start>
      <end>2</end>
      <status>unmodified</status>
      <modifiedWord/>
      <trackRevisions>false</trackRevisions>
    </reviewItem>
    <reviewItem>
      <errorID>6d464260-d477-453c-8ad9-0a78f4f49067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76EB71A4</paraID>
      <start>0</start>
      <end>2</end>
      <status>unmodified</status>
      <modifiedWord/>
      <trackRevisions>false</trackRevisions>
    </reviewItem>
    <reviewItem>
      <errorID>b3b25240-1784-4d78-b06f-fa1698580091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5B8479C6</paraID>
      <start>0</start>
      <end>2</end>
      <status>unmodified</status>
      <modifiedWord/>
      <trackRevisions>false</trackRevisions>
    </reviewItem>
    <reviewItem>
      <errorID>5faf7ef7-25f0-4caa-8e3b-6f2396789e22</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78D88877</paraID>
      <start>0</start>
      <end>3</end>
      <status>unmodified</status>
      <modifiedWord/>
      <trackRevisions>false</trackRevisions>
    </reviewItem>
    <reviewItem>
      <errorID>d5dd266a-a03d-4284-b1d4-24dc5aa09e4b</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338A8AE1</paraID>
      <start>0</start>
      <end>3</end>
      <status>unmodified</status>
      <modifiedWord/>
      <trackRevisions>false</trackRevisions>
    </reviewItem>
    <reviewItem>
      <errorID>5816c11a-f5e0-4d20-b1dd-18132115de66</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8420919</paraID>
      <start>0</start>
      <end>3</end>
      <status>unmodified</status>
      <modifiedWord/>
      <trackRevisions>false</trackRevisions>
    </reviewItem>
    <reviewItem>
      <errorID>640fbb47-f8ee-4b4d-b1f1-1710d53ec3c8</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2949662C</paraID>
      <start>0</start>
      <end>3</end>
      <status>unmodified</status>
      <modifiedWord/>
      <trackRevisions>false</trackRevisions>
    </reviewItem>
    <reviewItem>
      <errorID>4787dcf5-5faf-4591-8f23-ea5e9e017de6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85F4ADC</paraID>
      <start>0</start>
      <end>2</end>
      <status>unmodified</status>
      <modifiedWord/>
      <trackRevisions>false</trackRevisions>
    </reviewItem>
    <reviewItem>
      <errorID>3881c961-f773-499b-8a0d-9fc62929d36b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6E1D508B</paraID>
      <start>0</start>
      <end>2</end>
      <status>unmodified</status>
      <modifiedWord/>
      <trackRevisions>false</trackRevisions>
    </reviewItem>
    <reviewItem>
      <errorID>6fd7289e-93b2-42e4-8f0e-2345770a2052</errorID>
      <errorWord>:</errorWord>
      <group>L1_Format</group>
      <groupName>格式问题</groupName>
      <ability>L2_HalfPunc</ability>
      <abilityName>全半角检查</abilityName>
      <candidateList>
        <item>：</item>
      </candidateList>
      <explain>文本全半角错误。</explain>
      <paraID>43B80AAF</paraID>
      <start>4</start>
      <end>5</end>
      <status>unmodified</status>
      <modifiedWord/>
      <trackRevisions>false</trackRevisions>
    </reviewItem>
    <reviewItem>
      <errorID>d933dd53-1edf-48d5-a554-00d3d2a0bbea</errorID>
      <errorWord>[2022]14号</errorWord>
      <group>L1_Knowledge</group>
      <groupName>知识性问题</groupName>
      <ability>L2_Knowledge</ability>
      <abilityName>其他知识</abilityName>
      <candidateList>
        <item>〔2022〕14号</item>
      </candidateList>
      <explain>发文字号格式错误。</explain>
      <paraID>43B80AAF</paraID>
      <start>56</start>
      <end>65</end>
      <status>unmodified</status>
      <modifiedWord/>
      <trackRevisions>false</trackRevisions>
    </reviewItem>
    <reviewItem>
      <errorID>37b88e69-af3e-4525-b66c-af4e4fd705cf</errorID>
      <errorWord>(</errorWord>
      <group>L1_Format</group>
      <groupName>格式问题</groupName>
      <ability>L2_HalfPunc</ability>
      <abilityName>全半角检查</abilityName>
      <candidateList>
        <item>（</item>
      </candidateList>
      <explain>文本全半角错误。</explain>
      <paraID>2A1324ED</paraID>
      <start>27</start>
      <end>28</end>
      <status>unmodified</status>
      <modifiedWord/>
      <trackRevisions>false</trackRevisions>
    </reviewItem>
    <reviewItem>
      <errorID>2a37b838-205e-439a-a2ba-9acd4872b33f</errorID>
      <errorWord>:</errorWord>
      <group>L1_Format</group>
      <groupName>格式问题</groupName>
      <ability>L2_HalfPunc</ability>
      <abilityName>全半角检查</abilityName>
      <candidateList>
        <item>：</item>
      </candidateList>
      <explain>文本全半角错误。</explain>
      <paraID>2A1324ED</paraID>
      <start>37</start>
      <end>38</end>
      <status>unmodified</status>
      <modifiedWord/>
      <trackRevisions>false</trackRevisions>
    </reviewItem>
    <reviewItem>
      <errorID>c867d8af-65be-4094-b276-5eced239cbfc</errorID>
      <errorWord>)</errorWord>
      <group>L1_Format</group>
      <groupName>格式问题</groupName>
      <ability>L2_HalfPunc</ability>
      <abilityName>全半角检查</abilityName>
      <candidateList>
        <item>）</item>
      </candidateList>
      <explain>文本全半角错误。</explain>
      <paraID>2A1324ED</paraID>
      <start>66</start>
      <end>67</end>
      <status>unmodified</status>
      <modifiedWord/>
      <trackRevisions>false</trackRevisions>
    </reviewItem>
    <reviewItem>
      <errorID>93c5ad5b-077d-4c38-856f-55982bd53f31</errorID>
      <errorWord>(</errorWord>
      <group>L1_Format</group>
      <groupName>格式问题</groupName>
      <ability>L2_HalfPunc</ability>
      <abilityName>全半角检查</abilityName>
      <candidateList>
        <item>（</item>
      </candidateList>
      <explain>文本全半角错误。</explain>
      <paraID>2A1324ED</paraID>
      <start>106</start>
      <end>107</end>
      <status>unmodified</status>
      <modifiedWord/>
      <trackRevisions>false</trackRevisions>
    </reviewItem>
    <reviewItem>
      <errorID>abe0b70b-a2a4-4a77-924a-38e53406df90</errorID>
      <errorWord>)</errorWord>
      <group>L1_Format</group>
      <groupName>格式问题</groupName>
      <ability>L2_HalfPunc</ability>
      <abilityName>全半角检查</abilityName>
      <candidateList>
        <item>）</item>
      </candidateList>
      <explain>文本全半角错误。</explain>
      <paraID>2A1324ED</paraID>
      <start>116</start>
      <end>117</end>
      <status>unmodified</status>
      <modifiedWord/>
      <trackRevisions>false</trackRevisions>
    </reviewItem>
    <reviewItem>
      <errorID>6903f718-f3c9-4613-8293-4cfbb4cf6e5e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2A1324ED</paraID>
      <start>159</start>
      <end>162</end>
      <status>unmodified</status>
      <modifiedWord/>
      <trackRevisions>false</trackRevisions>
    </reviewItem>
    <reviewItem>
      <errorID>37438d18-a7b1-49e2-bfcc-16907af8f2dd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2A1324ED</paraID>
      <start>174</start>
      <end>177</end>
      <status>unmodified</status>
      <modifiedWord/>
      <trackRevisions>false</trackRevisions>
    </reviewItem>
    <reviewItem>
      <errorID>654cbebd-152a-4ebc-a1cf-bb0f760884de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2A1324ED</paraID>
      <start>191</start>
      <end>194</end>
      <status>unmodified</status>
      <modifiedWord/>
      <trackRevisions>false</trackRevisions>
    </reviewItem>
    <reviewItem>
      <errorID>d6ea0c3e-a6ec-49db-919f-e55679e261c2</errorID>
      <errorWord>:</errorWord>
      <group>L1_Format</group>
      <groupName>格式问题</groupName>
      <ability>L2_HalfPunc</ability>
      <abilityName>全半角检查</abilityName>
      <candidateList>
        <item>：</item>
      </candidateList>
      <explain>文本全半角错误。</explain>
      <paraID>2A1324ED</paraID>
      <start>223</start>
      <end>224</end>
      <status>unmodified</status>
      <modifiedWord/>
      <trackRevisions>false</trackRevisions>
    </reviewItem>
    <reviewItem>
      <errorID>8aaa855f-d9c9-4587-96ad-ad5a292445c6</errorID>
      <errorWord>:</errorWord>
      <group>L1_Format</group>
      <groupName>格式问题</groupName>
      <ability>L2_HalfPunc</ability>
      <abilityName>全半角检查</abilityName>
      <candidateList>
        <item>：</item>
      </candidateList>
      <explain>文本全半角错误。</explain>
      <paraID>3576EE20</paraID>
      <start>21</start>
      <end>22</end>
      <status>unmodified</status>
      <modifiedWord/>
      <trackRevisions>false</trackRevisions>
    </reviewItem>
    <reviewItem>
      <errorID>4acca4ef-f440-4189-8a48-cefce419ed29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2E99FFE4</paraID>
      <start>0</start>
      <end>2</end>
      <status>unmodified</status>
      <modifiedWord/>
      <trackRevisions>false</trackRevisions>
    </reviewItem>
    <reviewItem>
      <errorID>f15d0d1b-9dce-4763-9ad0-28e68b499676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785C040F</paraID>
      <start>0</start>
      <end>2</end>
      <status>unmodified</status>
      <modifiedWord/>
      <trackRevisions>false</trackRevisions>
    </reviewItem>
    <reviewItem>
      <errorID>f4fcea45-d0d3-4053-8893-7caf011be90e</errorID>
      <errorWord>(</errorWord>
      <group>L1_Format</group>
      <groupName>格式问题</groupName>
      <ability>L2_HalfPunc</ability>
      <abilityName>全半角检查</abilityName>
      <candidateList>
        <item>（</item>
      </candidateList>
      <explain>文本全半角错误。</explain>
      <paraID>785C040F</paraID>
      <start>203</start>
      <end>204</end>
      <status>unmodified</status>
      <modifiedWord/>
      <trackRevisions>false</trackRevisions>
    </reviewItem>
    <reviewItem>
      <errorID>ec17d8f1-8de4-44d7-bbde-cebd4dc11a63</errorID>
      <errorWord>)</errorWord>
      <group>L1_Format</group>
      <groupName>格式问题</groupName>
      <ability>L2_HalfPunc</ability>
      <abilityName>全半角检查</abilityName>
      <candidateList>
        <item>）</item>
      </candidateList>
      <explain>文本全半角错误。</explain>
      <paraID>785C040F</paraID>
      <start>216</start>
      <end>217</end>
      <status>unmodified</status>
      <modifiedWord/>
      <trackRevisions>false</trackRevisions>
    </reviewItem>
    <reviewItem>
      <errorID>49812640-e422-4c58-a3c2-db1cb21ce1ba</errorID>
      <errorWord>(</errorWord>
      <group>L1_Format</group>
      <groupName>格式问题</groupName>
      <ability>L2_HalfPunc</ability>
      <abilityName>全半角检查</abilityName>
      <candidateList>
        <item>（</item>
      </candidateList>
      <explain>文本全半角错误。</explain>
      <paraID>785C040F</paraID>
      <start>236</start>
      <end>237</end>
      <status>unmodified</status>
      <modifiedWord/>
      <trackRevisions>false</trackRevisions>
    </reviewItem>
    <reviewItem>
      <errorID>e8be546a-290a-4374-a605-d910a6e68723</errorID>
      <errorWord>)</errorWord>
      <group>L1_Format</group>
      <groupName>格式问题</groupName>
      <ability>L2_HalfPunc</ability>
      <abilityName>全半角检查</abilityName>
      <candidateList>
        <item>）</item>
      </candidateList>
      <explain>文本全半角错误。</explain>
      <paraID>785C040F</paraID>
      <start>251</start>
      <end>252</end>
      <status>unmodified</status>
      <modifiedWord/>
      <trackRevisions>false</trackRevisions>
    </reviewItem>
    <reviewItem>
      <errorID>1bdd2bc5-ba92-44af-b7b5-bcaf8680476c</errorID>
      <errorWord>(</errorWord>
      <group>L1_Format</group>
      <groupName>格式问题</groupName>
      <ability>L2_HalfPunc</ability>
      <abilityName>全半角检查</abilityName>
      <candidateList>
        <item>（</item>
      </candidateList>
      <explain>文本全半角错误。</explain>
      <paraID>785C040F</paraID>
      <start>286</start>
      <end>287</end>
      <status>unmodified</status>
      <modifiedWord/>
      <trackRevisions>false</trackRevisions>
    </reviewItem>
    <reviewItem>
      <errorID>06477887-4678-4267-926a-1b59fd7529bf</errorID>
      <errorWord>(2017)162号</errorWord>
      <group>L1_Knowledge</group>
      <groupName>知识性问题</groupName>
      <ability>L2_Knowledge</ability>
      <abilityName>其他知识</abilityName>
      <candidateList>
        <item>〔2017〕162号</item>
      </candidateList>
      <explain>发文字号格式错误。</explain>
      <paraID>785C040F</paraID>
      <start>292</start>
      <end>302</end>
      <status>unmodified</status>
      <modifiedWord/>
      <trackRevisions>false</trackRevisions>
    </reviewItem>
    <reviewItem>
      <errorID>94ed0d3d-01b3-4445-8fc4-575356408e2a</errorID>
      <errorWord>)</errorWord>
      <group>L1_Format</group>
      <groupName>格式问题</groupName>
      <ability>L2_HalfPunc</ability>
      <abilityName>全半角检查</abilityName>
      <candidateList>
        <item>）</item>
      </candidateList>
      <explain>文本全半角错误。</explain>
      <paraID>785C040F</paraID>
      <start>302</start>
      <end>303</end>
      <status>unmodified</status>
      <modifiedWord/>
      <trackRevisions>false</trackRevisions>
    </reviewItem>
    <reviewItem>
      <errorID>c6d361d9-377e-44d9-a759-93213ef919f6</errorID>
      <errorWord>(</errorWord>
      <group>L1_Format</group>
      <groupName>格式问题</groupName>
      <ability>L2_HalfPunc</ability>
      <abilityName>全半角检查</abilityName>
      <candidateList>
        <item>（</item>
      </candidateList>
      <explain>文本全半角错误。</explain>
      <paraID>785C040F</paraID>
      <start>320</start>
      <end>321</end>
      <status>unmodified</status>
      <modifiedWord/>
      <trackRevisions>false</trackRevisions>
    </reviewItem>
    <reviewItem>
      <errorID>f893f03d-15b8-4a7f-96bd-5ce4a1eb6169</errorID>
      <errorWord>)</errorWord>
      <group>L1_Format</group>
      <groupName>格式问题</groupName>
      <ability>L2_HalfPunc</ability>
      <abilityName>全半角检查</abilityName>
      <candidateList>
        <item>）</item>
      </candidateList>
      <explain>文本全半角错误。</explain>
      <paraID>785C040F</paraID>
      <start>335</start>
      <end>336</end>
      <status>unmodified</status>
      <modifiedWord/>
      <trackRevisions>false</trackRevisions>
    </reviewItem>
    <reviewItem>
      <errorID>d7231daa-e02a-42c8-9058-fc4c8b378457</errorID>
      <errorWord>(</errorWord>
      <group>L1_Format</group>
      <groupName>格式问题</groupName>
      <ability>L2_HalfPunc</ability>
      <abilityName>全半角检查</abilityName>
      <candidateList>
        <item>（</item>
      </candidateList>
      <explain>文本全半角错误。</explain>
      <paraID>785C040F</paraID>
      <start>350</start>
      <end>351</end>
      <status>unmodified</status>
      <modifiedWord/>
      <trackRevisions>false</trackRevisions>
    </reviewItem>
    <reviewItem>
      <errorID>c7d16930-42c1-4416-84c8-c984651d419c</errorID>
      <errorWord>)</errorWord>
      <group>L1_Format</group>
      <groupName>格式问题</groupName>
      <ability>L2_HalfPunc</ability>
      <abilityName>全半角检查</abilityName>
      <candidateList>
        <item>）</item>
      </candidateList>
      <explain>文本全半角错误。</explain>
      <paraID>785C040F</paraID>
      <start>363</start>
      <end>364</end>
      <status>unmodified</status>
      <modifiedWord/>
      <trackRevisions>false</trackRevisions>
    </reviewItem>
    <reviewItem>
      <errorID>2042a750-7e3e-43dd-9950-eb8fe1716c8b</errorID>
      <errorWord>(</errorWord>
      <group>L1_Format</group>
      <groupName>格式问题</groupName>
      <ability>L2_HalfPunc</ability>
      <abilityName>全半角检查</abilityName>
      <candidateList>
        <item>（</item>
      </candidateList>
      <explain>文本全半角错误。</explain>
      <paraID>785C040F</paraID>
      <start>419</start>
      <end>420</end>
      <status>unmodified</status>
      <modifiedWord/>
      <trackRevisions>false</trackRevisions>
    </reviewItem>
    <reviewItem>
      <errorID>ddc881b3-8a4b-454a-b2f1-eb7811608e56</errorID>
      <errorWord>)</errorWord>
      <group>L1_Format</group>
      <groupName>格式问题</groupName>
      <ability>L2_HalfPunc</ability>
      <abilityName>全半角检查</abilityName>
      <candidateList>
        <item>）</item>
      </candidateList>
      <explain>文本全半角错误。</explain>
      <paraID>785C040F</paraID>
      <start>434</start>
      <end>435</end>
      <status>unmodified</status>
      <modifiedWord/>
      <trackRevisions>false</trackRevisions>
    </reviewItem>
    <reviewItem>
      <errorID>2488f187-8357-4cc1-aa57-758a785b458a</errorID>
      <errorWord>(</errorWord>
      <group>L1_Format</group>
      <groupName>格式问题</groupName>
      <ability>L2_HalfPunc</ability>
      <abilityName>全半角检查</abilityName>
      <candidateList>
        <item>（</item>
      </candidateList>
      <explain>文本全半角错误。</explain>
      <paraID>785C040F</paraID>
      <start>461</start>
      <end>462</end>
      <status>unmodified</status>
      <modifiedWord/>
      <trackRevisions>false</trackRevisions>
    </reviewItem>
    <reviewItem>
      <errorID>b4836995-262e-4173-8d22-528dfcd024bb</errorID>
      <errorWord>)</errorWord>
      <group>L1_Format</group>
      <groupName>格式问题</groupName>
      <ability>L2_HalfPunc</ability>
      <abilityName>全半角检查</abilityName>
      <candidateList>
        <item>）</item>
      </candidateList>
      <explain>文本全半角错误。</explain>
      <paraID>785C040F</paraID>
      <start>469</start>
      <end>470</end>
      <status>unmodified</status>
      <modifiedWord/>
      <trackRevisions>false</trackRevisions>
    </reviewItem>
    <reviewItem>
      <errorID>3dfa5330-5242-4f82-ae10-bb7b4feb0c2e</errorID>
      <errorWord>(</errorWord>
      <group>L1_Format</group>
      <groupName>格式问题</groupName>
      <ability>L2_HalfPunc</ability>
      <abilityName>全半角检查</abilityName>
      <candidateList>
        <item>（</item>
      </candidateList>
      <explain>文本全半角错误。</explain>
      <paraID>785C040F</paraID>
      <start>519</start>
      <end>520</end>
      <status>unmodified</status>
      <modifiedWord/>
      <trackRevisions>false</trackRevisions>
    </reviewItem>
    <reviewItem>
      <errorID>671a1b6b-f9d0-4b09-a844-a0e20146ce7b</errorID>
      <errorWord>)</errorWord>
      <group>L1_Format</group>
      <groupName>格式问题</groupName>
      <ability>L2_HalfPunc</ability>
      <abilityName>全半角检查</abilityName>
      <candidateList>
        <item>）</item>
      </candidateList>
      <explain>文本全半角错误。</explain>
      <paraID>785C040F</paraID>
      <start>528</start>
      <end>529</end>
      <status>unmodified</status>
      <modifiedWord/>
      <trackRevisions>false</trackRevisions>
    </reviewItem>
    <reviewItem>
      <errorID>57aadc81-4415-4465-8f59-a260fb508248</errorID>
      <errorWord>气简</errorWord>
      <group>L1_Word</group>
      <groupName>字词问题</groupName>
      <ability>L2_Typo</ability>
      <abilityName>字词错误</abilityName>
      <candidateList>
        <item>气筒</item>
      </candidateList>
      <explain>存在字形相近字词的误用。</explain>
      <paraID>7D149899</paraID>
      <start>71</start>
      <end>73</end>
      <status>modified</status>
      <modifiedWord>气筒</modifiedWord>
      <trackRevisions>false</trackRevisions>
    </reviewItem>
    <reviewItem>
      <errorID>8e585199-dd36-4f67-898f-695a22f7820e</errorID>
      <errorWord>(</errorWord>
      <group>L1_Format</group>
      <groupName>格式问题</groupName>
      <ability>L2_HalfPunc</ability>
      <abilityName>全半角检查</abilityName>
      <candidateList>
        <item>（</item>
      </candidateList>
      <explain>文本全半角错误。</explain>
      <paraID>7D149899</paraID>
      <start>93</start>
      <end>94</end>
      <status>unmodified</status>
      <modifiedWord/>
      <trackRevisions>false</trackRevisions>
    </reviewItem>
    <reviewItem>
      <errorID>c15b0538-00c9-4694-9aca-dd86e4844e73</errorID>
      <errorWord>)</errorWord>
      <group>L1_Format</group>
      <groupName>格式问题</groupName>
      <ability>L2_HalfPunc</ability>
      <abilityName>全半角检查</abilityName>
      <candidateList>
        <item>）</item>
      </candidateList>
      <explain>文本全半角错误。</explain>
      <paraID>7D149899</paraID>
      <start>106</start>
      <end>107</end>
      <status>unmodified</status>
      <modifiedWord/>
      <trackRevisions>false</trackRevisions>
    </reviewItem>
    <reviewItem>
      <errorID>5d542296-382c-4771-a521-f51cba792c9a</errorID>
      <errorWord>(</errorWord>
      <group>L1_Format</group>
      <groupName>格式问题</groupName>
      <ability>L2_HalfPunc</ability>
      <abilityName>全半角检查</abilityName>
      <candidateList>
        <item>（</item>
      </candidateList>
      <explain>文本全半角错误。</explain>
      <paraID>7D149899</paraID>
      <start>162</start>
      <end>163</end>
      <status>unmodified</status>
      <modifiedWord/>
      <trackRevisions>false</trackRevisions>
    </reviewItem>
    <reviewItem>
      <errorID>b224f83f-c49f-4830-b2d4-fc25b298c270</errorID>
      <errorWord>)</errorWord>
      <group>L1_Format</group>
      <groupName>格式问题</groupName>
      <ability>L2_HalfPunc</ability>
      <abilityName>全半角检查</abilityName>
      <candidateList>
        <item>）</item>
      </candidateList>
      <explain>文本全半角错误。</explain>
      <paraID>7D149899</paraID>
      <start>177</start>
      <end>178</end>
      <status>unmodified</status>
      <modifiedWord/>
      <trackRevisions>false</trackRevisions>
    </reviewItem>
    <reviewItem>
      <errorID>e941a956-cdda-4433-b158-f507daadb2b2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1A2F2E2E</paraID>
      <start>0</start>
      <end>2</end>
      <status>unmodified</status>
      <modifiedWord/>
      <trackRevisions>false</trackRevisions>
    </reviewItem>
    <reviewItem>
      <errorID>beb2146e-ed12-49cc-b31b-56c1955c1698</errorID>
      <errorWord>(</errorWord>
      <group>L1_Format</group>
      <groupName>格式问题</groupName>
      <ability>L2_HalfPunc</ability>
      <abilityName>全半角检查</abilityName>
      <candidateList>
        <item>（</item>
      </candidateList>
      <explain>文本全半角错误。</explain>
      <paraID>1A2F2E2E</paraID>
      <start>46</start>
      <end>47</end>
      <status>unmodified</status>
      <modifiedWord/>
      <trackRevisions>false</trackRevisions>
    </reviewItem>
    <reviewItem>
      <errorID>09ee0444-5b7a-49f6-8e1c-ac7784a7f2a3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1F0B5349</paraID>
      <start>0</start>
      <end>2</end>
      <status>unmodified</status>
      <modifiedWord/>
      <trackRevisions>false</trackRevisions>
    </reviewItem>
    <reviewItem>
      <errorID>8b763c6d-b9d5-4788-8943-c9a64d50d064</errorID>
      <errorWord>(</errorWord>
      <group>L1_Format</group>
      <groupName>格式问题</groupName>
      <ability>L2_HalfPunc</ability>
      <abilityName>全半角检查</abilityName>
      <candidateList>
        <item>（</item>
      </candidateList>
      <explain>文本全半角错误。</explain>
      <paraID>1F0B5349</paraID>
      <start>51</start>
      <end>52</end>
      <status>unmodified</status>
      <modifiedWord/>
      <trackRevisions>false</trackRevisions>
    </reviewItem>
    <reviewItem>
      <errorID>c489e344-5d98-4a97-9076-047512ccf882</errorID>
      <errorWord>)</errorWord>
      <group>L1_Format</group>
      <groupName>格式问题</groupName>
      <ability>L2_HalfPunc</ability>
      <abilityName>全半角检查</abilityName>
      <candidateList>
        <item>）</item>
      </candidateList>
      <explain>文本全半角错误。</explain>
      <paraID>1F0B5349</paraID>
      <start>64</start>
      <end>65</end>
      <status>unmodified</status>
      <modifiedWord/>
      <trackRevisions>false</trackRevisions>
    </reviewItem>
    <reviewItem>
      <errorID>66e6188f-0381-49ee-9325-6a2d1429975b</errorID>
      <errorWord>交有</errorWord>
      <group>L1_Word</group>
      <groupName>字词问题</groupName>
      <ability>L2_Typo</ability>
      <abilityName>字词错误</abilityName>
      <candidateList>
        <item>交由</item>
      </candidateList>
      <explain>存在发音相同字词的误用。</explain>
      <paraID>1086D052</paraID>
      <start>51</start>
      <end>53</end>
      <status>unmodified</status>
      <modifiedWord/>
      <trackRevisions>false</trackRevisions>
    </reviewItem>
    <reviewItem>
      <errorID>c9b62f61-6be2-4d4f-ac0a-c37e7433d8c6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1086D052</paraID>
      <start>66</start>
      <end>67</end>
      <status>unmodified</status>
      <modifiedWord/>
      <trackRevisions>false</trackRevisions>
    </reviewItem>
    <reviewItem>
      <errorID>93669f2f-7c43-4e92-b0d3-058d740eb07f</errorID>
      <errorWord>(</errorWord>
      <group>L1_Format</group>
      <groupName>格式问题</groupName>
      <ability>L2_HalfPunc</ability>
      <abilityName>全半角检查</abilityName>
      <candidateList>
        <item>（</item>
      </candidateList>
      <explain>文本全半角错误。</explain>
      <paraID>1086D052</paraID>
      <start>79</start>
      <end>80</end>
      <status>unmodified</status>
      <modifiedWord/>
      <trackRevisions>false</trackRevisions>
    </reviewItem>
    <reviewItem>
      <errorID>778e6742-76d1-4e57-ba7d-b5b7e6a8a6fa</errorID>
      <errorWord>)</errorWord>
      <group>L1_Format</group>
      <groupName>格式问题</groupName>
      <ability>L2_HalfPunc</ability>
      <abilityName>全半角检查</abilityName>
      <candidateList>
        <item>）</item>
      </candidateList>
      <explain>文本全半角错误。</explain>
      <paraID>1086D052</paraID>
      <start>92</start>
      <end>93</end>
      <status>unmodified</status>
      <modifiedWord/>
      <trackRevisions>false</trackRevisions>
    </reviewItem>
    <reviewItem>
      <errorID>ce01bfb6-fa13-479f-803f-390f60d58283</errorID>
      <errorWord>：</errorWord>
      <group>L1_Format</group>
      <groupName>格式问题</groupName>
      <ability>L2_HalfPunc</ability>
      <abilityName>全半角检查</abilityName>
      <candidateList>
        <item>:</item>
      </candidateList>
      <explain>文本全半角错误。</explain>
      <paraID>1EF28121</paraID>
      <start>39</start>
      <end>40</end>
      <status>unmodified</status>
      <modifiedWord/>
      <trackRevisions>false</trackRevisions>
    </reviewItem>
    <reviewItem>
      <errorID>55db03e9-b3b6-4cab-9a98-d63aaac39b9e</errorID>
      <errorWord>：</errorWord>
      <group>L1_Format</group>
      <groupName>格式问题</groupName>
      <ability>L2_HalfPunc</ability>
      <abilityName>全半角检查</abilityName>
      <candidateList>
        <item>:</item>
      </candidateList>
      <explain>文本全半角错误。</explain>
      <paraID>1EF28121</paraID>
      <start>190</start>
      <end>191</end>
      <status>unmodified</status>
      <modifiedWord/>
      <trackRevisions>false</trackRevisions>
    </reviewItem>
    <reviewItem>
      <errorID>5b5ea591-7415-40dc-bb4e-c87906e4260d</errorID>
      <errorWord>:</errorWord>
      <group>L1_Format</group>
      <groupName>格式问题</groupName>
      <ability>L2_HalfPunc</ability>
      <abilityName>全半角检查</abilityName>
      <candidateList>
        <item>：</item>
      </candidateList>
      <explain>文本全半角错误。</explain>
      <paraID>1EF28121</paraID>
      <start>213</start>
      <end>214</end>
      <status>unmodified</status>
      <modifiedWord/>
      <trackRevisions>false</trackRevisions>
    </reviewItem>
    <reviewItem>
      <errorID>3aa9beda-97dd-4cfd-969e-aa21dedba667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46EC7DC6</paraID>
      <start>0</start>
      <end>2</end>
      <status>unmodified</status>
      <modifiedWord/>
      <trackRevisions>false</trackRevisions>
    </reviewItem>
    <reviewItem>
      <errorID>cb2e75cf-db92-4fcd-a046-7941ef2b6881</errorID>
      <errorWord>:</errorWord>
      <group>L1_Format</group>
      <groupName>格式问题</groupName>
      <ability>L2_HalfPunc</ability>
      <abilityName>全半角检查</abilityName>
      <candidateList>
        <item>：</item>
      </candidateList>
      <explain>文本全半角错误。</explain>
      <paraID> 2E1ECC3</paraID>
      <start>21</start>
      <end>22</end>
      <status>unmodified</status>
      <modifiedWord/>
      <trackRevisions>false</trackRevisions>
    </reviewItem>
    <reviewItem>
      <errorID>0ffd9701-a732-4e57-bfdc-54e8aaaeb03d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3044A6AB</paraID>
      <start>0</start>
      <end>2</end>
      <status>unmodified</status>
      <modifiedWord/>
      <trackRevisions>false</trackRevisions>
    </reviewItem>
    <reviewItem>
      <errorID>d3081201-6215-47ce-9a69-d993ca3833b6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2D3C735C</paraID>
      <start>0</start>
      <end>2</end>
      <status>unmodified</status>
      <modifiedWord/>
      <trackRevisions>false</trackRevisions>
    </reviewItem>
    <reviewItem>
      <errorID>6fd666a1-7777-4e81-8ce3-2416937cee09</errorID>
      <errorWord>(</errorWord>
      <group>L1_Format</group>
      <groupName>格式问题</groupName>
      <ability>L2_HalfPunc</ability>
      <abilityName>全半角检查</abilityName>
      <candidateList>
        <item>（</item>
      </candidateList>
      <explain>文本全半角错误。</explain>
      <paraID>2D3C735C</paraID>
      <start>203</start>
      <end>204</end>
      <status>unmodified</status>
      <modifiedWord/>
      <trackRevisions>false</trackRevisions>
    </reviewItem>
    <reviewItem>
      <errorID>b658d5f1-1a9d-42a4-aa0f-200e47b7b64c</errorID>
      <errorWord>)</errorWord>
      <group>L1_Format</group>
      <groupName>格式问题</groupName>
      <ability>L2_HalfPunc</ability>
      <abilityName>全半角检查</abilityName>
      <candidateList>
        <item>）</item>
      </candidateList>
      <explain>文本全半角错误。</explain>
      <paraID>2D3C735C</paraID>
      <start>216</start>
      <end>217</end>
      <status>unmodified</status>
      <modifiedWord/>
      <trackRevisions>false</trackRevisions>
    </reviewItem>
    <reviewItem>
      <errorID>f0a68b66-7595-42d3-8f2e-3f5274a08214</errorID>
      <errorWord>(</errorWord>
      <group>L1_Format</group>
      <groupName>格式问题</groupName>
      <ability>L2_HalfPunc</ability>
      <abilityName>全半角检查</abilityName>
      <candidateList>
        <item>（</item>
      </candidateList>
      <explain>文本全半角错误。</explain>
      <paraID>2D3C735C</paraID>
      <start>236</start>
      <end>237</end>
      <status>unmodified</status>
      <modifiedWord/>
      <trackRevisions>false</trackRevisions>
    </reviewItem>
    <reviewItem>
      <errorID>e215e1f0-5b51-409c-aae5-b4341229314e</errorID>
      <errorWord>)</errorWord>
      <group>L1_Format</group>
      <groupName>格式问题</groupName>
      <ability>L2_HalfPunc</ability>
      <abilityName>全半角检查</abilityName>
      <candidateList>
        <item>）</item>
      </candidateList>
      <explain>文本全半角错误。</explain>
      <paraID>2D3C735C</paraID>
      <start>251</start>
      <end>252</end>
      <status>unmodified</status>
      <modifiedWord/>
      <trackRevisions>false</trackRevisions>
    </reviewItem>
    <reviewItem>
      <errorID>29adcca6-e945-4613-98aa-e6f9a28f8ae3</errorID>
      <errorWord>(</errorWord>
      <group>L1_Format</group>
      <groupName>格式问题</groupName>
      <ability>L2_HalfPunc</ability>
      <abilityName>全半角检查</abilityName>
      <candidateList>
        <item>（</item>
      </candidateList>
      <explain>文本全半角错误。</explain>
      <paraID>2D3C735C</paraID>
      <start>286</start>
      <end>287</end>
      <status>unmodified</status>
      <modifiedWord/>
      <trackRevisions>false</trackRevisions>
    </reviewItem>
    <reviewItem>
      <errorID>8d584def-3020-433a-b238-219e3e820cde</errorID>
      <errorWord>(2017)162号</errorWord>
      <group>L1_Knowledge</group>
      <groupName>知识性问题</groupName>
      <ability>L2_Knowledge</ability>
      <abilityName>其他知识</abilityName>
      <candidateList>
        <item>〔2017〕162号</item>
      </candidateList>
      <explain>发文字号格式错误。</explain>
      <paraID>2D3C735C</paraID>
      <start>292</start>
      <end>302</end>
      <status>unmodified</status>
      <modifiedWord/>
      <trackRevisions>false</trackRevisions>
    </reviewItem>
    <reviewItem>
      <errorID>5fc7caf8-491e-466e-88e5-ed8dd98d18e1</errorID>
      <errorWord>)</errorWord>
      <group>L1_Format</group>
      <groupName>格式问题</groupName>
      <ability>L2_HalfPunc</ability>
      <abilityName>全半角检查</abilityName>
      <candidateList>
        <item>）</item>
      </candidateList>
      <explain>文本全半角错误。</explain>
      <paraID>2D3C735C</paraID>
      <start>302</start>
      <end>303</end>
      <status>unmodified</status>
      <modifiedWord/>
      <trackRevisions>false</trackRevisions>
    </reviewItem>
    <reviewItem>
      <errorID>5c4d82b2-39a6-42f9-8e03-49a0753af417</errorID>
      <errorWord>(</errorWord>
      <group>L1_Format</group>
      <groupName>格式问题</groupName>
      <ability>L2_HalfPunc</ability>
      <abilityName>全半角检查</abilityName>
      <candidateList>
        <item>（</item>
      </candidateList>
      <explain>文本全半角错误。</explain>
      <paraID>2D3C735C</paraID>
      <start>320</start>
      <end>321</end>
      <status>unmodified</status>
      <modifiedWord/>
      <trackRevisions>false</trackRevisions>
    </reviewItem>
    <reviewItem>
      <errorID>7752c53c-fb49-4b14-a32c-82fa260adfd3</errorID>
      <errorWord>)</errorWord>
      <group>L1_Format</group>
      <groupName>格式问题</groupName>
      <ability>L2_HalfPunc</ability>
      <abilityName>全半角检查</abilityName>
      <candidateList>
        <item>）</item>
      </candidateList>
      <explain>文本全半角错误。</explain>
      <paraID>2D3C735C</paraID>
      <start>335</start>
      <end>336</end>
      <status>unmodified</status>
      <modifiedWord/>
      <trackRevisions>false</trackRevisions>
    </reviewItem>
    <reviewItem>
      <errorID>e94053cd-28e9-40d5-b3b4-562854c767a3</errorID>
      <errorWord>(</errorWord>
      <group>L1_Format</group>
      <groupName>格式问题</groupName>
      <ability>L2_HalfPunc</ability>
      <abilityName>全半角检查</abilityName>
      <candidateList>
        <item>（</item>
      </candidateList>
      <explain>文本全半角错误。</explain>
      <paraID>2D3C735C</paraID>
      <start>350</start>
      <end>351</end>
      <status>unmodified</status>
      <modifiedWord/>
      <trackRevisions>false</trackRevisions>
    </reviewItem>
    <reviewItem>
      <errorID>b4e4b6d8-5392-4072-b358-e6dadb53e4df</errorID>
      <errorWord>)</errorWord>
      <group>L1_Format</group>
      <groupName>格式问题</groupName>
      <ability>L2_HalfPunc</ability>
      <abilityName>全半角检查</abilityName>
      <candidateList>
        <item>）</item>
      </candidateList>
      <explain>文本全半角错误。</explain>
      <paraID>2D3C735C</paraID>
      <start>363</start>
      <end>364</end>
      <status>unmodified</status>
      <modifiedWord/>
      <trackRevisions>false</trackRevisions>
    </reviewItem>
    <reviewItem>
      <errorID>4113af79-c4c0-40ed-86e5-9ffd51fc6373</errorID>
      <errorWord>(</errorWord>
      <group>L1_Format</group>
      <groupName>格式问题</groupName>
      <ability>L2_HalfPunc</ability>
      <abilityName>全半角检查</abilityName>
      <candidateList>
        <item>（</item>
      </candidateList>
      <explain>文本全半角错误。</explain>
      <paraID>2D3C735C</paraID>
      <start>419</start>
      <end>420</end>
      <status>unmodified</status>
      <modifiedWord/>
      <trackRevisions>false</trackRevisions>
    </reviewItem>
    <reviewItem>
      <errorID>7ac41560-7577-44c5-abec-38b6526118f1</errorID>
      <errorWord>)</errorWord>
      <group>L1_Format</group>
      <groupName>格式问题</groupName>
      <ability>L2_HalfPunc</ability>
      <abilityName>全半角检查</abilityName>
      <candidateList>
        <item>）</item>
      </candidateList>
      <explain>文本全半角错误。</explain>
      <paraID>2D3C735C</paraID>
      <start>434</start>
      <end>435</end>
      <status>unmodified</status>
      <modifiedWord/>
      <trackRevisions>false</trackRevisions>
    </reviewItem>
    <reviewItem>
      <errorID>0d7b4c43-364e-42d8-9bb3-4bf817be250c</errorID>
      <errorWord>(</errorWord>
      <group>L1_Format</group>
      <groupName>格式问题</groupName>
      <ability>L2_HalfPunc</ability>
      <abilityName>全半角检查</abilityName>
      <candidateList>
        <item>（</item>
      </candidateList>
      <explain>文本全半角错误。</explain>
      <paraID>2D3C735C</paraID>
      <start>461</start>
      <end>462</end>
      <status>unmodified</status>
      <modifiedWord/>
      <trackRevisions>false</trackRevisions>
    </reviewItem>
    <reviewItem>
      <errorID>c02bc19e-bd83-45f8-9335-b5ae97881634</errorID>
      <errorWord>)</errorWord>
      <group>L1_Format</group>
      <groupName>格式问题</groupName>
      <ability>L2_HalfPunc</ability>
      <abilityName>全半角检查</abilityName>
      <candidateList>
        <item>）</item>
      </candidateList>
      <explain>文本全半角错误。</explain>
      <paraID>2D3C735C</paraID>
      <start>469</start>
      <end>470</end>
      <status>unmodified</status>
      <modifiedWord/>
      <trackRevisions>false</trackRevisions>
    </reviewItem>
    <reviewItem>
      <errorID>8e5460b9-bf7e-4797-b054-6b84b385a481</errorID>
      <errorWord>(</errorWord>
      <group>L1_Format</group>
      <groupName>格式问题</groupName>
      <ability>L2_HalfPunc</ability>
      <abilityName>全半角检查</abilityName>
      <candidateList>
        <item>（</item>
      </candidateList>
      <explain>文本全半角错误。</explain>
      <paraID>2D3C735C</paraID>
      <start>519</start>
      <end>520</end>
      <status>unmodified</status>
      <modifiedWord/>
      <trackRevisions>false</trackRevisions>
    </reviewItem>
    <reviewItem>
      <errorID>74fb1020-9069-4847-8f14-328ae0bf8cfb</errorID>
      <errorWord>)</errorWord>
      <group>L1_Format</group>
      <groupName>格式问题</groupName>
      <ability>L2_HalfPunc</ability>
      <abilityName>全半角检查</abilityName>
      <candidateList>
        <item>）</item>
      </candidateList>
      <explain>文本全半角错误。</explain>
      <paraID>2D3C735C</paraID>
      <start>528</start>
      <end>529</end>
      <status>unmodified</status>
      <modifiedWord/>
      <trackRevisions>false</trackRevisions>
    </reviewItem>
    <reviewItem>
      <errorID>60efaecf-e462-41d2-90c2-00c20a0f0a54</errorID>
      <errorWord>气简</errorWord>
      <group>L1_Word</group>
      <groupName>字词问题</groupName>
      <ability>L2_Typo</ability>
      <abilityName>字词错误</abilityName>
      <candidateList>
        <item>气筒</item>
      </candidateList>
      <explain>存在字形相近字词的误用。</explain>
      <paraID>1F58CA25</paraID>
      <start>71</start>
      <end>73</end>
      <status>modified</status>
      <modifiedWord>气筒</modifiedWord>
      <trackRevisions>false</trackRevisions>
    </reviewItem>
    <reviewItem>
      <errorID>982e6ad7-8dcb-4089-a4ea-890071b83bd4</errorID>
      <errorWord>(</errorWord>
      <group>L1_Format</group>
      <groupName>格式问题</groupName>
      <ability>L2_HalfPunc</ability>
      <abilityName>全半角检查</abilityName>
      <candidateList>
        <item>（</item>
      </candidateList>
      <explain>文本全半角错误。</explain>
      <paraID>1F58CA25</paraID>
      <start>93</start>
      <end>94</end>
      <status>unmodified</status>
      <modifiedWord/>
      <trackRevisions>false</trackRevisions>
    </reviewItem>
    <reviewItem>
      <errorID>cf56516d-9b56-4f6e-9f5a-72c1bfc6e064</errorID>
      <errorWord>)</errorWord>
      <group>L1_Format</group>
      <groupName>格式问题</groupName>
      <ability>L2_HalfPunc</ability>
      <abilityName>全半角检查</abilityName>
      <candidateList>
        <item>）</item>
      </candidateList>
      <explain>文本全半角错误。</explain>
      <paraID>1F58CA25</paraID>
      <start>106</start>
      <end>107</end>
      <status>unmodified</status>
      <modifiedWord/>
      <trackRevisions>false</trackRevisions>
    </reviewItem>
    <reviewItem>
      <errorID>c1738f36-ce5f-427a-b18c-9f8afdbb7aa8</errorID>
      <errorWord>(</errorWord>
      <group>L1_Format</group>
      <groupName>格式问题</groupName>
      <ability>L2_HalfPunc</ability>
      <abilityName>全半角检查</abilityName>
      <candidateList>
        <item>（</item>
      </candidateList>
      <explain>文本全半角错误。</explain>
      <paraID>1F58CA25</paraID>
      <start>162</start>
      <end>163</end>
      <status>unmodified</status>
      <modifiedWord/>
      <trackRevisions>false</trackRevisions>
    </reviewItem>
    <reviewItem>
      <errorID>bcb50801-6145-45f6-8ebe-c6af2290b0e5</errorID>
      <errorWord>)</errorWord>
      <group>L1_Format</group>
      <groupName>格式问题</groupName>
      <ability>L2_HalfPunc</ability>
      <abilityName>全半角检查</abilityName>
      <candidateList>
        <item>）</item>
      </candidateList>
      <explain>文本全半角错误。</explain>
      <paraID>1F58CA25</paraID>
      <start>177</start>
      <end>178</end>
      <status>unmodified</status>
      <modifiedWord/>
      <trackRevisions>false</trackRevisions>
    </reviewItem>
    <reviewItem>
      <errorID>3763559d-7353-4672-93b0-3227b8af9d96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C4CA73C</paraID>
      <start>0</start>
      <end>2</end>
      <status>unmodified</status>
      <modifiedWord/>
      <trackRevisions>false</trackRevisions>
    </reviewItem>
    <reviewItem>
      <errorID>54cc92f4-38d0-4f98-bec8-2213c40d6f3b</errorID>
      <errorWord>(</errorWord>
      <group>L1_Format</group>
      <groupName>格式问题</groupName>
      <ability>L2_HalfPunc</ability>
      <abilityName>全半角检查</abilityName>
      <candidateList>
        <item>（</item>
      </candidateList>
      <explain>文本全半角错误。</explain>
      <paraID> C4CA73C</paraID>
      <start>46</start>
      <end>47</end>
      <status>unmodified</status>
      <modifiedWord/>
      <trackRevisions>false</trackRevisions>
    </reviewItem>
    <reviewItem>
      <errorID>d41e5da8-a76e-4cc4-a314-62df9d7658e8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6B68D32B</paraID>
      <start>0</start>
      <end>2</end>
      <status>unmodified</status>
      <modifiedWord/>
      <trackRevisions>false</trackRevisions>
    </reviewItem>
    <reviewItem>
      <errorID>157d3346-f8ef-4a2f-9478-41b4349aeb54</errorID>
      <errorWord>(</errorWord>
      <group>L1_Format</group>
      <groupName>格式问题</groupName>
      <ability>L2_HalfPunc</ability>
      <abilityName>全半角检查</abilityName>
      <candidateList>
        <item>（</item>
      </candidateList>
      <explain>文本全半角错误。</explain>
      <paraID>6B68D32B</paraID>
      <start>51</start>
      <end>52</end>
      <status>unmodified</status>
      <modifiedWord/>
      <trackRevisions>false</trackRevisions>
    </reviewItem>
    <reviewItem>
      <errorID>a77c0e51-5334-443a-a501-db6b412c6458</errorID>
      <errorWord>)</errorWord>
      <group>L1_Format</group>
      <groupName>格式问题</groupName>
      <ability>L2_HalfPunc</ability>
      <abilityName>全半角检查</abilityName>
      <candidateList>
        <item>）</item>
      </candidateList>
      <explain>文本全半角错误。</explain>
      <paraID>6B68D32B</paraID>
      <start>64</start>
      <end>65</end>
      <status>unmodified</status>
      <modifiedWord/>
      <trackRevisions>false</trackRevisions>
    </reviewItem>
    <reviewItem>
      <errorID>7d0cd32b-1f74-4483-a3d6-ac100ca493b6</errorID>
      <errorWord>交有</errorWord>
      <group>L1_Word</group>
      <groupName>字词问题</groupName>
      <ability>L2_Typo</ability>
      <abilityName>字词错误</abilityName>
      <candidateList>
        <item>交由</item>
      </candidateList>
      <explain>存在发音相同字词的误用。</explain>
      <paraID>54E0E567</paraID>
      <start>51</start>
      <end>53</end>
      <status>unmodified</status>
      <modifiedWord/>
      <trackRevisions>false</trackRevisions>
    </reviewItem>
    <reviewItem>
      <errorID>2733d17a-1902-464c-820f-327f37fdfb33</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54E0E567</paraID>
      <start>66</start>
      <end>67</end>
      <status>unmodified</status>
      <modifiedWord/>
      <trackRevisions>false</trackRevisions>
    </reviewItem>
    <reviewItem>
      <errorID>4fb9b593-2a95-40f2-97be-89b0dbf35aaf</errorID>
      <errorWord>(</errorWord>
      <group>L1_Format</group>
      <groupName>格式问题</groupName>
      <ability>L2_HalfPunc</ability>
      <abilityName>全半角检查</abilityName>
      <candidateList>
        <item>（</item>
      </candidateList>
      <explain>文本全半角错误。</explain>
      <paraID>54E0E567</paraID>
      <start>79</start>
      <end>80</end>
      <status>unmodified</status>
      <modifiedWord/>
      <trackRevisions>false</trackRevisions>
    </reviewItem>
    <reviewItem>
      <errorID>e87c6b0c-a792-4ae1-a772-96b02845dbf0</errorID>
      <errorWord>)</errorWord>
      <group>L1_Format</group>
      <groupName>格式问题</groupName>
      <ability>L2_HalfPunc</ability>
      <abilityName>全半角检查</abilityName>
      <candidateList>
        <item>）</item>
      </candidateList>
      <explain>文本全半角错误。</explain>
      <paraID>54E0E567</paraID>
      <start>92</start>
      <end>93</end>
      <status>unmodified</status>
      <modifiedWord/>
      <trackRevisions>false</trackRevisions>
    </reviewItem>
    <reviewItem>
      <errorID>e427a394-c53e-4236-b055-3e133093dde7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12C94453</paraID>
      <start>0</start>
      <end>2</end>
      <status>unmodified</status>
      <modifiedWord/>
      <trackRevisions>false</trackRevisions>
    </reviewItem>
    <reviewItem>
      <errorID>4837f51a-26ef-4e9e-b932-b39563ed32a5</errorID>
      <errorWord>[2017]162号</errorWord>
      <group>L1_Knowledge</group>
      <groupName>知识性问题</groupName>
      <ability>L2_Knowledge</ability>
      <abilityName>其他知识</abilityName>
      <candidateList>
        <item>〔2017〕162号</item>
      </candidateList>
      <explain>发文字号格式错误。</explain>
      <paraID>441D115B</paraID>
      <start>78</start>
      <end>88</end>
      <status>unmodified</status>
      <modifiedWord/>
      <trackRevisions>false</trackRevisions>
    </reviewItem>
    <reviewItem>
      <errorID>1dfaee72-680b-4ad6-9a56-30b723a777ff</errorID>
      <errorWord>-</errorWord>
      <group>L1_Format</group>
      <groupName>格式问题</groupName>
      <ability>L2_HalfPunc</ability>
      <abilityName>全半角检查</abilityName>
      <candidateList>
        <item>－</item>
      </candidateList>
      <explain>文本全半角错误。</explain>
      <paraID>441D115B</paraID>
      <start>121</start>
      <end>122</end>
      <status>unmodified</status>
      <modifiedWord/>
      <trackRevisions>false</trackRevisions>
    </reviewItem>
    <reviewItem>
      <errorID>6e96c59b-5e1c-4a16-8a2d-24ee1dd370b1</errorID>
      <errorWord>-</errorWord>
      <group>L1_Format</group>
      <groupName>格式问题</groupName>
      <ability>L2_HalfPunc</ability>
      <abilityName>全半角检查</abilityName>
      <candidateList>
        <item>－</item>
      </candidateList>
      <explain>文本全半角错误。</explain>
      <paraID>441D115B</paraID>
      <start>136</start>
      <end>137</end>
      <status>unmodified</status>
      <modifiedWord/>
      <trackRevisions>false</trackRevisions>
    </reviewItem>
    <reviewItem>
      <errorID>6aa3b8e9-82bb-48f3-9659-344542b62f92</errorID>
      <errorWord>(</errorWord>
      <group>L1_Format</group>
      <groupName>格式问题</groupName>
      <ability>L2_HalfPunc</ability>
      <abilityName>全半角检查</abilityName>
      <candidateList>
        <item>（</item>
      </candidateList>
      <explain>文本全半角错误。</explain>
      <paraID> 5CC876A</paraID>
      <start>6</start>
      <end>7</end>
      <status>unmodified</status>
      <modifiedWord/>
      <trackRevisions>false</trackRevisions>
    </reviewItem>
    <reviewItem>
      <errorID>c308f788-fdc8-4287-afa8-657381a29800</errorID>
      <errorWord>)</errorWord>
      <group>L1_Format</group>
      <groupName>格式问题</groupName>
      <ability>L2_HalfPunc</ability>
      <abilityName>全半角检查</abilityName>
      <candidateList>
        <item>）</item>
      </candidateList>
      <explain>文本全半角错误。</explain>
      <paraID> 5CC876A</paraID>
      <start>8</start>
      <end>9</end>
      <status>unmodified</status>
      <modifiedWord/>
      <trackRevisions>false</trackRevisions>
    </reviewItem>
    <reviewItem>
      <errorID>d798aaa4-ad25-4fd2-9acf-0b43d4382383</errorID>
      <errorWord>（2017）162号</errorWord>
      <group>L1_Knowledge</group>
      <groupName>知识性问题</groupName>
      <ability>L2_Knowledge</ability>
      <abilityName>其他知识</abilityName>
      <candidateList>
        <item>〔2017〕162号</item>
      </candidateList>
      <explain>发文字号格式错误。</explain>
      <paraID>1D3A18C3</paraID>
      <start>39</start>
      <end>49</end>
      <status>unmodified</status>
      <modifiedWord/>
      <trackRevisions>false</trackRevisions>
    </reviewItem>
    <reviewItem>
      <errorID>ed0afcbc-b65d-4244-bc35-d44fe9447fdb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3DEE1D1B</paraID>
      <start>0</start>
      <end>2</end>
      <status>unmodified</status>
      <modifiedWord/>
      <trackRevisions>false</trackRevisions>
    </reviewItem>
    <reviewItem>
      <errorID>abe1961e-2184-46f1-a9d0-a15ec6e850ee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7E7FA0AD</paraID>
      <start>0</start>
      <end>2</end>
      <status>unmodified</status>
      <modifiedWord/>
      <trackRevisions>false</trackRevisions>
    </reviewItem>
    <reviewItem>
      <errorID>4de8fcea-c8f0-402f-a387-a5c5881390e1</errorID>
      <errorWord>2026年01月07日</errorWord>
      <group>L1_Knowledge</group>
      <groupName>知识性问题</groupName>
      <ability>L2_Time</ability>
      <abilityName>日期时间</abilityName>
      <candidateList>
        <item>2026年1月7日</item>
      </candidateList>
      <explain>根据日常书写习惯，月份和日期一般会省略前导零。</explain>
      <paraID>72BD8F28</paraID>
      <start>39</start>
      <end>50</end>
      <status>unmodified</status>
      <modifiedWord/>
      <trackRevisions>false</trackRevisions>
    </reviewItem>
    <reviewItem>
      <errorID>f7204459-f70a-4a65-9959-812b3905e39f</errorID>
      <errorWord>2026年01月08日</errorWord>
      <group>L1_Knowledge</group>
      <groupName>知识性问题</groupName>
      <ability>L2_Time</ability>
      <abilityName>日期时间</abilityName>
      <candidateList>
        <item>2026年1月8日</item>
      </candidateList>
      <explain>根据日常书写习惯，月份和日期一般会省略前导零。</explain>
      <paraID>72BD8F28</paraID>
      <start>51</start>
      <end>62</end>
      <status>unmodified</status>
      <modifiedWord/>
      <trackRevisions>false</trackRevisions>
    </reviewItem>
    <reviewItem>
      <errorID>e79f2aa3-b097-4d9d-8ad9-f99064dad6ef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6D29F4CE</paraID>
      <start>0</start>
      <end>2</end>
      <status>unmodified</status>
      <modifiedWord/>
      <trackRevisions>false</trackRevisions>
    </reviewItem>
    <reviewItem>
      <errorID>5496b08e-fed8-41e0-966e-5a112b14c1b7</errorID>
      <errorWord>(</errorWord>
      <group>L1_Format</group>
      <groupName>格式问题</groupName>
      <ability>L2_HalfPunc</ability>
      <abilityName>全半角检查</abilityName>
      <candidateList>
        <item>（</item>
      </candidateList>
      <explain>文本全半角错误。</explain>
      <paraID> BBC8A2F</paraID>
      <start>11</start>
      <end>12</end>
      <status>unmodified</status>
      <modifiedWord/>
      <trackRevisions>false</trackRevisions>
    </reviewItem>
    <reviewItem>
      <errorID>7267b29f-935e-429b-b9dd-a903c3e8b79d</errorID>
      <errorWord>)</errorWord>
      <group>L1_Format</group>
      <groupName>格式问题</groupName>
      <ability>L2_HalfPunc</ability>
      <abilityName>全半角检查</abilityName>
      <candidateList>
        <item>）</item>
      </candidateList>
      <explain>文本全半角错误。</explain>
      <paraID> BBC8A2F</paraID>
      <start>15</start>
      <end>16</end>
      <status>unmodified</status>
      <modifiedWord/>
      <trackRevisions>false</trackRevisions>
    </reviewItem>
    <reviewItem>
      <errorID>369240b1-f0d6-43a6-9a9e-935646711685</errorID>
      <errorWord>(</errorWord>
      <group>L1_Format</group>
      <groupName>格式问题</groupName>
      <ability>L2_HalfPunc</ability>
      <abilityName>全半角检查</abilityName>
      <candidateList>
        <item>（</item>
      </candidateList>
      <explain>文本全半角错误。</explain>
      <paraID>38122329</paraID>
      <start>11</start>
      <end>12</end>
      <status>unmodified</status>
      <modifiedWord/>
      <trackRevisions>false</trackRevisions>
    </reviewItem>
    <reviewItem>
      <errorID>ef774302-c413-4e58-a4b4-8691768651e1</errorID>
      <errorWord>)</errorWord>
      <group>L1_Format</group>
      <groupName>格式问题</groupName>
      <ability>L2_HalfPunc</ability>
      <abilityName>全半角检查</abilityName>
      <candidateList>
        <item>）</item>
      </candidateList>
      <explain>文本全半角错误。</explain>
      <paraID>38122329</paraID>
      <start>15</start>
      <end>16</end>
      <status>unmodified</status>
      <modifiedWord/>
      <trackRevisions>false</trackRevisions>
    </reviewItem>
    <reviewItem>
      <errorID>8eec17df-bafe-4e32-b4a2-6c603732635a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60613D6B</paraID>
      <start>0</start>
      <end>2</end>
      <status>unmodified</status>
      <modifiedWord/>
      <trackRevisions>false</trackRevisions>
    </reviewItem>
    <reviewItem>
      <errorID>189e877d-925d-48ad-993c-09a5761b550e</errorID>
      <errorWord>(</errorWord>
      <group>L1_Format</group>
      <groupName>格式问题</groupName>
      <ability>L2_HalfPunc</ability>
      <abilityName>全半角检查</abilityName>
      <candidateList>
        <item>（</item>
      </candidateList>
      <explain>文本全半角错误。</explain>
      <paraID>19B44263</paraID>
      <start>39</start>
      <end>40</end>
      <status>unmodified</status>
      <modifiedWord/>
      <trackRevisions>false</trackRevisions>
    </reviewItem>
    <reviewItem>
      <errorID>a4cff5cb-3fb7-4cb0-9bfa-23627018d572</errorID>
      <errorWord>)</errorWord>
      <group>L1_Format</group>
      <groupName>格式问题</groupName>
      <ability>L2_HalfPunc</ability>
      <abilityName>全半角检查</abilityName>
      <candidateList>
        <item>）</item>
      </candidateList>
      <explain>文本全半角错误。</explain>
      <paraID>19B44263</paraID>
      <start>42</start>
      <end>43</end>
      <status>unmodified</status>
      <modifiedWord/>
      <trackRevisions>false</trackRevisions>
    </reviewItem>
    <reviewItem>
      <errorID>18484c8e-49a8-4453-9455-4a6184931e6a</errorID>
      <errorWord>(</errorWord>
      <group>L1_Format</group>
      <groupName>格式问题</groupName>
      <ability>L2_HalfPunc</ability>
      <abilityName>全半角检查</abilityName>
      <candidateList>
        <item>（</item>
      </candidateList>
      <explain>文本全半角错误。</explain>
      <paraID>19B44263</paraID>
      <start>44</start>
      <end>45</end>
      <status>unmodified</status>
      <modifiedWord/>
      <trackRevisions>false</trackRevisions>
    </reviewItem>
    <reviewItem>
      <errorID>077a1dd5-ba8c-4cc2-bcc5-c886a4b5e1bc</errorID>
      <errorWord>)</errorWord>
      <group>L1_Format</group>
      <groupName>格式问题</groupName>
      <ability>L2_HalfPunc</ability>
      <abilityName>全半角检查</abilityName>
      <candidateList>
        <item>）</item>
      </candidateList>
      <explain>文本全半角错误。</explain>
      <paraID>19B44263</paraID>
      <start>57</start>
      <end>58</end>
      <status>unmodified</status>
      <modifiedWord/>
      <trackRevisions>false</trackRevisions>
    </reviewItem>
    <reviewItem>
      <errorID>9b1f6f85-fa3b-4d6e-9569-912f96fa8338</errorID>
      <errorWord>(</errorWord>
      <group>L1_Format</group>
      <groupName>格式问题</groupName>
      <ability>L2_HalfPunc</ability>
      <abilityName>全半角检查</abilityName>
      <candidateList>
        <item>（</item>
      </candidateList>
      <explain>文本全半角错误。</explain>
      <paraID>19B44263</paraID>
      <start>77</start>
      <end>78</end>
      <status>unmodified</status>
      <modifiedWord/>
      <trackRevisions>false</trackRevisions>
    </reviewItem>
    <reviewItem>
      <errorID>9fd6de8a-525c-42c3-bb63-ee3a121c1c80</errorID>
      <errorWord>)</errorWord>
      <group>L1_Format</group>
      <groupName>格式问题</groupName>
      <ability>L2_HalfPunc</ability>
      <abilityName>全半角检查</abilityName>
      <candidateList>
        <item>）</item>
      </candidateList>
      <explain>文本全半角错误。</explain>
      <paraID>19B44263</paraID>
      <start>89</start>
      <end>90</end>
      <status>unmodified</status>
      <modifiedWord/>
      <trackRevisions>false</trackRevisions>
    </reviewItem>
    <reviewItem>
      <errorID>35003dae-4e07-4540-b249-4945aa908860</errorID>
      <errorWord>(</errorWord>
      <group>L1_Format</group>
      <groupName>格式问题</groupName>
      <ability>L2_HalfPunc</ability>
      <abilityName>全半角检查</abilityName>
      <candidateList>
        <item>（</item>
      </candidateList>
      <explain>文本全半角错误。</explain>
      <paraID>19B44263</paraID>
      <start>107</start>
      <end>108</end>
      <status>unmodified</status>
      <modifiedWord/>
      <trackRevisions>false</trackRevisions>
    </reviewItem>
    <reviewItem>
      <errorID>9f7fffbb-cf64-4a26-88b5-4113a554ca32</errorID>
      <errorWord>)</errorWord>
      <group>L1_Format</group>
      <groupName>格式问题</groupName>
      <ability>L2_HalfPunc</ability>
      <abilityName>全半角检查</abilityName>
      <candidateList>
        <item>）</item>
      </candidateList>
      <explain>文本全半角错误。</explain>
      <paraID>19B44263</paraID>
      <start>121</start>
      <end>122</end>
      <status>unmodified</status>
      <modifiedWord/>
      <trackRevisions>false</trackRevisions>
    </reviewItem>
    <reviewItem>
      <errorID>6127dc3b-043d-4721-bec3-be09b21f6ba8</errorID>
      <errorWord>气简</errorWord>
      <group>L1_Word</group>
      <groupName>字词问题</groupName>
      <ability>L2_Typo</ability>
      <abilityName>字词错误</abilityName>
      <candidateList>
        <item>气筒</item>
      </candidateList>
      <explain>存在字形相近字词的误用。</explain>
      <paraID> 6AEC22B</paraID>
      <start>11</start>
      <end>13</end>
      <status>unmodified</status>
      <modifiedWord/>
      <trackRevisions>false</trackRevisions>
    </reviewItem>
    <reviewItem>
      <errorID>e8fbf10f-0f43-496a-ad82-03f5b2b8dfa6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D932426</paraID>
      <start>0</start>
      <end>2</end>
      <status>unmodified</status>
      <modifiedWord/>
      <trackRevisions>false</trackRevisions>
    </reviewItem>
    <reviewItem>
      <errorID>676b396e-81e2-4d92-aca2-9e06590ae8b9</errorID>
      <errorWord>~</errorWord>
      <group>L1_Format</group>
      <groupName>格式问题</groupName>
      <ability>L2_HalfPunc</ability>
      <abilityName>全半角检查</abilityName>
      <candidateList>
        <item>～</item>
      </candidateList>
      <explain>文本全半角错误。</explain>
      <paraID> 50E1002</paraID>
      <start>63</start>
      <end>64</end>
      <status>unmodified</status>
      <modifiedWord/>
      <trackRevisions>false</trackRevisions>
    </reviewItem>
    <reviewItem>
      <errorID>572c6618-5a0c-4c0b-b21b-ab825b8897fb</errorID>
      <errorWord>~</errorWord>
      <group>L1_Format</group>
      <groupName>格式问题</groupName>
      <ability>L2_HalfPunc</ability>
      <abilityName>全半角检查</abilityName>
      <candidateList>
        <item>～</item>
      </candidateList>
      <explain>文本全半角错误。</explain>
      <paraID> 50E1002</paraID>
      <start>85</start>
      <end>86</end>
      <status>unmodified</status>
      <modifiedWord/>
      <trackRevisions>false</trackRevisions>
    </reviewItem>
    <reviewItem>
      <errorID>11cc012b-6500-473c-884e-0c13e4124a68</errorID>
      <errorWord>（2017）162号</errorWord>
      <group>L1_Knowledge</group>
      <groupName>知识性问题</groupName>
      <ability>L2_Knowledge</ability>
      <abilityName>其他知识</abilityName>
      <candidateList>
        <item>〔2017〕162号</item>
      </candidateList>
      <explain>发文字号格式错误。</explain>
      <paraID> 50E1002</paraID>
      <start>217</start>
      <end>227</end>
      <status>unmodified</status>
      <modifiedWord/>
      <trackRevisions>false</trackRevisions>
    </reviewItem>
    <reviewItem>
      <errorID>1d34e914-6427-4487-9498-13eadc3c4ca2</errorID>
      <errorWord>~</errorWord>
      <group>L1_Format</group>
      <groupName>格式问题</groupName>
      <ability>L2_HalfPunc</ability>
      <abilityName>全半角检查</abilityName>
      <candidateList>
        <item>～</item>
      </candidateList>
      <explain>文本全半角错误。</explain>
      <paraID>1B19AC04</paraID>
      <start>26</start>
      <end>27</end>
      <status>unmodified</status>
      <modifiedWord/>
      <trackRevisions>false</trackRevisions>
    </reviewItem>
    <reviewItem>
      <errorID>84a3a18b-c446-4194-b9c0-121ddc41f721</errorID>
      <errorWord>~</errorWord>
      <group>L1_Format</group>
      <groupName>格式问题</groupName>
      <ability>L2_HalfPunc</ability>
      <abilityName>全半角检查</abilityName>
      <candidateList>
        <item>～</item>
      </candidateList>
      <explain>文本全半角错误。</explain>
      <paraID>1B19AC04</paraID>
      <start>48</start>
      <end>49</end>
      <status>unmodified</status>
      <modifiedWord/>
      <trackRevisions>false</trackRevisions>
    </reviewItem>
    <reviewItem>
      <errorID>13374f36-f1fc-4304-9603-e9bb25cd6b88</errorID>
      <errorWord>-</errorWord>
      <group>L1_Format</group>
      <groupName>格式问题</groupName>
      <ability>L2_HalfPunc</ability>
      <abilityName>全半角检查</abilityName>
      <candidateList>
        <item>－</item>
      </candidateList>
      <explain>文本全半角错误。</explain>
      <paraID>3C90B1B4</paraID>
      <start>160</start>
      <end>161</end>
      <status>unmodified</status>
      <modifiedWord/>
      <trackRevisions>false</trackRevisions>
    </reviewItem>
    <reviewItem>
      <errorID>f9dfeb49-865f-4c1a-9a58-5f85f13a637e</errorID>
      <errorWord>限制</errorWord>
      <group>L1_Word</group>
      <groupName>字词问题</groupName>
      <ability>L2_Typo</ability>
      <abilityName>字词错误</abilityName>
      <candidateList>
        <item>限值</item>
      </candidateList>
      <explain/>
      <paraID>3C90B1B4</paraID>
      <start>189</start>
      <end>191</end>
      <status>modified</status>
      <modifiedWord>限值</modifiedWord>
      <trackRevisions>false</trackRevisions>
    </reviewItem>
    <reviewItem>
      <errorID>b065cd00-ee81-476f-9bec-4f1a2a21379f</errorID>
      <errorWord>[2017]162号</errorWord>
      <group>L1_Knowledge</group>
      <groupName>知识性问题</groupName>
      <ability>L2_Knowledge</ability>
      <abilityName>其他知识</abilityName>
      <candidateList>
        <item>〔2017〕162号</item>
      </candidateList>
      <explain>发文字号格式错误。</explain>
      <paraID>3C90B1B4</paraID>
      <start>239</start>
      <end>249</end>
      <status>unmodified</status>
      <modifiedWord/>
      <trackRevisions>false</trackRevisions>
    </reviewItem>
    <reviewItem>
      <errorID>7d7b7e41-e752-41a7-8e67-9689ca347d93</errorID>
      <errorWord>~</errorWord>
      <group>L1_Format</group>
      <groupName>格式问题</groupName>
      <ability>L2_HalfPunc</ability>
      <abilityName>全半角检查</abilityName>
      <candidateList>
        <item>～</item>
      </candidateList>
      <explain>文本全半角错误。</explain>
      <paraID>3C90B1B4</paraID>
      <start>295</start>
      <end>296</end>
      <status>unmodified</status>
      <modifiedWord/>
      <trackRevisions>false</trackRevisions>
    </reviewItem>
    <reviewItem>
      <errorID>93b7f681-9f42-4801-bc8c-1dfd5ff1c105</errorID>
      <errorWord>~</errorWord>
      <group>L1_Format</group>
      <groupName>格式问题</groupName>
      <ability>L2_HalfPunc</ability>
      <abilityName>全半角检查</abilityName>
      <candidateList>
        <item>～</item>
      </candidateList>
      <explain>文本全半角错误。</explain>
      <paraID>7BE77118</paraID>
      <start>56</start>
      <end>57</end>
      <status>unmodified</status>
      <modifiedWord/>
      <trackRevisions>false</trackRevisions>
    </reviewItem>
    <reviewItem>
      <errorID>6fa6f018-7239-4170-b56b-0a64ba58abf7</errorID>
      <errorWord>~</errorWord>
      <group>L1_Format</group>
      <groupName>格式问题</groupName>
      <ability>L2_HalfPunc</ability>
      <abilityName>全半角检查</abilityName>
      <candidateList>
        <item>～</item>
      </candidateList>
      <explain>文本全半角错误。</explain>
      <paraID>7BE77118</paraID>
      <start>99</start>
      <end>100</end>
      <status>unmodified</status>
      <modifiedWord/>
      <trackRevisions>false</trackRevisions>
    </reviewItem>
    <reviewItem>
      <errorID>ad25775c-2365-4f49-a38b-2d35b2221dab</errorID>
      <errorWord>(</errorWord>
      <group>L1_Format</group>
      <groupName>格式问题</groupName>
      <ability>L2_HalfPunc</ability>
      <abilityName>全半角检查</abilityName>
      <candidateList>
        <item>（</item>
      </candidateList>
      <explain>文本全半角错误。</explain>
      <paraID>2E0D5282</paraID>
      <start>6</start>
      <end>7</end>
      <status>unmodified</status>
      <modifiedWord/>
      <trackRevisions>false</trackRevisions>
    </reviewItem>
    <reviewItem>
      <errorID>d7f74e48-d24c-4251-b65e-baacc848fe67</errorID>
      <errorWord>)</errorWord>
      <group>L1_Format</group>
      <groupName>格式问题</groupName>
      <ability>L2_HalfPunc</ability>
      <abilityName>全半角检查</abilityName>
      <candidateList>
        <item>）</item>
      </candidateList>
      <explain>文本全半角错误。</explain>
      <paraID>2E0D5282</paraID>
      <start>11</start>
      <end>12</end>
      <status>unmodified</status>
      <modifiedWord/>
      <trackRevisions>false</trackRevisions>
    </reviewItem>
    <reviewItem>
      <errorID>cc6954ea-1f1e-4f15-ac85-f41c0006c37c</errorID>
      <errorWord>(</errorWord>
      <group>L1_Format</group>
      <groupName>格式问题</groupName>
      <ability>L2_HalfPunc</ability>
      <abilityName>全半角检查</abilityName>
      <candidateList>
        <item>（</item>
      </candidateList>
      <explain>文本全半角错误。</explain>
      <paraID>6D2626F4</paraID>
      <start>6</start>
      <end>7</end>
      <status>unmodified</status>
      <modifiedWord/>
      <trackRevisions>false</trackRevisions>
    </reviewItem>
    <reviewItem>
      <errorID>d2c208d6-d7c1-4b56-b5ce-871757c1f09b</errorID>
      <errorWord>)</errorWord>
      <group>L1_Format</group>
      <groupName>格式问题</groupName>
      <ability>L2_HalfPunc</ability>
      <abilityName>全半角检查</abilityName>
      <candidateList>
        <item>）</item>
      </candidateList>
      <explain>文本全半角错误。</explain>
      <paraID>6D2626F4</paraID>
      <start>8</start>
      <end>9</end>
      <status>unmodified</status>
      <modifiedWord/>
      <trackRevisions>false</trackRevisions>
    </reviewItem>
    <reviewItem>
      <errorID>f722ce6a-975b-4485-982f-8a6f754f1cac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118D7754</paraID>
      <start>0</start>
      <end>2</end>
      <status>unmodified</status>
      <modifiedWord/>
      <trackRevisions>false</trackRevisions>
    </reviewItem>
    <reviewItem>
      <errorID>ba8e2d77-abe3-4785-a9cb-f486d04727fc</errorID>
      <errorWord>位</errorWord>
      <group>L1_Word</group>
      <groupName>字词问题</groupName>
      <ability>L2_Typo</ability>
      <abilityName>字词错误</abilityName>
      <candidateList>
        <item>位在</item>
      </candidateList>
      <explain/>
      <paraID>7B27854A</paraID>
      <start>3</start>
      <end>5</end>
      <status>modified</status>
      <modifiedWord>位在</modifiedWord>
      <trackRevisions>false</trackRevisions>
    </reviewItem>
    <reviewItem>
      <errorID>a4bdea0a-f43a-4282-a088-f861d2ae9ab9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3631556E</paraID>
      <start>0</start>
      <end>2</end>
      <status>unmodified</status>
      <modifiedWord/>
      <trackRevisions>false</trackRevisions>
    </reviewItem>
    <reviewItem>
      <errorID>dad07320-1210-4597-b99d-34027a7a34a7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306A451D</paraID>
      <start>0</start>
      <end>2</end>
      <status>unmodified</status>
      <modifiedWord/>
      <trackRevisions>false</trackRevisions>
    </reviewItem>
    <reviewItem>
      <errorID>480d99c4-0911-4301-af68-d6618f11eb02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7172482F</paraID>
      <start>0</start>
      <end>2</end>
      <status>unmodified</status>
      <modifiedWord/>
      <trackRevisions>false</trackRevisions>
    </reviewItem>
    <reviewItem>
      <errorID>07757410-1c11-45d1-85ee-039d541bd374</errorID>
      <errorWord>【2017】4号</errorWord>
      <group>L1_Knowledge</group>
      <groupName>知识性问题</groupName>
      <ability>L2_Knowledge</ability>
      <abilityName>其他知识</abilityName>
      <candidateList>
        <item>〔2017〕4号</item>
      </candidateList>
      <explain>发文字号格式错误。</explain>
      <paraID>7172482F</paraID>
      <start>25</start>
      <end>33</end>
      <status>unmodified</status>
      <modifiedWord/>
      <trackRevisions>false</trackRevisions>
    </reviewItem>
    <reviewItem>
      <errorID>c8d3eeb7-092b-431b-b0e0-e7a457c962db</errorID>
      <errorWord>[2020]688号</errorWord>
      <group>L1_Knowledge</group>
      <groupName>知识性问题</groupName>
      <ability>L2_Knowledge</ability>
      <abilityName>其他知识</abilityName>
      <candidateList>
        <item>〔2020〕688号</item>
      </candidateList>
      <explain>发文字号格式错误。</explain>
      <paraID>7BED9FE7</paraID>
      <start>42</start>
      <end>52</end>
      <status>unmodified</status>
      <modifiedWord/>
      <trackRevisions>false</trackRevisions>
    </reviewItem>
    <reviewItem>
      <errorID>aea9b714-91b2-43b0-8500-4fde643be8ef</errorID>
      <errorWord>规</errorWord>
      <group>L1_Word</group>
      <groupName>字词问题</groupName>
      <ability>L2_Typo</ability>
      <abilityName>字词错误</abilityName>
      <candidateList>
        <item>规和</item>
      </candidateList>
      <explain/>
      <paraID>7998C851</paraID>
      <start>14</start>
      <end>15</end>
      <status>unmodified</status>
      <modifiedWord/>
      <trackRevisions>false</trackRevisions>
    </reviewItem>
    <reviewItem>
      <errorID>45553a6d-edf1-4e04-be9e-cfc6a60ce499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4D47960E</paraID>
      <start>0</start>
      <end>2</end>
      <status>unmodified</status>
      <modifiedWord/>
      <trackRevisions>false</trackRevisions>
    </reviewItem>
    <reviewItem>
      <errorID>757116d9-7346-4451-9c5c-7462e860b4c3</errorID>
      <errorWord>[2020]688号</errorWord>
      <group>L1_Knowledge</group>
      <groupName>知识性问题</groupName>
      <ability>L2_Knowledge</ability>
      <abilityName>其他知识</abilityName>
      <candidateList>
        <item>〔2020〕688号</item>
      </candidateList>
      <explain>发文字号格式错误。</explain>
      <paraID>3C870AB5</paraID>
      <start>42</start>
      <end>52</end>
      <status>unmodified</status>
      <modifiedWord/>
      <trackRevisions>false</trackRevisions>
    </reviewItem>
    <reviewItem>
      <errorID>9e1d3940-8d02-4150-9f42-3f1c87deeaa5</errorID>
      <errorWord>【2017】4号</errorWord>
      <group>L1_Knowledge</group>
      <groupName>知识性问题</groupName>
      <ability>L2_Knowledge</ability>
      <abilityName>其他知识</abilityName>
      <candidateList>
        <item>〔2017〕4号</item>
      </candidateList>
      <explain>发文字号格式错误。</explain>
      <paraID>3C870AB5</paraID>
      <start>102</start>
      <end>110</end>
      <status>unmodified</status>
      <modifiedWord/>
      <trackRevisions>false</trackRevisions>
    </reviewItem>
    <reviewItem>
      <errorID>ef694f32-7e7a-45fa-b1e4-2cd7457112f2</errorID>
      <errorWord>~</errorWord>
      <group>L1_Format</group>
      <groupName>格式问题</groupName>
      <ability>L2_HalfPunc</ability>
      <abilityName>全半角检查</abilityName>
      <candidateList>
        <item>～</item>
      </candidateList>
      <explain>文本全半角错误。</explain>
      <paraID>12287FB2</paraID>
      <start>60</start>
      <end>61</end>
      <status>unmodified</status>
      <modifiedWord/>
      <trackRevisions>false</trackRevisions>
    </reviewItem>
    <reviewItem>
      <errorID>71e04ff7-05fb-4bba-ae05-fe930293b8b0</errorID>
      <errorWord>~</errorWord>
      <group>L1_Format</group>
      <groupName>格式问题</groupName>
      <ability>L2_HalfPunc</ability>
      <abilityName>全半角检查</abilityName>
      <candidateList>
        <item>～</item>
      </candidateList>
      <explain>文本全半角错误。</explain>
      <paraID>12287FB2</paraID>
      <start>82</start>
      <end>83</end>
      <status>unmodified</status>
      <modifiedWord/>
      <trackRevisions>false</trackRevisions>
    </reviewItem>
    <reviewItem>
      <errorID>1f6cddd4-bb3b-4149-8085-f0f9d44c1a40</errorID>
      <errorWord>（2017）162号</errorWord>
      <group>L1_Knowledge</group>
      <groupName>知识性问题</groupName>
      <ability>L2_Knowledge</ability>
      <abilityName>其他知识</abilityName>
      <candidateList>
        <item>〔2017〕162号</item>
      </candidateList>
      <explain>发文字号格式错误。</explain>
      <paraID>12287FB2</paraID>
      <start>214</start>
      <end>224</end>
      <status>unmodified</status>
      <modifiedWord/>
      <trackRevisions>false</trackRevisions>
    </reviewItem>
    <reviewItem>
      <errorID>dee46ed4-1945-42c8-ad70-bfbd0e221966</errorID>
      <errorWord>~</errorWord>
      <group>L1_Format</group>
      <groupName>格式问题</groupName>
      <ability>L2_HalfPunc</ability>
      <abilityName>全半角检查</abilityName>
      <candidateList>
        <item>～</item>
      </candidateList>
      <explain>文本全半角错误。</explain>
      <paraID>36B78B88</paraID>
      <start>26</start>
      <end>27</end>
      <status>unmodified</status>
      <modifiedWord/>
      <trackRevisions>false</trackRevisions>
    </reviewItem>
    <reviewItem>
      <errorID>3e4e75ac-eeb3-4cad-863b-516e1662ad45</errorID>
      <errorWord>~</errorWord>
      <group>L1_Format</group>
      <groupName>格式问题</groupName>
      <ability>L2_HalfPunc</ability>
      <abilityName>全半角检查</abilityName>
      <candidateList>
        <item>～</item>
      </candidateList>
      <explain>文本全半角错误。</explain>
      <paraID>36B78B88</paraID>
      <start>48</start>
      <end>49</end>
      <status>unmodified</status>
      <modifiedWord/>
      <trackRevisions>false</trackRevisions>
    </reviewItem>
    <reviewItem>
      <errorID>c82381d1-710c-4f0d-be50-8398bdf26160</errorID>
      <errorWord>~</errorWord>
      <group>L1_Format</group>
      <groupName>格式问题</groupName>
      <ability>L2_HalfPunc</ability>
      <abilityName>全半角检查</abilityName>
      <candidateList>
        <item>～</item>
      </candidateList>
      <explain>文本全半角错误。</explain>
      <paraID>  85C861</paraID>
      <start>34</start>
      <end>35</end>
      <status>unmodified</status>
      <modifiedWord/>
      <trackRevisions>false</trackRevisions>
    </reviewItem>
    <reviewItem>
      <errorID>8682fb5e-074d-4e91-a7bc-605c36ccf615</errorID>
      <errorWord>-</errorWord>
      <group>L1_Format</group>
      <groupName>格式问题</groupName>
      <ability>L2_HalfPunc</ability>
      <abilityName>全半角检查</abilityName>
      <candidateList>
        <item>－</item>
      </candidateList>
      <explain>文本全半角错误。</explain>
      <paraID>  85C861</paraID>
      <start>124</start>
      <end>125</end>
      <status>unmodified</status>
      <modifiedWord/>
      <trackRevisions>false</trackRevisions>
    </reviewItem>
    <reviewItem>
      <errorID>b21019c7-18d7-4f3b-a305-6a9a9a8b5873</errorID>
      <errorWord>限制</errorWord>
      <group>L1_Word</group>
      <groupName>字词问题</groupName>
      <ability>L2_Typo</ability>
      <abilityName>字词错误</abilityName>
      <candidateList>
        <item>限值</item>
      </candidateList>
      <explain/>
      <paraID>  85C861</paraID>
      <start>153</start>
      <end>155</end>
      <status>modified</status>
      <modifiedWord>限值</modifiedWord>
      <trackRevisions>false</trackRevisions>
    </reviewItem>
    <reviewItem>
      <errorID>a7c9b7f9-bd4f-4ac0-9d6e-cf308ced5490</errorID>
      <errorWord>[2017]162号</errorWord>
      <group>L1_Knowledge</group>
      <groupName>知识性问题</groupName>
      <ability>L2_Knowledge</ability>
      <abilityName>其他知识</abilityName>
      <candidateList>
        <item>〔2017〕162号</item>
      </candidateList>
      <explain>发文字号格式错误。</explain>
      <paraID>  85C861</paraID>
      <start>203</start>
      <end>213</end>
      <status>unmodified</status>
      <modifiedWord/>
      <trackRevisions>false</trackRevisions>
    </reviewItem>
    <reviewItem>
      <errorID>85f40331-2735-4ac2-bba2-0199fa936004</errorID>
      <errorWord>~</errorWord>
      <group>L1_Format</group>
      <groupName>格式问题</groupName>
      <ability>L2_HalfPunc</ability>
      <abilityName>全半角检查</abilityName>
      <candidateList>
        <item>～</item>
      </candidateList>
      <explain>文本全半角错误。</explain>
      <paraID>  85C861</paraID>
      <start>259</start>
      <end>260</end>
      <status>unmodified</status>
      <modifiedWord/>
      <trackRevisions>false</trackRevisions>
    </reviewItem>
    <reviewItem>
      <errorID>078052ae-1cd9-485e-b7e1-d02b39add8b4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773DD7C5</paraID>
      <start>0</start>
      <end>2</end>
      <status>unmodified</status>
      <modifiedWord/>
      <trackRevisions>false</trackRevisions>
    </reviewItem>
    <reviewItem>
      <errorID>b241c353-5962-4896-85c1-37fc87685ea8</errorID>
      <errorWord>[2022]14号</errorWord>
      <group>L1_Knowledge</group>
      <groupName>知识性问题</groupName>
      <ability>L2_Knowledge</ability>
      <abilityName>其他知识</abilityName>
      <candidateList>
        <item>〔2022〕14号</item>
      </candidateList>
      <explain>发文字号格式错误。</explain>
      <paraID>2BC4FF09</paraID>
      <start>3</start>
      <end>12</end>
      <status>unmodified</status>
      <modifiedWord/>
      <trackRevisions>false</trackRevisions>
    </reviewItem>
    <reviewItem>
      <errorID>a3bd5866-f5e4-439b-a930-c22261cc5fab</errorID>
      <errorWord>87~89%</errorWord>
      <group>L1_Knowledge</group>
      <groupName>知识性问题</groupName>
      <ability>L2_Knowledge</ability>
      <abilityName>其他知识</abilityName>
      <candidateList>
        <item>87%～89%</item>
      </candidateList>
      <explain>1. “87~89%”中的单位“%”仅出现在后一个数字上，容易引起歧义；根据《现代汉语标点符号数字用法规范手册》，数字表示范围两边需要使用统一的格式。2. 根据标点国标 4.13 中的规则，数字、时间或地域连接符应使用（视觉上更长的）“—”或“～”。</explain>
      <paraID>277601A1</paraID>
      <start>0</start>
      <end>6</end>
      <status>unmodified</status>
      <modifiedWord/>
      <trackRevisions>false</trackRevisions>
    </reviewItem>
    <reviewItem>
      <errorID>95381fde-87b8-465e-a1b4-aea761ee3868</errorID>
      <errorWord>社会统一信用代码（</errorWord>
      <group>L1_Word</group>
      <groupName>字词问题</groupName>
      <ability>L2_Typo</ability>
      <abilityName>字词错误</abilityName>
      <candidateList>
        <item>统一社会信用代码（</item>
      </candidateList>
      <explain/>
      <paraID>2349D432</paraID>
      <start>4</start>
      <end>13</end>
      <status>unmodified</status>
      <modifiedWord/>
      <trackRevisions>false</trackRevisions>
    </reviewItem>
    <reviewItem>
      <errorID>dfe39b97-70d9-4509-99af-070549d7e33a</errorID>
      <errorWord>(</errorWord>
      <group>L1_Format</group>
      <groupName>格式问题</groupName>
      <ability>L2_HalfPunc</ability>
      <abilityName>全半角检查</abilityName>
      <candidateList>
        <item>（</item>
      </candidateList>
      <explain>文本全半角错误。</explain>
      <paraID>475334A6</paraID>
      <start>2</start>
      <end>3</end>
      <status>unmodified</status>
      <modifiedWord/>
      <trackRevisions>false</trackRevisions>
    </reviewItem>
    <reviewItem>
      <errorID>1126a14f-1264-4b88-8410-856021053436</errorID>
      <errorWord>)</errorWord>
      <group>L1_Format</group>
      <groupName>格式问题</groupName>
      <ability>L2_HalfPunc</ability>
      <abilityName>全半角检查</abilityName>
      <candidateList>
        <item>）</item>
      </candidateList>
      <explain>文本全半角错误。</explain>
      <paraID>475334A6</paraID>
      <start>4</start>
      <end>5</end>
      <status>unmodified</status>
      <modifiedWord/>
      <trackRevisions>false</trackRevisions>
    </reviewItem>
    <reviewItem>
      <errorID>21eada9f-a34e-4b6e-94e3-62e28aa37846</errorID>
      <errorWord>(</errorWord>
      <group>L1_Format</group>
      <groupName>格式问题</groupName>
      <ability>L2_HalfPunc</ability>
      <abilityName>全半角检查</abilityName>
      <candidateList>
        <item>（</item>
      </candidateList>
      <explain>文本全半角错误。</explain>
      <paraID>5E179AB2</paraID>
      <start>10</start>
      <end>11</end>
      <status>unmodified</status>
      <modifiedWord/>
      <trackRevisions>false</trackRevisions>
    </reviewItem>
    <reviewItem>
      <errorID>59fe27b5-a45f-453a-94ff-7b6867bc4860</errorID>
      <errorWord>)</errorWord>
      <group>L1_Format</group>
      <groupName>格式问题</groupName>
      <ability>L2_HalfPunc</ability>
      <abilityName>全半角检查</abilityName>
      <candidateList>
        <item>）</item>
      </candidateList>
      <explain>文本全半角错误。</explain>
      <paraID>5E179AB2</paraID>
      <start>12</start>
      <end>13</end>
      <status>unmodified</status>
      <modifiedWord/>
      <trackRevisions>false</trackRevisions>
    </reviewItem>
    <reviewItem>
      <errorID>7ef40688-7028-4136-b000-2d33e9d9882f</errorID>
      <errorWord>(</errorWord>
      <group>L1_Format</group>
      <groupName>格式问题</groupName>
      <ability>L2_HalfPunc</ability>
      <abilityName>全半角检查</abilityName>
      <candidateList>
        <item>（</item>
      </candidateList>
      <explain>文本全半角错误。</explain>
      <paraID>4A968910</paraID>
      <start>10</start>
      <end>11</end>
      <status>unmodified</status>
      <modifiedWord/>
      <trackRevisions>false</trackRevisions>
    </reviewItem>
    <reviewItem>
      <errorID>26e5b5d2-493a-4ec7-bde8-54dacb2c2982</errorID>
      <errorWord>)</errorWord>
      <group>L1_Format</group>
      <groupName>格式问题</groupName>
      <ability>L2_HalfPunc</ability>
      <abilityName>全半角检查</abilityName>
      <candidateList>
        <item>）</item>
      </candidateList>
      <explain>文本全半角错误。</explain>
      <paraID>4A968910</paraID>
      <start>12</start>
      <end>13</end>
      <status>unmodified</status>
      <modifiedWord/>
      <trackRevisions>false</trackRevisions>
    </reviewItem>
    <reviewItem>
      <errorID>75a47610-a145-4234-b5e1-4ecc0031e2e1</errorID>
      <errorWord>(</errorWord>
      <group>L1_Format</group>
      <groupName>格式问题</groupName>
      <ability>L2_HalfPunc</ability>
      <abilityName>全半角检查</abilityName>
      <candidateList>
        <item>（</item>
      </candidateList>
      <explain>文本全半角错误。</explain>
      <paraID> C1501F5</paraID>
      <start>7</start>
      <end>8</end>
      <status>unmodified</status>
      <modifiedWord/>
      <trackRevisions>false</trackRevisions>
    </reviewItem>
    <reviewItem>
      <errorID>49e08efa-6f45-4cbc-a053-40f1fa9063fc</errorID>
      <errorWord>)</errorWord>
      <group>L1_Format</group>
      <groupName>格式问题</groupName>
      <ability>L2_HalfPunc</ability>
      <abilityName>全半角检查</abilityName>
      <candidateList>
        <item>）</item>
      </candidateList>
      <explain>文本全半角错误。</explain>
      <paraID> C1501F5</paraID>
      <start>9</start>
      <end>10</end>
      <status>unmodified</status>
      <modifiedWord/>
      <trackRevisions>false</trackRevisions>
    </reviewItem>
    <reviewItem>
      <errorID>3f41034c-7a1c-4ac1-9977-dbf8452ebd7d</errorID>
      <errorWord>(</errorWord>
      <group>L1_Format</group>
      <groupName>格式问题</groupName>
      <ability>L2_HalfPunc</ability>
      <abilityName>全半角检查</abilityName>
      <candidateList>
        <item>（</item>
      </candidateList>
      <explain>文本全半角错误。</explain>
      <paraID>1CF8D0FF</paraID>
      <start>9</start>
      <end>10</end>
      <status>unmodified</status>
      <modifiedWord/>
      <trackRevisions>false</trackRevisions>
    </reviewItem>
    <reviewItem>
      <errorID>bb7626ed-ba81-4b52-9db4-aaaa331a3176</errorID>
      <errorWord>)</errorWord>
      <group>L1_Format</group>
      <groupName>格式问题</groupName>
      <ability>L2_HalfPunc</ability>
      <abilityName>全半角检查</abilityName>
      <candidateList>
        <item>）</item>
      </candidateList>
      <explain>文本全半角错误。</explain>
      <paraID>1CF8D0FF</paraID>
      <start>11</start>
      <end>12</end>
      <status>unmodified</status>
      <modifiedWord/>
      <trackRevisions>false</trackRevisions>
    </reviewItem>
    <reviewItem>
      <errorID>634b8e8d-f008-4990-91ad-08adc97e4116</errorID>
      <errorWord>(</errorWord>
      <group>L1_Format</group>
      <groupName>格式问题</groupName>
      <ability>L2_HalfPunc</ability>
      <abilityName>全半角检查</abilityName>
      <candidateList>
        <item>（</item>
      </candidateList>
      <explain>文本全半角错误。</explain>
      <paraID>10769AEF</paraID>
      <start>9</start>
      <end>10</end>
      <status>unmodified</status>
      <modifiedWord/>
      <trackRevisions>false</trackRevisions>
    </reviewItem>
    <reviewItem>
      <errorID>8e94fd10-0802-48d1-be60-33d0ba436dc9</errorID>
      <errorWord>)</errorWord>
      <group>L1_Format</group>
      <groupName>格式问题</groupName>
      <ability>L2_HalfPunc</ability>
      <abilityName>全半角检查</abilityName>
      <candidateList>
        <item>）</item>
      </candidateList>
      <explain>文本全半角错误。</explain>
      <paraID>10769AEF</paraID>
      <start>11</start>
      <end>12</end>
      <status>unmodified</status>
      <modifiedWord/>
      <trackRevisions>false</trackRevisions>
    </reviewItem>
    <reviewItem>
      <errorID>3d5ad097-402d-4a64-936b-8768a3956668</errorID>
      <errorWord>(</errorWord>
      <group>L1_Format</group>
      <groupName>格式问题</groupName>
      <ability>L2_HalfPunc</ability>
      <abilityName>全半角检查</abilityName>
      <candidateList>
        <item>（</item>
      </candidateList>
      <explain>文本全半角错误。</explain>
      <paraID>31228390</paraID>
      <start>10</start>
      <end>11</end>
      <status>unmodified</status>
      <modifiedWord/>
      <trackRevisions>false</trackRevisions>
    </reviewItem>
    <reviewItem>
      <errorID>ae2cecf5-2fdd-4f2a-8173-5b0d6513eb9d</errorID>
      <errorWord>)</errorWord>
      <group>L1_Format</group>
      <groupName>格式问题</groupName>
      <ability>L2_HalfPunc</ability>
      <abilityName>全半角检查</abilityName>
      <candidateList>
        <item>）</item>
      </candidateList>
      <explain>文本全半角错误。</explain>
      <paraID>31228390</paraID>
      <start>12</start>
      <end>13</end>
      <status>unmodified</status>
      <modifiedWord/>
      <trackRevisions>false</trackRevisions>
    </reviewItem>
    <reviewItem>
      <errorID>996dbaf2-e5c9-4ae4-b843-e1a1dee809c3</errorID>
      <errorWord>(</errorWord>
      <group>L1_Format</group>
      <groupName>格式问题</groupName>
      <ability>L2_HalfPunc</ability>
      <abilityName>全半角检查</abilityName>
      <candidateList>
        <item>（</item>
      </candidateList>
      <explain>文本全半角错误。</explain>
      <paraID>141E02C2</paraID>
      <start>13</start>
      <end>14</end>
      <status>unmodified</status>
      <modifiedWord/>
      <trackRevisions>false</trackRevisions>
    </reviewItem>
    <reviewItem>
      <errorID>6d925c70-956b-4ba3-9aae-ef6918195f27</errorID>
      <errorWord>)</errorWord>
      <group>L1_Format</group>
      <groupName>格式问题</groupName>
      <ability>L2_HalfPunc</ability>
      <abilityName>全半角检查</abilityName>
      <candidateList>
        <item>）</item>
      </candidateList>
      <explain>文本全半角错误。</explain>
      <paraID>141E02C2</paraID>
      <start>15</start>
      <end>16</end>
      <status>unmodified</status>
      <modifiedWord/>
      <trackRevisions>false</trackRevisions>
    </reviewItem>
    <reviewItem>
      <errorID>55a6d64b-0a79-4d40-b8eb-7d8f3e3d6ab2</errorID>
      <errorWord>(</errorWord>
      <group>L1_Format</group>
      <groupName>格式问题</groupName>
      <ability>L2_HalfPunc</ability>
      <abilityName>全半角检查</abilityName>
      <candidateList>
        <item>（</item>
      </candidateList>
      <explain>文本全半角错误。</explain>
      <paraID>5E5C7EFA</paraID>
      <start>8</start>
      <end>9</end>
      <status>unmodified</status>
      <modifiedWord/>
      <trackRevisions>false</trackRevisions>
    </reviewItem>
    <reviewItem>
      <errorID>699fe92c-740a-440e-ab30-a23fc87c9154</errorID>
      <errorWord>)</errorWord>
      <group>L1_Format</group>
      <groupName>格式问题</groupName>
      <ability>L2_HalfPunc</ability>
      <abilityName>全半角检查</abilityName>
      <candidateList>
        <item>）</item>
      </candidateList>
      <explain>文本全半角错误。</explain>
      <paraID>5E5C7EFA</paraID>
      <start>10</start>
      <end>11</end>
      <status>unmodified</status>
      <modifiedWord/>
      <trackRevisions>false</trackRevisions>
    </reviewItem>
    <reviewItem>
      <errorID>839e1e7f-bf8e-498d-b8e7-fac897ee1a1b</errorID>
      <errorWord>(</errorWord>
      <group>L1_Format</group>
      <groupName>格式问题</groupName>
      <ability>L2_HalfPunc</ability>
      <abilityName>全半角检查</abilityName>
      <candidateList>
        <item>（</item>
      </candidateList>
      <explain>文本全半角错误。</explain>
      <paraID>1D8026FF</paraID>
      <start>8</start>
      <end>9</end>
      <status>unmodified</status>
      <modifiedWord/>
      <trackRevisions>false</trackRevisions>
    </reviewItem>
    <reviewItem>
      <errorID>c361dcdb-7062-45d4-86f2-16a3c4eecee2</errorID>
      <errorWord>)</errorWord>
      <group>L1_Format</group>
      <groupName>格式问题</groupName>
      <ability>L2_HalfPunc</ability>
      <abilityName>全半角检查</abilityName>
      <candidateList>
        <item>）</item>
      </candidateList>
      <explain>文本全半角错误。</explain>
      <paraID>1D8026FF</paraID>
      <start>11</start>
      <end>12</end>
      <status>unmodified</status>
      <modifiedWord/>
      <trackRevisions>false</trackRevisions>
    </reviewItem>
    <reviewItem>
      <errorID>d5a03ac3-048c-4efa-b709-23c8bb182fd5</errorID>
      <errorWord>(</errorWord>
      <group>L1_Format</group>
      <groupName>格式问题</groupName>
      <ability>L2_HalfPunc</ability>
      <abilityName>全半角检查</abilityName>
      <candidateList>
        <item>（</item>
      </candidateList>
      <explain>文本全半角错误。</explain>
      <paraID>5864C6DF</paraID>
      <start>9</start>
      <end>10</end>
      <status>unmodified</status>
      <modifiedWord/>
      <trackRevisions>false</trackRevisions>
    </reviewItem>
    <reviewItem>
      <errorID>d24d24e0-613f-4485-b291-c9eb5c0f4c2a</errorID>
      <errorWord>)</errorWord>
      <group>L1_Format</group>
      <groupName>格式问题</groupName>
      <ability>L2_HalfPunc</ability>
      <abilityName>全半角检查</abilityName>
      <candidateList>
        <item>）</item>
      </candidateList>
      <explain>文本全半角错误。</explain>
      <paraID>5864C6DF</paraID>
      <start>12</start>
      <end>13</end>
      <status>unmodified</status>
      <modifiedWord/>
      <trackRevisions>false</trackRevisions>
    </reviewItem>
    <reviewItem>
      <errorID>cc771ef2-181a-497a-9476-b416f2a19e86</errorID>
      <errorWord>(</errorWord>
      <group>L1_Format</group>
      <groupName>格式问题</groupName>
      <ability>L2_HalfPunc</ability>
      <abilityName>全半角检查</abilityName>
      <candidateList>
        <item>（</item>
      </candidateList>
      <explain>文本全半角错误。</explain>
      <paraID>2D2E48BB</paraID>
      <start>5</start>
      <end>6</end>
      <status>unmodified</status>
      <modifiedWord/>
      <trackRevisions>false</trackRevisions>
    </reviewItem>
    <reviewItem>
      <errorID>9fe566ce-7d90-43b8-8eb8-a719af52591a</errorID>
      <errorWord>)</errorWord>
      <group>L1_Format</group>
      <groupName>格式问题</groupName>
      <ability>L2_HalfPunc</ability>
      <abilityName>全半角检查</abilityName>
      <candidateList>
        <item>）</item>
      </candidateList>
      <explain>文本全半角错误。</explain>
      <paraID>2D2E48BB</paraID>
      <start>8</start>
      <end>9</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0FE708-3551-43E1-841F-046B657DDB72}">
  <ds:schemaRefs/>
</ds:datastoreItem>
</file>

<file path=customXml/itemProps3.xml><?xml version="1.0" encoding="utf-8"?>
<ds:datastoreItem xmlns:ds="http://schemas.openxmlformats.org/officeDocument/2006/customXml" ds:itemID="{fbb5ce17-d32b-428d-9f87-798e530b1db4}">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36</Pages>
  <Words>2108</Words>
  <Characters>2634</Characters>
  <Lines>177</Lines>
  <Paragraphs>49</Paragraphs>
  <TotalTime>199</TotalTime>
  <ScaleCrop>false</ScaleCrop>
  <LinksUpToDate>false</LinksUpToDate>
  <CharactersWithSpaces>2721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2023-12-14T11:00:00Z</dcterms:created>
  <dc:creator>Administrator</dc:creator>
  <cp:lastModifiedBy>任烁光</cp:lastModifiedBy>
  <cp:lastPrinted>2023-01-04T09:37:00Z</cp:lastPrinted>
  <dcterms:modified xsi:type="dcterms:W3CDTF">2026-07-10T08:29:01Z</dcterms:modified>
  <dc:title>新乡市亚航电源电子科技有限公司</dc:title>
  <cp:revision>144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eyJoZGlkIjoiNTE3ZjQxZTUyMDZiOWI5MmFmODk3NGI1ZmFjN2U4MmMiLCJ1c2VySWQiOiIxNDc1MjU0NTEwIn0=</vt:lpwstr>
  </property>
  <property fmtid="{D5CDD505-2E9C-101B-9397-08002B2CF9AE}" pid="4" name="ICV">
    <vt:lpwstr>5B2185555FE24484A0B3DEE555B9DAD6_12</vt:lpwstr>
  </property>
</Properties>
</file>