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660DAD">
      <w:pPr>
        <w:jc w:val="left"/>
        <w:rPr>
          <w:rFonts w:cs="Times New Roman"/>
          <w:b/>
          <w:bCs/>
          <w:sz w:val="36"/>
          <w:szCs w:val="36"/>
          <w:highlight w:val="none"/>
        </w:rPr>
      </w:pPr>
    </w:p>
    <w:p w14:paraId="3D9D1F5C">
      <w:pPr>
        <w:spacing w:line="600" w:lineRule="auto"/>
        <w:ind w:firstLine="723"/>
        <w:rPr>
          <w:rFonts w:cs="Times New Roman"/>
          <w:b/>
          <w:bCs/>
          <w:sz w:val="36"/>
          <w:szCs w:val="36"/>
          <w:highlight w:val="none"/>
        </w:rPr>
      </w:pPr>
    </w:p>
    <w:p w14:paraId="54F51CFA">
      <w:pPr>
        <w:widowControl/>
        <w:adjustRightInd w:val="0"/>
        <w:snapToGrid w:val="0"/>
        <w:spacing w:after="200"/>
        <w:jc w:val="center"/>
        <w:rPr>
          <w:rFonts w:eastAsia="华文新魏" w:cs="Times New Roman"/>
          <w:b/>
          <w:kern w:val="0"/>
          <w:sz w:val="44"/>
          <w:szCs w:val="44"/>
          <w:highlight w:val="none"/>
        </w:rPr>
      </w:pPr>
      <w:r>
        <w:rPr>
          <w:rFonts w:eastAsia="华文新魏" w:cs="Times New Roman"/>
          <w:b/>
          <w:kern w:val="0"/>
          <w:sz w:val="44"/>
          <w:szCs w:val="44"/>
          <w:highlight w:val="none"/>
        </w:rPr>
        <w:t>河南省恒明新能源有限公司</w:t>
      </w:r>
    </w:p>
    <w:p w14:paraId="0D636410">
      <w:pPr>
        <w:widowControl/>
        <w:adjustRightInd w:val="0"/>
        <w:snapToGrid w:val="0"/>
        <w:spacing w:after="200"/>
        <w:jc w:val="center"/>
        <w:rPr>
          <w:rFonts w:hint="eastAsia" w:eastAsia="华文新魏" w:cs="Times New Roman"/>
          <w:b/>
          <w:kern w:val="0"/>
          <w:sz w:val="44"/>
          <w:szCs w:val="44"/>
          <w:highlight w:val="none"/>
          <w:lang w:eastAsia="zh-CN"/>
        </w:rPr>
      </w:pPr>
      <w:r>
        <w:rPr>
          <w:rFonts w:eastAsia="华文新魏" w:cs="Times New Roman"/>
          <w:b/>
          <w:kern w:val="0"/>
          <w:sz w:val="44"/>
          <w:szCs w:val="44"/>
          <w:highlight w:val="none"/>
        </w:rPr>
        <w:t>年产3000万安时镍氢动力电池项目</w:t>
      </w:r>
      <w:r>
        <w:rPr>
          <w:rFonts w:hint="eastAsia" w:eastAsia="华文新魏" w:cs="Times New Roman"/>
          <w:b/>
          <w:kern w:val="0"/>
          <w:sz w:val="44"/>
          <w:szCs w:val="44"/>
          <w:highlight w:val="none"/>
          <w:lang w:eastAsia="zh-CN"/>
        </w:rPr>
        <w:t>（</w:t>
      </w:r>
      <w:r>
        <w:rPr>
          <w:rFonts w:hint="eastAsia" w:eastAsia="华文新魏" w:cs="Times New Roman"/>
          <w:b/>
          <w:kern w:val="0"/>
          <w:sz w:val="44"/>
          <w:szCs w:val="44"/>
          <w:highlight w:val="none"/>
          <w:lang w:val="en-US" w:eastAsia="zh-CN"/>
        </w:rPr>
        <w:t>二期</w:t>
      </w:r>
      <w:r>
        <w:rPr>
          <w:rFonts w:hint="eastAsia" w:eastAsia="华文新魏" w:cs="Times New Roman"/>
          <w:b/>
          <w:kern w:val="0"/>
          <w:sz w:val="44"/>
          <w:szCs w:val="44"/>
          <w:highlight w:val="none"/>
          <w:lang w:eastAsia="zh-CN"/>
        </w:rPr>
        <w:t>）</w:t>
      </w:r>
    </w:p>
    <w:p w14:paraId="26E04A21">
      <w:pPr>
        <w:widowControl/>
        <w:adjustRightInd w:val="0"/>
        <w:snapToGrid w:val="0"/>
        <w:spacing w:after="200"/>
        <w:jc w:val="center"/>
        <w:rPr>
          <w:rFonts w:eastAsia="华文新魏" w:cs="Times New Roman"/>
          <w:b/>
          <w:kern w:val="0"/>
          <w:sz w:val="44"/>
          <w:szCs w:val="44"/>
          <w:highlight w:val="none"/>
        </w:rPr>
      </w:pPr>
      <w:r>
        <w:rPr>
          <w:rFonts w:eastAsia="华文新魏" w:cs="Times New Roman"/>
          <w:b/>
          <w:kern w:val="0"/>
          <w:sz w:val="44"/>
          <w:szCs w:val="44"/>
          <w:highlight w:val="none"/>
        </w:rPr>
        <w:t>竣工环境保护验收监测报告</w:t>
      </w:r>
    </w:p>
    <w:p w14:paraId="3817E463">
      <w:pPr>
        <w:spacing w:line="600" w:lineRule="auto"/>
        <w:ind w:firstLine="560"/>
        <w:jc w:val="center"/>
        <w:rPr>
          <w:rFonts w:cs="Times New Roman"/>
          <w:sz w:val="28"/>
          <w:szCs w:val="28"/>
          <w:highlight w:val="none"/>
        </w:rPr>
      </w:pPr>
    </w:p>
    <w:p w14:paraId="20FFA199">
      <w:pPr>
        <w:spacing w:line="600" w:lineRule="auto"/>
        <w:ind w:firstLine="723"/>
        <w:jc w:val="center"/>
        <w:rPr>
          <w:rFonts w:cs="Times New Roman"/>
          <w:b/>
          <w:bCs/>
          <w:sz w:val="36"/>
          <w:szCs w:val="36"/>
          <w:highlight w:val="none"/>
        </w:rPr>
      </w:pPr>
    </w:p>
    <w:p w14:paraId="3666C5F9">
      <w:pPr>
        <w:spacing w:line="600" w:lineRule="auto"/>
        <w:ind w:firstLine="723"/>
        <w:jc w:val="center"/>
        <w:rPr>
          <w:rFonts w:cs="Times New Roman"/>
          <w:b/>
          <w:bCs/>
          <w:sz w:val="36"/>
          <w:szCs w:val="36"/>
          <w:highlight w:val="none"/>
        </w:rPr>
      </w:pPr>
    </w:p>
    <w:p w14:paraId="078D6E4F">
      <w:pPr>
        <w:spacing w:line="600" w:lineRule="auto"/>
        <w:ind w:firstLine="723"/>
        <w:jc w:val="center"/>
        <w:rPr>
          <w:rFonts w:cs="Times New Roman"/>
          <w:b/>
          <w:bCs/>
          <w:sz w:val="36"/>
          <w:szCs w:val="36"/>
          <w:highlight w:val="none"/>
        </w:rPr>
      </w:pPr>
    </w:p>
    <w:p w14:paraId="33BAA242">
      <w:pPr>
        <w:spacing w:line="600" w:lineRule="auto"/>
        <w:ind w:firstLine="723"/>
        <w:jc w:val="center"/>
        <w:rPr>
          <w:rFonts w:cs="Times New Roman"/>
          <w:b/>
          <w:bCs/>
          <w:sz w:val="36"/>
          <w:szCs w:val="36"/>
          <w:highlight w:val="none"/>
        </w:rPr>
      </w:pPr>
    </w:p>
    <w:p w14:paraId="4CFEF890">
      <w:pPr>
        <w:spacing w:line="600" w:lineRule="auto"/>
        <w:ind w:firstLine="723"/>
        <w:jc w:val="center"/>
        <w:rPr>
          <w:rFonts w:cs="Times New Roman"/>
          <w:b/>
          <w:bCs/>
          <w:sz w:val="36"/>
          <w:szCs w:val="36"/>
          <w:highlight w:val="none"/>
        </w:rPr>
      </w:pPr>
    </w:p>
    <w:p w14:paraId="64E8EDC4">
      <w:pPr>
        <w:spacing w:line="600" w:lineRule="auto"/>
        <w:ind w:firstLine="723"/>
        <w:jc w:val="center"/>
        <w:rPr>
          <w:rFonts w:cs="Times New Roman"/>
          <w:b/>
          <w:bCs/>
          <w:sz w:val="36"/>
          <w:szCs w:val="36"/>
          <w:highlight w:val="none"/>
        </w:rPr>
      </w:pPr>
    </w:p>
    <w:p w14:paraId="169D9B4F">
      <w:pPr>
        <w:spacing w:line="600" w:lineRule="auto"/>
        <w:ind w:firstLine="723"/>
        <w:jc w:val="center"/>
        <w:rPr>
          <w:rFonts w:cs="Times New Roman"/>
          <w:b/>
          <w:bCs/>
          <w:sz w:val="36"/>
          <w:szCs w:val="36"/>
          <w:highlight w:val="none"/>
        </w:rPr>
      </w:pPr>
    </w:p>
    <w:p w14:paraId="67724C34">
      <w:pPr>
        <w:spacing w:line="600" w:lineRule="auto"/>
        <w:ind w:firstLine="723"/>
        <w:jc w:val="center"/>
        <w:rPr>
          <w:rFonts w:cs="Times New Roman"/>
          <w:b/>
          <w:bCs/>
          <w:sz w:val="36"/>
          <w:szCs w:val="36"/>
          <w:highlight w:val="none"/>
        </w:rPr>
      </w:pPr>
    </w:p>
    <w:p w14:paraId="1B518B92">
      <w:pPr>
        <w:spacing w:line="600" w:lineRule="auto"/>
        <w:ind w:firstLine="723"/>
        <w:jc w:val="center"/>
        <w:rPr>
          <w:rFonts w:cs="Times New Roman"/>
          <w:b/>
          <w:bCs/>
          <w:sz w:val="36"/>
          <w:szCs w:val="36"/>
          <w:highlight w:val="none"/>
        </w:rPr>
      </w:pPr>
    </w:p>
    <w:p w14:paraId="210BC196">
      <w:pPr>
        <w:widowControl/>
        <w:adjustRightInd w:val="0"/>
        <w:snapToGrid w:val="0"/>
        <w:spacing w:after="200"/>
        <w:jc w:val="center"/>
        <w:rPr>
          <w:rFonts w:eastAsia="华文新魏" w:cs="Times New Roman"/>
          <w:kern w:val="0"/>
          <w:sz w:val="28"/>
          <w:szCs w:val="28"/>
          <w:highlight w:val="none"/>
        </w:rPr>
      </w:pPr>
      <w:r>
        <w:rPr>
          <w:rFonts w:eastAsia="华文新魏" w:cs="Times New Roman"/>
          <w:kern w:val="0"/>
          <w:sz w:val="28"/>
          <w:szCs w:val="28"/>
          <w:highlight w:val="none"/>
        </w:rPr>
        <w:t xml:space="preserve">建设单位：    河南省恒明新能源有限公司      </w:t>
      </w:r>
    </w:p>
    <w:p w14:paraId="5024870E">
      <w:pPr>
        <w:widowControl/>
        <w:adjustRightInd w:val="0"/>
        <w:snapToGrid w:val="0"/>
        <w:spacing w:after="200"/>
        <w:jc w:val="center"/>
        <w:rPr>
          <w:rFonts w:eastAsia="仿宋" w:cs="Times New Roman"/>
          <w:sz w:val="28"/>
          <w:szCs w:val="28"/>
          <w:highlight w:val="none"/>
          <w:u w:val="single"/>
        </w:rPr>
      </w:pPr>
      <w:r>
        <w:rPr>
          <w:rFonts w:eastAsia="华文新魏" w:cs="Times New Roman"/>
          <w:kern w:val="0"/>
          <w:sz w:val="28"/>
          <w:szCs w:val="28"/>
          <w:highlight w:val="none"/>
        </w:rPr>
        <w:t xml:space="preserve">编制单位：    河南省恒明新能源有限公司     </w:t>
      </w:r>
      <w:r>
        <w:rPr>
          <w:rFonts w:eastAsia="仿宋" w:cs="Times New Roman"/>
          <w:sz w:val="28"/>
          <w:szCs w:val="28"/>
          <w:highlight w:val="none"/>
        </w:rPr>
        <w:t xml:space="preserve">   </w:t>
      </w:r>
    </w:p>
    <w:p w14:paraId="61CBFB2E">
      <w:pPr>
        <w:spacing w:line="600" w:lineRule="auto"/>
        <w:jc w:val="center"/>
        <w:rPr>
          <w:rFonts w:eastAsia="华文新魏" w:cs="Times New Roman"/>
          <w:kern w:val="0"/>
          <w:sz w:val="28"/>
          <w:szCs w:val="28"/>
          <w:highlight w:val="none"/>
        </w:rPr>
      </w:pPr>
      <w:r>
        <w:rPr>
          <w:rFonts w:hint="eastAsia" w:eastAsia="华文新魏" w:cs="Times New Roman"/>
          <w:kern w:val="0"/>
          <w:sz w:val="28"/>
          <w:szCs w:val="28"/>
          <w:highlight w:val="none"/>
        </w:rPr>
        <w:t>202</w:t>
      </w:r>
      <w:r>
        <w:rPr>
          <w:rFonts w:hint="eastAsia" w:eastAsia="华文新魏" w:cs="Times New Roman"/>
          <w:kern w:val="0"/>
          <w:sz w:val="28"/>
          <w:szCs w:val="28"/>
          <w:highlight w:val="none"/>
          <w:lang w:val="en-US" w:eastAsia="zh-CN"/>
        </w:rPr>
        <w:t>6</w:t>
      </w:r>
      <w:r>
        <w:rPr>
          <w:rFonts w:eastAsia="华文新魏" w:cs="Times New Roman"/>
          <w:kern w:val="0"/>
          <w:sz w:val="28"/>
          <w:szCs w:val="28"/>
          <w:highlight w:val="none"/>
        </w:rPr>
        <w:t>年</w:t>
      </w:r>
      <w:r>
        <w:rPr>
          <w:rFonts w:hint="eastAsia" w:eastAsia="华文新魏" w:cs="Times New Roman"/>
          <w:kern w:val="0"/>
          <w:sz w:val="28"/>
          <w:szCs w:val="28"/>
          <w:highlight w:val="none"/>
          <w:lang w:val="en-US" w:eastAsia="zh-CN"/>
        </w:rPr>
        <w:t>7</w:t>
      </w:r>
      <w:r>
        <w:rPr>
          <w:rFonts w:eastAsia="华文新魏" w:cs="Times New Roman"/>
          <w:kern w:val="0"/>
          <w:sz w:val="28"/>
          <w:szCs w:val="28"/>
          <w:highlight w:val="none"/>
        </w:rPr>
        <w:t>月</w:t>
      </w:r>
    </w:p>
    <w:p w14:paraId="54EBBA8A">
      <w:pPr>
        <w:rPr>
          <w:rFonts w:eastAsia="仿宋_GB2312" w:cs="Times New Roman"/>
          <w:sz w:val="32"/>
          <w:highlight w:val="none"/>
        </w:rPr>
      </w:pPr>
      <w:r>
        <w:rPr>
          <w:rFonts w:eastAsia="仿宋_GB2312" w:cs="Times New Roman"/>
          <w:b/>
          <w:sz w:val="28"/>
          <w:highlight w:val="none"/>
        </w:rPr>
        <w:t>建设单位法人代表:</w:t>
      </w:r>
      <w:r>
        <w:rPr>
          <w:rFonts w:eastAsia="仿宋_GB2312" w:cs="Times New Roman"/>
          <w:sz w:val="28"/>
          <w:highlight w:val="none"/>
        </w:rPr>
        <w:tab/>
      </w:r>
      <w:r>
        <w:rPr>
          <w:rFonts w:eastAsia="仿宋_GB2312" w:cs="Times New Roman"/>
          <w:sz w:val="28"/>
          <w:highlight w:val="none"/>
        </w:rPr>
        <w:t xml:space="preserve">            （签字）</w:t>
      </w:r>
    </w:p>
    <w:p w14:paraId="391DA178">
      <w:pPr>
        <w:spacing w:line="360" w:lineRule="auto"/>
        <w:rPr>
          <w:rFonts w:eastAsia="仿宋_GB2312" w:cs="Times New Roman"/>
          <w:sz w:val="28"/>
          <w:highlight w:val="none"/>
        </w:rPr>
      </w:pPr>
      <w:r>
        <w:rPr>
          <w:rFonts w:eastAsia="仿宋_GB2312" w:cs="Times New Roman"/>
          <w:b/>
          <w:sz w:val="28"/>
          <w:highlight w:val="none"/>
        </w:rPr>
        <w:t>编制单位法人代表:</w:t>
      </w:r>
      <w:r>
        <w:rPr>
          <w:rFonts w:eastAsia="仿宋_GB2312" w:cs="Times New Roman"/>
          <w:sz w:val="28"/>
          <w:highlight w:val="none"/>
        </w:rPr>
        <w:tab/>
      </w:r>
      <w:r>
        <w:rPr>
          <w:rFonts w:eastAsia="仿宋_GB2312" w:cs="Times New Roman"/>
          <w:sz w:val="28"/>
          <w:highlight w:val="none"/>
        </w:rPr>
        <w:t xml:space="preserve">            （签字）</w:t>
      </w:r>
    </w:p>
    <w:p w14:paraId="235B4DAE">
      <w:pPr>
        <w:spacing w:line="360" w:lineRule="auto"/>
        <w:rPr>
          <w:rFonts w:hint="default" w:eastAsia="仿宋_GB2312" w:cs="Times New Roman"/>
          <w:b/>
          <w:spacing w:val="7"/>
          <w:w w:val="79"/>
          <w:sz w:val="28"/>
          <w:highlight w:val="none"/>
          <w:lang w:val="en-US" w:eastAsia="zh-CN"/>
        </w:rPr>
      </w:pPr>
      <w:r>
        <w:rPr>
          <w:rFonts w:eastAsia="仿宋_GB2312" w:cs="Times New Roman"/>
          <w:b/>
          <w:spacing w:val="20"/>
          <w:w w:val="79"/>
          <w:sz w:val="28"/>
          <w:highlight w:val="none"/>
        </w:rPr>
        <w:t>项 目 负 责人</w:t>
      </w:r>
      <w:r>
        <w:rPr>
          <w:rFonts w:eastAsia="仿宋_GB2312" w:cs="Times New Roman"/>
          <w:b/>
          <w:spacing w:val="10"/>
          <w:w w:val="79"/>
          <w:sz w:val="28"/>
          <w:highlight w:val="none"/>
        </w:rPr>
        <w:t xml:space="preserve">:   </w:t>
      </w:r>
      <w:r>
        <w:rPr>
          <w:rFonts w:hint="eastAsia" w:eastAsia="仿宋_GB2312" w:cs="Times New Roman"/>
          <w:b/>
          <w:spacing w:val="10"/>
          <w:w w:val="79"/>
          <w:sz w:val="28"/>
          <w:highlight w:val="none"/>
          <w:lang w:val="en-US" w:eastAsia="zh-CN"/>
        </w:rPr>
        <w:t>仵旭东</w:t>
      </w:r>
    </w:p>
    <w:p w14:paraId="0E71A022">
      <w:pPr>
        <w:spacing w:line="360" w:lineRule="auto"/>
        <w:rPr>
          <w:rFonts w:eastAsia="仿宋_GB2312" w:cs="Times New Roman"/>
          <w:b/>
          <w:spacing w:val="7"/>
          <w:w w:val="79"/>
          <w:sz w:val="28"/>
          <w:highlight w:val="none"/>
        </w:rPr>
      </w:pPr>
      <w:r>
        <w:rPr>
          <w:rFonts w:eastAsia="仿宋_GB2312" w:cs="Times New Roman"/>
          <w:b/>
          <w:spacing w:val="141"/>
          <w:w w:val="79"/>
          <w:sz w:val="28"/>
          <w:highlight w:val="none"/>
        </w:rPr>
        <w:t>填表人</w:t>
      </w:r>
      <w:r>
        <w:rPr>
          <w:rFonts w:eastAsia="仿宋_GB2312" w:cs="Times New Roman"/>
          <w:b/>
          <w:spacing w:val="2"/>
          <w:w w:val="79"/>
          <w:sz w:val="28"/>
          <w:highlight w:val="none"/>
        </w:rPr>
        <w:t xml:space="preserve">：     </w:t>
      </w:r>
      <w:r>
        <w:rPr>
          <w:rFonts w:hint="eastAsia" w:eastAsia="仿宋_GB2312" w:cs="Times New Roman"/>
          <w:b/>
          <w:spacing w:val="10"/>
          <w:w w:val="79"/>
          <w:sz w:val="28"/>
          <w:highlight w:val="none"/>
          <w:lang w:val="en-US" w:eastAsia="zh-CN"/>
        </w:rPr>
        <w:t>仵旭东</w:t>
      </w:r>
    </w:p>
    <w:p w14:paraId="3646CAD2">
      <w:pPr>
        <w:spacing w:line="360" w:lineRule="auto"/>
        <w:rPr>
          <w:rFonts w:eastAsia="仿宋_GB2312" w:cs="Times New Roman"/>
          <w:sz w:val="28"/>
          <w:highlight w:val="none"/>
        </w:rPr>
      </w:pPr>
      <w:r>
        <w:rPr>
          <w:rFonts w:eastAsia="仿宋_GB2312" w:cs="Times New Roman"/>
          <w:sz w:val="28"/>
          <w:highlight w:val="none"/>
        </w:rPr>
        <w:tab/>
      </w:r>
    </w:p>
    <w:p w14:paraId="642BD4C2">
      <w:pPr>
        <w:spacing w:line="360" w:lineRule="auto"/>
        <w:rPr>
          <w:rFonts w:eastAsia="仿宋_GB2312" w:cs="Times New Roman"/>
          <w:sz w:val="28"/>
          <w:highlight w:val="none"/>
        </w:rPr>
      </w:pPr>
    </w:p>
    <w:p w14:paraId="760ED74F">
      <w:pPr>
        <w:spacing w:line="360" w:lineRule="auto"/>
        <w:rPr>
          <w:rFonts w:eastAsia="仿宋_GB2312" w:cs="Times New Roman"/>
          <w:sz w:val="28"/>
          <w:highlight w:val="none"/>
        </w:rPr>
      </w:pPr>
    </w:p>
    <w:p w14:paraId="1A4376D5">
      <w:pPr>
        <w:spacing w:line="360" w:lineRule="auto"/>
        <w:rPr>
          <w:rFonts w:eastAsia="仿宋_GB2312" w:cs="Times New Roman"/>
          <w:sz w:val="28"/>
          <w:highlight w:val="none"/>
        </w:rPr>
      </w:pPr>
    </w:p>
    <w:p w14:paraId="2F1A3022">
      <w:pPr>
        <w:spacing w:line="360" w:lineRule="auto"/>
        <w:rPr>
          <w:rFonts w:eastAsia="仿宋_GB2312" w:cs="Times New Roman"/>
          <w:sz w:val="28"/>
          <w:highlight w:val="none"/>
        </w:rPr>
      </w:pPr>
    </w:p>
    <w:p w14:paraId="27979BA3">
      <w:pPr>
        <w:spacing w:line="360" w:lineRule="auto"/>
        <w:rPr>
          <w:rFonts w:eastAsia="仿宋_GB2312" w:cs="Times New Roman"/>
          <w:sz w:val="28"/>
          <w:highlight w:val="none"/>
        </w:rPr>
      </w:pPr>
    </w:p>
    <w:p w14:paraId="6978A73F">
      <w:pPr>
        <w:tabs>
          <w:tab w:val="left" w:pos="710"/>
        </w:tabs>
        <w:spacing w:line="360" w:lineRule="auto"/>
        <w:rPr>
          <w:rFonts w:eastAsia="仿宋_GB2312" w:cs="Times New Roman"/>
          <w:sz w:val="28"/>
          <w:highlight w:val="none"/>
        </w:rPr>
      </w:pPr>
      <w:r>
        <w:rPr>
          <w:rFonts w:eastAsia="仿宋_GB2312" w:cs="Times New Roman"/>
          <w:sz w:val="28"/>
          <w:highlight w:val="none"/>
        </w:rPr>
        <w:tab/>
      </w:r>
    </w:p>
    <w:p w14:paraId="4B39ABFF">
      <w:pPr>
        <w:tabs>
          <w:tab w:val="left" w:pos="710"/>
        </w:tabs>
        <w:spacing w:line="360" w:lineRule="auto"/>
        <w:rPr>
          <w:rFonts w:eastAsia="仿宋_GB2312" w:cs="Times New Roman"/>
          <w:sz w:val="28"/>
          <w:highlight w:val="none"/>
        </w:rPr>
      </w:pPr>
    </w:p>
    <w:p w14:paraId="42E0AA27">
      <w:pPr>
        <w:tabs>
          <w:tab w:val="left" w:pos="710"/>
        </w:tabs>
        <w:spacing w:line="360" w:lineRule="auto"/>
        <w:rPr>
          <w:rFonts w:eastAsia="仿宋_GB2312" w:cs="Times New Roman"/>
          <w:sz w:val="28"/>
          <w:highlight w:val="none"/>
        </w:rPr>
      </w:pPr>
    </w:p>
    <w:p w14:paraId="62FA3D96">
      <w:pPr>
        <w:spacing w:line="360" w:lineRule="auto"/>
        <w:ind w:right="-317" w:rightChars="-151"/>
        <w:rPr>
          <w:rFonts w:eastAsia="华文仿宋" w:cs="Times New Roman"/>
          <w:b/>
          <w:bCs/>
          <w:spacing w:val="-8"/>
          <w:sz w:val="24"/>
          <w:szCs w:val="24"/>
          <w:highlight w:val="none"/>
        </w:rPr>
      </w:pPr>
    </w:p>
    <w:p w14:paraId="03994781">
      <w:pPr>
        <w:spacing w:line="360" w:lineRule="auto"/>
        <w:ind w:right="-317" w:rightChars="-151"/>
        <w:rPr>
          <w:rFonts w:eastAsia="华文仿宋" w:cs="Times New Roman"/>
          <w:b/>
          <w:bCs/>
          <w:spacing w:val="-12"/>
          <w:sz w:val="24"/>
          <w:szCs w:val="24"/>
          <w:highlight w:val="none"/>
        </w:rPr>
      </w:pPr>
      <w:r>
        <w:rPr>
          <w:rFonts w:eastAsia="华文仿宋" w:cs="Times New Roman"/>
          <w:b/>
          <w:bCs/>
          <w:spacing w:val="-8"/>
          <w:sz w:val="24"/>
          <w:szCs w:val="24"/>
          <w:highlight w:val="none"/>
        </w:rPr>
        <w:t xml:space="preserve">建设单位: 河南省恒明新能源有限公司    编制单位: </w:t>
      </w:r>
      <w:r>
        <w:rPr>
          <w:rFonts w:eastAsia="华文仿宋" w:cs="Times New Roman"/>
          <w:b/>
          <w:bCs/>
          <w:spacing w:val="-12"/>
          <w:sz w:val="24"/>
          <w:szCs w:val="24"/>
          <w:highlight w:val="none"/>
        </w:rPr>
        <w:t>河南省恒明新能源有限公司</w:t>
      </w:r>
      <w:r>
        <w:rPr>
          <w:rFonts w:eastAsia="华文仿宋" w:cs="Times New Roman"/>
          <w:b/>
          <w:bCs/>
          <w:spacing w:val="-8"/>
          <w:sz w:val="24"/>
          <w:szCs w:val="24"/>
          <w:highlight w:val="none"/>
        </w:rPr>
        <w:t>（盖章）</w:t>
      </w:r>
    </w:p>
    <w:p w14:paraId="447FAC43">
      <w:pPr>
        <w:spacing w:line="360" w:lineRule="auto"/>
        <w:rPr>
          <w:rFonts w:eastAsia="华文仿宋" w:cs="Times New Roman"/>
          <w:b/>
          <w:bCs/>
          <w:sz w:val="24"/>
          <w:szCs w:val="24"/>
          <w:highlight w:val="none"/>
        </w:rPr>
      </w:pPr>
      <w:r>
        <w:rPr>
          <w:rFonts w:eastAsia="华文仿宋" w:cs="Times New Roman"/>
          <w:b/>
          <w:bCs/>
          <w:sz w:val="24"/>
          <w:szCs w:val="24"/>
          <w:highlight w:val="none"/>
        </w:rPr>
        <w:t xml:space="preserve">电话: </w:t>
      </w:r>
      <w:r>
        <w:rPr>
          <w:rFonts w:hint="eastAsia" w:eastAsia="华文仿宋" w:cs="Times New Roman"/>
          <w:b/>
          <w:bCs/>
          <w:sz w:val="24"/>
          <w:szCs w:val="24"/>
          <w:highlight w:val="none"/>
        </w:rPr>
        <w:t>13937370802</w:t>
      </w:r>
      <w:r>
        <w:rPr>
          <w:rFonts w:eastAsia="华文仿宋" w:cs="Times New Roman"/>
          <w:b/>
          <w:bCs/>
          <w:sz w:val="24"/>
          <w:szCs w:val="24"/>
          <w:highlight w:val="none"/>
        </w:rPr>
        <w:t xml:space="preserve">                    电话: </w:t>
      </w:r>
      <w:r>
        <w:rPr>
          <w:rFonts w:hint="eastAsia" w:eastAsia="华文仿宋" w:cs="Times New Roman"/>
          <w:b/>
          <w:bCs/>
          <w:sz w:val="24"/>
          <w:szCs w:val="24"/>
          <w:highlight w:val="none"/>
        </w:rPr>
        <w:t>13937370802</w:t>
      </w:r>
    </w:p>
    <w:p w14:paraId="2A1D44A0">
      <w:pPr>
        <w:spacing w:line="360" w:lineRule="auto"/>
        <w:rPr>
          <w:rFonts w:eastAsia="华文仿宋" w:cs="Times New Roman"/>
          <w:b/>
          <w:bCs/>
          <w:sz w:val="24"/>
          <w:szCs w:val="24"/>
          <w:highlight w:val="none"/>
        </w:rPr>
      </w:pPr>
      <w:r>
        <w:rPr>
          <w:rFonts w:eastAsia="华文仿宋" w:cs="Times New Roman"/>
          <w:b/>
          <w:bCs/>
          <w:sz w:val="24"/>
          <w:szCs w:val="24"/>
          <w:highlight w:val="none"/>
        </w:rPr>
        <w:t>传真:   /                            传真: /</w:t>
      </w:r>
    </w:p>
    <w:p w14:paraId="5529F222">
      <w:pPr>
        <w:spacing w:line="360" w:lineRule="auto"/>
        <w:rPr>
          <w:rFonts w:hint="eastAsia" w:eastAsia="华文仿宋" w:cs="Times New Roman"/>
          <w:b/>
          <w:bCs/>
          <w:sz w:val="24"/>
          <w:szCs w:val="24"/>
          <w:highlight w:val="none"/>
          <w:lang w:eastAsia="zh-CN"/>
        </w:rPr>
      </w:pPr>
      <w:r>
        <w:rPr>
          <w:rFonts w:eastAsia="华文仿宋" w:cs="Times New Roman"/>
          <w:b/>
          <w:bCs/>
          <w:sz w:val="24"/>
          <w:szCs w:val="24"/>
          <w:highlight w:val="none"/>
        </w:rPr>
        <w:t>邮编:  45300</w:t>
      </w:r>
      <w:r>
        <w:rPr>
          <w:rFonts w:hint="eastAsia" w:eastAsia="华文仿宋" w:cs="Times New Roman"/>
          <w:b/>
          <w:bCs/>
          <w:sz w:val="24"/>
          <w:szCs w:val="24"/>
          <w:highlight w:val="none"/>
          <w:lang w:val="en-US" w:eastAsia="zh-CN"/>
        </w:rPr>
        <w:t>2</w:t>
      </w:r>
      <w:r>
        <w:rPr>
          <w:rFonts w:eastAsia="华文仿宋" w:cs="Times New Roman"/>
          <w:b/>
          <w:bCs/>
          <w:sz w:val="24"/>
          <w:szCs w:val="24"/>
          <w:highlight w:val="none"/>
        </w:rPr>
        <w:t xml:space="preserve">                        邮编: 45300</w:t>
      </w:r>
      <w:r>
        <w:rPr>
          <w:rFonts w:hint="eastAsia" w:eastAsia="华文仿宋" w:cs="Times New Roman"/>
          <w:b/>
          <w:bCs/>
          <w:sz w:val="24"/>
          <w:szCs w:val="24"/>
          <w:highlight w:val="none"/>
          <w:lang w:val="en-US" w:eastAsia="zh-CN"/>
        </w:rPr>
        <w:t>2</w:t>
      </w:r>
    </w:p>
    <w:p w14:paraId="4878DEF6">
      <w:pPr>
        <w:spacing w:line="600" w:lineRule="auto"/>
        <w:rPr>
          <w:rFonts w:eastAsia="仿宋" w:cs="Times New Roman"/>
          <w:sz w:val="28"/>
          <w:szCs w:val="28"/>
          <w:highlight w:val="none"/>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r>
        <w:rPr>
          <w:rFonts w:cs="Times New Roman"/>
          <w:highlight w:val="none"/>
        </w:rPr>
        <w:pict>
          <v:shape id="_x0000_s1488" o:spid="_x0000_s1488" o:spt="202" type="#_x0000_t202" style="position:absolute;left:0pt;margin-left:249.75pt;margin-top:3.15pt;height:65.65pt;width:154.5pt;z-index:251661312;mso-width-relative:page;mso-height-relative:page;" filled="f" stroked="f" coordsize="21600,21600">
            <v:path/>
            <v:fill on="f" focussize="0,0"/>
            <v:stroke on="f" joinstyle="miter"/>
            <v:imagedata o:title=""/>
            <o:lock v:ext="edit"/>
            <v:textbox>
              <w:txbxContent>
                <w:p w14:paraId="1636B036">
                  <w:pPr>
                    <w:rPr>
                      <w:szCs w:val="24"/>
                    </w:rPr>
                  </w:pPr>
                  <w:r>
                    <w:rPr>
                      <w:rFonts w:hint="eastAsia" w:ascii="华文仿宋" w:hAnsi="华文仿宋" w:eastAsia="华文仿宋" w:cs="华文仿宋"/>
                      <w:b/>
                      <w:bCs/>
                      <w:sz w:val="24"/>
                      <w:szCs w:val="24"/>
                    </w:rPr>
                    <w:t>新乡化学与物理电源产业园区内</w:t>
                  </w:r>
                </w:p>
              </w:txbxContent>
            </v:textbox>
          </v:shape>
        </w:pict>
      </w:r>
      <w:r>
        <w:rPr>
          <w:rFonts w:cs="Times New Roman"/>
          <w:highlight w:val="none"/>
        </w:rPr>
        <w:pict>
          <v:shape id="_x0000_s1486" o:spid="_x0000_s1486" o:spt="202" type="#_x0000_t202" style="position:absolute;left:0pt;margin-left:30pt;margin-top:3.9pt;height:64.9pt;width:154.5pt;z-index:251660288;mso-width-relative:page;mso-height-relative:page;" filled="f" stroked="f" coordsize="21600,21600">
            <v:path/>
            <v:fill on="f" focussize="0,0"/>
            <v:stroke on="f" joinstyle="miter"/>
            <v:imagedata o:title=""/>
            <o:lock v:ext="edit"/>
            <v:textbox>
              <w:txbxContent>
                <w:p w14:paraId="37838246">
                  <w:pPr>
                    <w:rPr>
                      <w:szCs w:val="24"/>
                    </w:rPr>
                  </w:pPr>
                  <w:r>
                    <w:rPr>
                      <w:rFonts w:hint="eastAsia" w:ascii="华文仿宋" w:hAnsi="华文仿宋" w:eastAsia="华文仿宋" w:cs="华文仿宋"/>
                      <w:b/>
                      <w:bCs/>
                      <w:sz w:val="24"/>
                      <w:szCs w:val="24"/>
                    </w:rPr>
                    <w:t>新乡化学与物理电源产业园区内</w:t>
                  </w:r>
                </w:p>
              </w:txbxContent>
            </v:textbox>
          </v:shape>
        </w:pict>
      </w:r>
      <w:r>
        <w:rPr>
          <w:rFonts w:eastAsia="华文仿宋" w:cs="Times New Roman"/>
          <w:b/>
          <w:bCs/>
          <w:sz w:val="24"/>
          <w:szCs w:val="24"/>
          <w:highlight w:val="none"/>
        </w:rPr>
        <w:t>地址:                                地址:</w:t>
      </w:r>
    </w:p>
    <w:p w14:paraId="450F6DC1">
      <w:pPr>
        <w:pStyle w:val="26"/>
        <w:spacing w:after="240" w:line="520" w:lineRule="exact"/>
        <w:rPr>
          <w:highlight w:val="none"/>
        </w:rPr>
      </w:pPr>
      <w:bookmarkStart w:id="0" w:name="_Toc504492808"/>
      <w:r>
        <w:rPr>
          <w:highlight w:val="none"/>
        </w:rPr>
        <w:t>1、项目概况</w:t>
      </w:r>
      <w:bookmarkEnd w:id="0"/>
    </w:p>
    <w:p w14:paraId="475D2F30">
      <w:pPr>
        <w:pStyle w:val="59"/>
        <w:spacing w:line="520" w:lineRule="exact"/>
        <w:ind w:firstLine="480"/>
        <w:rPr>
          <w:rFonts w:hint="eastAsia" w:cs="Times New Roman"/>
          <w:highlight w:val="none"/>
          <w:lang w:val="en-US" w:eastAsia="zh-CN"/>
        </w:rPr>
      </w:pPr>
      <w:r>
        <w:rPr>
          <w:szCs w:val="24"/>
          <w:highlight w:val="none"/>
        </w:rPr>
        <w:t>河南省恒明新能源有限公司位于</w:t>
      </w:r>
      <w:r>
        <w:rPr>
          <w:highlight w:val="none"/>
        </w:rPr>
        <w:t>新乡化学与物理电源产业园区内</w:t>
      </w:r>
      <w:r>
        <w:rPr>
          <w:szCs w:val="24"/>
          <w:highlight w:val="none"/>
        </w:rPr>
        <w:t>，主要生产镍氢动力电池。</w:t>
      </w:r>
      <w:r>
        <w:rPr>
          <w:szCs w:val="28"/>
          <w:highlight w:val="none"/>
        </w:rPr>
        <w:t>《</w:t>
      </w:r>
      <w:r>
        <w:rPr>
          <w:szCs w:val="24"/>
          <w:highlight w:val="none"/>
        </w:rPr>
        <w:t>河南省恒明新能源有限公司年产3000万安时镍氢动力电池项目环境影响报告书</w:t>
      </w:r>
      <w:r>
        <w:rPr>
          <w:szCs w:val="28"/>
          <w:highlight w:val="none"/>
        </w:rPr>
        <w:t>》于2014年9月由济源蓝天科技有限责任公司编制完成，2014年11月12日，新乡市环保局以新环[2014]377号文对该项目环评报告书进行了批复。该项目</w:t>
      </w:r>
      <w:r>
        <w:rPr>
          <w:rFonts w:hint="eastAsia"/>
          <w:szCs w:val="28"/>
          <w:highlight w:val="none"/>
          <w:lang w:val="en-US" w:eastAsia="zh-CN"/>
        </w:rPr>
        <w:t>主体工程</w:t>
      </w:r>
      <w:r>
        <w:rPr>
          <w:szCs w:val="28"/>
          <w:highlight w:val="none"/>
        </w:rPr>
        <w:t>于2017年11月开工建设， 20</w:t>
      </w:r>
      <w:r>
        <w:rPr>
          <w:rFonts w:hint="eastAsia"/>
          <w:szCs w:val="28"/>
          <w:highlight w:val="none"/>
          <w:lang w:val="en-US" w:eastAsia="zh-CN"/>
        </w:rPr>
        <w:t>20</w:t>
      </w:r>
      <w:r>
        <w:rPr>
          <w:szCs w:val="28"/>
          <w:highlight w:val="none"/>
        </w:rPr>
        <w:t>年</w:t>
      </w:r>
      <w:r>
        <w:rPr>
          <w:rFonts w:hint="eastAsia"/>
          <w:szCs w:val="28"/>
          <w:highlight w:val="none"/>
          <w:lang w:val="en-US" w:eastAsia="zh-CN"/>
        </w:rPr>
        <w:t>1</w:t>
      </w:r>
      <w:r>
        <w:rPr>
          <w:szCs w:val="28"/>
          <w:highlight w:val="none"/>
        </w:rPr>
        <w:t>月</w:t>
      </w:r>
      <w:r>
        <w:rPr>
          <w:rFonts w:hint="eastAsia"/>
          <w:szCs w:val="28"/>
          <w:highlight w:val="none"/>
          <w:lang w:val="en-US" w:eastAsia="zh-CN"/>
        </w:rPr>
        <w:t>完成自主验收</w:t>
      </w:r>
      <w:r>
        <w:rPr>
          <w:szCs w:val="28"/>
          <w:highlight w:val="none"/>
        </w:rPr>
        <w:t>。</w:t>
      </w:r>
      <w:r>
        <w:rPr>
          <w:rFonts w:hint="eastAsia"/>
          <w:szCs w:val="28"/>
          <w:highlight w:val="none"/>
          <w:lang w:val="en-US" w:eastAsia="zh-CN"/>
        </w:rPr>
        <w:t>由于当期验收时，采用外购新乡新奥燃气有限公司建设在新乡天力锂能股份有限公司的天然气锅炉生产的蒸汽，暂未建设环评设计的</w:t>
      </w:r>
      <w:r>
        <w:rPr>
          <w:rFonts w:cs="Times New Roman"/>
          <w:highlight w:val="none"/>
        </w:rPr>
        <w:t>1台2t/h燃气锅炉</w:t>
      </w:r>
      <w:r>
        <w:rPr>
          <w:rFonts w:hint="eastAsia" w:cs="Times New Roman"/>
          <w:highlight w:val="none"/>
          <w:lang w:eastAsia="zh-CN"/>
        </w:rPr>
        <w:t>。</w:t>
      </w:r>
      <w:r>
        <w:rPr>
          <w:rFonts w:hint="eastAsia" w:cs="Times New Roman"/>
          <w:highlight w:val="none"/>
          <w:lang w:val="en-US" w:eastAsia="zh-CN"/>
        </w:rPr>
        <w:t>由于目前</w:t>
      </w:r>
      <w:r>
        <w:rPr>
          <w:rFonts w:hint="eastAsia"/>
          <w:szCs w:val="28"/>
          <w:highlight w:val="none"/>
          <w:lang w:val="en-US" w:eastAsia="zh-CN"/>
        </w:rPr>
        <w:t>新乡天力锂能股份有限公司的天然气锅炉已拆除，且项目周边无蒸汽管网，因此本期对环评中的</w:t>
      </w:r>
      <w:r>
        <w:rPr>
          <w:rFonts w:cs="Times New Roman"/>
          <w:highlight w:val="none"/>
        </w:rPr>
        <w:t>1台2t/h燃气锅炉</w:t>
      </w:r>
      <w:r>
        <w:rPr>
          <w:rFonts w:hint="eastAsia" w:cs="Times New Roman"/>
          <w:highlight w:val="none"/>
          <w:lang w:val="en-US" w:eastAsia="zh-CN"/>
        </w:rPr>
        <w:t>进行建设并进行验收。</w:t>
      </w:r>
    </w:p>
    <w:p w14:paraId="0AFA2775">
      <w:pPr>
        <w:pStyle w:val="59"/>
        <w:spacing w:line="520" w:lineRule="exact"/>
        <w:ind w:firstLine="480"/>
        <w:rPr>
          <w:rFonts w:hint="eastAsia" w:cs="Times New Roman"/>
          <w:highlight w:val="none"/>
          <w:lang w:val="en-US" w:eastAsia="zh-CN"/>
        </w:rPr>
      </w:pPr>
      <w:bookmarkStart w:id="1" w:name="_Hlk182592589"/>
      <w:r>
        <w:rPr>
          <w:rFonts w:hint="eastAsia" w:cs="Times New Roman"/>
          <w:highlight w:val="none"/>
          <w:lang w:val="en-US" w:eastAsia="zh-CN"/>
        </w:rPr>
        <w:t>企业于2026年3月将</w:t>
      </w:r>
      <w:r>
        <w:rPr>
          <w:rFonts w:cs="Times New Roman"/>
          <w:highlight w:val="none"/>
        </w:rPr>
        <w:t>1台2t/h燃气锅炉</w:t>
      </w:r>
      <w:r>
        <w:rPr>
          <w:rFonts w:hint="eastAsia" w:cs="Times New Roman"/>
          <w:highlight w:val="none"/>
          <w:lang w:val="en-US" w:eastAsia="zh-CN"/>
        </w:rPr>
        <w:t>纳入排污许可证管理，排污许可证证书编号：91410711MA3X7RRD2H001R；管理类别：简化管理；有效期：</w:t>
      </w:r>
      <w:bookmarkStart w:id="2" w:name="_Hlk153791553"/>
      <w:r>
        <w:rPr>
          <w:rFonts w:hint="eastAsia" w:cs="Times New Roman"/>
          <w:highlight w:val="none"/>
          <w:lang w:val="en-US" w:eastAsia="zh-CN"/>
        </w:rPr>
        <w:t>2026年03月25日至2031年03月24日。</w:t>
      </w:r>
      <w:bookmarkEnd w:id="1"/>
      <w:bookmarkEnd w:id="2"/>
    </w:p>
    <w:p w14:paraId="2CA4A3A9">
      <w:pPr>
        <w:pStyle w:val="59"/>
        <w:spacing w:line="520" w:lineRule="exact"/>
        <w:ind w:firstLine="480"/>
        <w:rPr>
          <w:szCs w:val="28"/>
          <w:highlight w:val="none"/>
        </w:rPr>
      </w:pPr>
      <w:r>
        <w:rPr>
          <w:rFonts w:hint="eastAsia" w:cs="Times New Roman"/>
          <w:highlight w:val="none"/>
          <w:lang w:val="en-US" w:eastAsia="zh-CN"/>
        </w:rPr>
        <w:t>本次仅对项目</w:t>
      </w:r>
      <w:r>
        <w:rPr>
          <w:rFonts w:cs="Times New Roman"/>
          <w:highlight w:val="none"/>
        </w:rPr>
        <w:t>1台2t/h燃气锅炉</w:t>
      </w:r>
      <w:r>
        <w:rPr>
          <w:rFonts w:hint="eastAsia" w:cs="Times New Roman"/>
          <w:highlight w:val="none"/>
          <w:lang w:val="en-US" w:eastAsia="zh-CN"/>
        </w:rPr>
        <w:t>进行验收，</w:t>
      </w:r>
      <w:r>
        <w:rPr>
          <w:szCs w:val="28"/>
          <w:highlight w:val="none"/>
        </w:rPr>
        <w:t>河南省恒明新能源有限公司组织人员进行了现场勘察，收集查阅了相关技术资料，于20</w:t>
      </w:r>
      <w:r>
        <w:rPr>
          <w:rFonts w:hint="eastAsia"/>
          <w:szCs w:val="28"/>
          <w:highlight w:val="none"/>
          <w:lang w:val="en-US" w:eastAsia="zh-CN"/>
        </w:rPr>
        <w:t>26</w:t>
      </w:r>
      <w:r>
        <w:rPr>
          <w:szCs w:val="28"/>
          <w:highlight w:val="none"/>
        </w:rPr>
        <w:t>年</w:t>
      </w:r>
      <w:r>
        <w:rPr>
          <w:rFonts w:hint="eastAsia"/>
          <w:szCs w:val="28"/>
          <w:highlight w:val="none"/>
          <w:lang w:val="en-US" w:eastAsia="zh-CN"/>
        </w:rPr>
        <w:t>4</w:t>
      </w:r>
      <w:r>
        <w:rPr>
          <w:szCs w:val="28"/>
          <w:highlight w:val="none"/>
        </w:rPr>
        <w:t>月</w:t>
      </w:r>
      <w:r>
        <w:rPr>
          <w:rFonts w:hint="eastAsia"/>
          <w:szCs w:val="28"/>
          <w:highlight w:val="none"/>
          <w:lang w:val="en-US" w:eastAsia="zh-CN"/>
        </w:rPr>
        <w:t>5</w:t>
      </w:r>
      <w:r>
        <w:rPr>
          <w:szCs w:val="28"/>
          <w:highlight w:val="none"/>
        </w:rPr>
        <w:t>日编制验收监测方案。并委托</w:t>
      </w:r>
      <w:bookmarkStart w:id="3" w:name="OLE_LINK58"/>
      <w:r>
        <w:rPr>
          <w:rFonts w:hint="eastAsia"/>
          <w:szCs w:val="28"/>
          <w:highlight w:val="none"/>
          <w:lang w:val="en-US" w:eastAsia="zh-CN"/>
        </w:rPr>
        <w:t>河南琢磨检测研究院有限公司</w:t>
      </w:r>
      <w:bookmarkEnd w:id="3"/>
      <w:r>
        <w:rPr>
          <w:szCs w:val="28"/>
          <w:highlight w:val="none"/>
        </w:rPr>
        <w:t>于</w:t>
      </w:r>
      <w:r>
        <w:rPr>
          <w:rFonts w:hint="default"/>
          <w:szCs w:val="28"/>
          <w:highlight w:val="none"/>
          <w:lang w:val="en-US" w:eastAsia="zh-CN"/>
        </w:rPr>
        <w:t>2026.4.23~2026.4.24</w:t>
      </w:r>
      <w:r>
        <w:rPr>
          <w:szCs w:val="28"/>
          <w:highlight w:val="none"/>
        </w:rPr>
        <w:t>进行了现场检测，检测报告编号</w:t>
      </w:r>
      <w:r>
        <w:rPr>
          <w:rFonts w:hint="eastAsia"/>
          <w:szCs w:val="28"/>
          <w:highlight w:val="none"/>
        </w:rPr>
        <w:t>分别为</w:t>
      </w:r>
      <w:r>
        <w:rPr>
          <w:szCs w:val="28"/>
          <w:highlight w:val="none"/>
        </w:rPr>
        <w:t>：</w:t>
      </w:r>
      <w:r>
        <w:rPr>
          <w:rFonts w:hint="eastAsia"/>
          <w:szCs w:val="28"/>
          <w:highlight w:val="none"/>
          <w:lang w:val="en-US" w:eastAsia="zh-CN"/>
        </w:rPr>
        <w:t>F040215</w:t>
      </w:r>
      <w:r>
        <w:rPr>
          <w:szCs w:val="28"/>
          <w:highlight w:val="none"/>
        </w:rPr>
        <w:t>。依据相关技术规范和项目监测报告编制完成了本项目竣工环境保护验收监测报告。</w:t>
      </w:r>
    </w:p>
    <w:p w14:paraId="379D696C">
      <w:pPr>
        <w:spacing w:line="460" w:lineRule="atLeast"/>
        <w:ind w:firstLine="480"/>
        <w:rPr>
          <w:rFonts w:cs="Times New Roman"/>
          <w:sz w:val="24"/>
          <w:szCs w:val="28"/>
          <w:highlight w:val="yellow"/>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5AD8051D">
      <w:pPr>
        <w:pStyle w:val="26"/>
        <w:spacing w:after="240" w:line="440" w:lineRule="exact"/>
        <w:rPr>
          <w:highlight w:val="none"/>
        </w:rPr>
      </w:pPr>
      <w:bookmarkStart w:id="4" w:name="_Toc504492809"/>
      <w:bookmarkStart w:id="5" w:name="_Toc501703519"/>
      <w:r>
        <w:rPr>
          <w:highlight w:val="none"/>
        </w:rPr>
        <w:t>2、验收依据</w:t>
      </w:r>
      <w:bookmarkEnd w:id="4"/>
      <w:bookmarkEnd w:id="5"/>
    </w:p>
    <w:p w14:paraId="459AB9A0">
      <w:pPr>
        <w:keepNext w:val="0"/>
        <w:keepLines w:val="0"/>
        <w:widowControl w:val="0"/>
        <w:suppressLineNumbers w:val="0"/>
        <w:adjustRightInd w:val="0"/>
        <w:snapToGrid w:val="0"/>
        <w:spacing w:before="0" w:beforeAutospacing="0" w:after="0" w:afterAutospacing="0" w:line="520" w:lineRule="exact"/>
        <w:ind w:left="0" w:right="0" w:firstLine="480" w:firstLineChars="200"/>
        <w:jc w:val="left"/>
        <w:rPr>
          <w:highlight w:val="none"/>
          <w:lang w:val="en-US"/>
        </w:rPr>
      </w:pPr>
      <w:r>
        <w:rPr>
          <w:rFonts w:hint="default" w:ascii="Times New Roman" w:hAnsi="Times New Roman" w:eastAsia="宋体" w:cs="Times New Roman"/>
          <w:snapToGrid/>
          <w:kern w:val="0"/>
          <w:sz w:val="24"/>
          <w:szCs w:val="22"/>
          <w:highlight w:val="none"/>
          <w:lang w:val="en-US" w:eastAsia="zh-CN" w:bidi="ar"/>
        </w:rPr>
        <w:t>1.</w:t>
      </w:r>
      <w:r>
        <w:rPr>
          <w:rFonts w:hint="eastAsia" w:ascii="Times New Roman" w:hAnsi="Times New Roman" w:eastAsia="宋体" w:cs="宋体"/>
          <w:snapToGrid/>
          <w:kern w:val="0"/>
          <w:sz w:val="24"/>
          <w:szCs w:val="22"/>
          <w:highlight w:val="none"/>
          <w:lang w:val="en-US" w:eastAsia="zh-CN" w:bidi="ar"/>
        </w:rPr>
        <w:t>《中华人民共和国环境保护法》（主席令</w:t>
      </w:r>
      <w:r>
        <w:rPr>
          <w:rFonts w:hint="default" w:ascii="Times New Roman" w:hAnsi="Times New Roman" w:eastAsia="宋体" w:cs="Times New Roman"/>
          <w:snapToGrid/>
          <w:kern w:val="0"/>
          <w:sz w:val="24"/>
          <w:szCs w:val="22"/>
          <w:highlight w:val="none"/>
          <w:lang w:val="en-US" w:eastAsia="zh-CN" w:bidi="ar"/>
        </w:rPr>
        <w:t>2014</w:t>
      </w:r>
      <w:r>
        <w:rPr>
          <w:rFonts w:hint="eastAsia" w:ascii="Times New Roman" w:hAnsi="Times New Roman" w:eastAsia="宋体" w:cs="宋体"/>
          <w:snapToGrid/>
          <w:kern w:val="0"/>
          <w:sz w:val="24"/>
          <w:szCs w:val="22"/>
          <w:highlight w:val="none"/>
          <w:lang w:val="en-US" w:eastAsia="zh-CN" w:bidi="ar"/>
        </w:rPr>
        <w:t>年第</w:t>
      </w:r>
      <w:r>
        <w:rPr>
          <w:rFonts w:hint="default" w:ascii="Times New Roman" w:hAnsi="Times New Roman" w:eastAsia="宋体" w:cs="Times New Roman"/>
          <w:snapToGrid/>
          <w:kern w:val="0"/>
          <w:sz w:val="24"/>
          <w:szCs w:val="22"/>
          <w:highlight w:val="none"/>
          <w:lang w:val="en-US" w:eastAsia="zh-CN" w:bidi="ar"/>
        </w:rPr>
        <w:t>9</w:t>
      </w:r>
      <w:r>
        <w:rPr>
          <w:rFonts w:hint="eastAsia" w:ascii="Times New Roman" w:hAnsi="Times New Roman" w:eastAsia="宋体" w:cs="宋体"/>
          <w:snapToGrid/>
          <w:kern w:val="0"/>
          <w:sz w:val="24"/>
          <w:szCs w:val="22"/>
          <w:highlight w:val="none"/>
          <w:lang w:val="en-US" w:eastAsia="zh-CN" w:bidi="ar"/>
        </w:rPr>
        <w:t>号）；</w:t>
      </w:r>
    </w:p>
    <w:p w14:paraId="07CEC90D">
      <w:pPr>
        <w:keepNext w:val="0"/>
        <w:keepLines w:val="0"/>
        <w:widowControl w:val="0"/>
        <w:suppressLineNumbers w:val="0"/>
        <w:adjustRightInd w:val="0"/>
        <w:snapToGrid w:val="0"/>
        <w:spacing w:before="0" w:beforeAutospacing="0" w:after="0" w:afterAutospacing="0" w:line="520" w:lineRule="exact"/>
        <w:ind w:left="0" w:right="0" w:firstLine="480" w:firstLineChars="200"/>
        <w:jc w:val="left"/>
        <w:rPr>
          <w:lang w:val="en-US"/>
        </w:rPr>
      </w:pPr>
      <w:r>
        <w:rPr>
          <w:rFonts w:hint="default" w:ascii="Times New Roman" w:hAnsi="Times New Roman" w:eastAsia="宋体" w:cs="Times New Roman"/>
          <w:snapToGrid/>
          <w:kern w:val="0"/>
          <w:sz w:val="24"/>
          <w:szCs w:val="22"/>
          <w:highlight w:val="none"/>
          <w:lang w:val="en-US" w:eastAsia="zh-CN" w:bidi="ar"/>
        </w:rPr>
        <w:t>2.</w:t>
      </w:r>
      <w:r>
        <w:rPr>
          <w:rFonts w:hint="eastAsia" w:ascii="Times New Roman" w:hAnsi="Times New Roman" w:eastAsia="宋体" w:cs="宋体"/>
          <w:snapToGrid/>
          <w:kern w:val="0"/>
          <w:sz w:val="24"/>
          <w:szCs w:val="22"/>
          <w:highlight w:val="none"/>
          <w:lang w:val="en-US" w:eastAsia="zh-CN" w:bidi="ar"/>
        </w:rPr>
        <w:t>《中华人民共和</w:t>
      </w:r>
      <w:r>
        <w:rPr>
          <w:rFonts w:hint="eastAsia" w:ascii="Times New Roman" w:hAnsi="Times New Roman" w:eastAsia="宋体" w:cs="宋体"/>
          <w:snapToGrid/>
          <w:kern w:val="0"/>
          <w:sz w:val="24"/>
          <w:szCs w:val="22"/>
          <w:lang w:val="en-US" w:eastAsia="zh-CN" w:bidi="ar"/>
        </w:rPr>
        <w:t>国环境影响评价法》（</w:t>
      </w:r>
      <w:r>
        <w:rPr>
          <w:rFonts w:hint="default" w:ascii="Times New Roman" w:hAnsi="Times New Roman" w:eastAsia="宋体" w:cs="Times New Roman"/>
          <w:snapToGrid/>
          <w:kern w:val="0"/>
          <w:sz w:val="24"/>
          <w:szCs w:val="22"/>
          <w:lang w:val="en-US" w:eastAsia="zh-CN" w:bidi="ar"/>
        </w:rPr>
        <w:t>2018</w:t>
      </w:r>
      <w:r>
        <w:rPr>
          <w:rFonts w:hint="eastAsia" w:ascii="Times New Roman" w:hAnsi="Times New Roman" w:eastAsia="宋体" w:cs="宋体"/>
          <w:snapToGrid/>
          <w:kern w:val="0"/>
          <w:sz w:val="24"/>
          <w:szCs w:val="22"/>
          <w:lang w:val="en-US" w:eastAsia="zh-CN" w:bidi="ar"/>
        </w:rPr>
        <w:t>修正版）；</w:t>
      </w:r>
    </w:p>
    <w:p w14:paraId="602286C5">
      <w:pPr>
        <w:keepNext w:val="0"/>
        <w:keepLines w:val="0"/>
        <w:widowControl w:val="0"/>
        <w:suppressLineNumbers w:val="0"/>
        <w:adjustRightInd w:val="0"/>
        <w:snapToGrid w:val="0"/>
        <w:spacing w:before="0" w:beforeAutospacing="0" w:after="0" w:afterAutospacing="0" w:line="520" w:lineRule="exact"/>
        <w:ind w:left="0" w:right="0" w:firstLine="480" w:firstLineChars="200"/>
        <w:jc w:val="left"/>
        <w:rPr>
          <w:lang w:val="en-US"/>
        </w:rPr>
      </w:pPr>
      <w:r>
        <w:rPr>
          <w:rFonts w:hint="default" w:ascii="Times New Roman" w:hAnsi="Times New Roman" w:eastAsia="宋体" w:cs="Times New Roman"/>
          <w:snapToGrid/>
          <w:kern w:val="0"/>
          <w:sz w:val="24"/>
          <w:szCs w:val="22"/>
          <w:lang w:val="en-US" w:eastAsia="zh-CN" w:bidi="ar"/>
        </w:rPr>
        <w:t>3.</w:t>
      </w:r>
      <w:r>
        <w:rPr>
          <w:rFonts w:hint="eastAsia" w:ascii="Times New Roman" w:hAnsi="Times New Roman" w:eastAsia="宋体" w:cs="宋体"/>
          <w:snapToGrid/>
          <w:kern w:val="0"/>
          <w:sz w:val="24"/>
          <w:szCs w:val="22"/>
          <w:lang w:val="en-US" w:eastAsia="zh-CN" w:bidi="ar"/>
        </w:rPr>
        <w:t>《建设项目环境保护管理条例》（国务院令第</w:t>
      </w:r>
      <w:r>
        <w:rPr>
          <w:rFonts w:hint="default" w:ascii="Times New Roman" w:hAnsi="Times New Roman" w:eastAsia="宋体" w:cs="Times New Roman"/>
          <w:snapToGrid/>
          <w:kern w:val="0"/>
          <w:sz w:val="24"/>
          <w:szCs w:val="22"/>
          <w:lang w:val="en-US" w:eastAsia="zh-CN" w:bidi="ar"/>
        </w:rPr>
        <w:t>253</w:t>
      </w:r>
      <w:r>
        <w:rPr>
          <w:rFonts w:hint="eastAsia" w:ascii="Times New Roman" w:hAnsi="Times New Roman" w:eastAsia="宋体" w:cs="宋体"/>
          <w:snapToGrid/>
          <w:kern w:val="0"/>
          <w:sz w:val="24"/>
          <w:szCs w:val="22"/>
          <w:lang w:val="en-US" w:eastAsia="zh-CN" w:bidi="ar"/>
        </w:rPr>
        <w:t>号）；</w:t>
      </w:r>
    </w:p>
    <w:p w14:paraId="0B7DA849">
      <w:pPr>
        <w:keepNext w:val="0"/>
        <w:keepLines w:val="0"/>
        <w:widowControl w:val="0"/>
        <w:suppressLineNumbers w:val="0"/>
        <w:adjustRightInd w:val="0"/>
        <w:snapToGrid w:val="0"/>
        <w:spacing w:before="0" w:beforeAutospacing="0" w:after="0" w:afterAutospacing="0" w:line="520" w:lineRule="exact"/>
        <w:ind w:left="0" w:right="0" w:firstLine="480" w:firstLineChars="200"/>
        <w:jc w:val="left"/>
        <w:rPr>
          <w:lang w:val="en-US"/>
        </w:rPr>
      </w:pPr>
      <w:r>
        <w:rPr>
          <w:rFonts w:hint="default" w:ascii="Times New Roman" w:hAnsi="Times New Roman" w:eastAsia="宋体" w:cs="Times New Roman"/>
          <w:snapToGrid/>
          <w:kern w:val="0"/>
          <w:sz w:val="24"/>
          <w:szCs w:val="22"/>
          <w:lang w:val="en-US" w:eastAsia="zh-CN" w:bidi="ar"/>
        </w:rPr>
        <w:t>4.</w:t>
      </w:r>
      <w:r>
        <w:rPr>
          <w:rFonts w:hint="eastAsia" w:ascii="Times New Roman" w:hAnsi="Times New Roman" w:eastAsia="宋体" w:cs="宋体"/>
          <w:snapToGrid/>
          <w:kern w:val="0"/>
          <w:sz w:val="24"/>
          <w:szCs w:val="22"/>
          <w:lang w:val="en-US" w:eastAsia="zh-CN" w:bidi="ar"/>
        </w:rPr>
        <w:t>《河南省建设项目环境保护条例》（</w:t>
      </w:r>
      <w:r>
        <w:rPr>
          <w:rFonts w:hint="default" w:ascii="Times New Roman" w:hAnsi="Times New Roman" w:eastAsia="宋体" w:cs="Times New Roman"/>
          <w:snapToGrid/>
          <w:kern w:val="0"/>
          <w:sz w:val="24"/>
          <w:szCs w:val="22"/>
          <w:lang w:val="en-US" w:eastAsia="zh-CN" w:bidi="ar"/>
        </w:rPr>
        <w:t>2016</w:t>
      </w:r>
      <w:r>
        <w:rPr>
          <w:rFonts w:hint="eastAsia" w:ascii="Times New Roman" w:hAnsi="Times New Roman" w:eastAsia="宋体" w:cs="宋体"/>
          <w:snapToGrid/>
          <w:kern w:val="0"/>
          <w:sz w:val="24"/>
          <w:szCs w:val="22"/>
          <w:lang w:val="en-US" w:eastAsia="zh-CN" w:bidi="ar"/>
        </w:rPr>
        <w:t>年修正版）；</w:t>
      </w:r>
    </w:p>
    <w:p w14:paraId="7DA6D422">
      <w:pPr>
        <w:keepNext w:val="0"/>
        <w:keepLines w:val="0"/>
        <w:widowControl w:val="0"/>
        <w:suppressLineNumbers w:val="0"/>
        <w:adjustRightInd w:val="0"/>
        <w:snapToGrid w:val="0"/>
        <w:spacing w:before="0" w:beforeAutospacing="0" w:after="0" w:afterAutospacing="0" w:line="520" w:lineRule="exact"/>
        <w:ind w:left="0" w:right="0" w:firstLine="480" w:firstLineChars="200"/>
        <w:jc w:val="left"/>
        <w:rPr>
          <w:lang w:val="en-US"/>
        </w:rPr>
      </w:pPr>
      <w:r>
        <w:rPr>
          <w:rFonts w:hint="default" w:ascii="Times New Roman" w:hAnsi="Times New Roman" w:eastAsia="宋体" w:cs="Times New Roman"/>
          <w:snapToGrid/>
          <w:kern w:val="0"/>
          <w:sz w:val="24"/>
          <w:szCs w:val="22"/>
          <w:lang w:val="en-US" w:eastAsia="zh-CN" w:bidi="ar"/>
        </w:rPr>
        <w:t>5.</w:t>
      </w:r>
      <w:r>
        <w:rPr>
          <w:rFonts w:hint="eastAsia" w:ascii="Times New Roman" w:hAnsi="Times New Roman" w:eastAsia="宋体" w:cs="宋体"/>
          <w:snapToGrid/>
          <w:kern w:val="0"/>
          <w:sz w:val="24"/>
          <w:szCs w:val="22"/>
          <w:lang w:val="en-US" w:eastAsia="zh-CN" w:bidi="ar"/>
        </w:rPr>
        <w:t>《关于印发建设项目竣工环境保护验收现场检查及审查要点的通知》（环办〔</w:t>
      </w:r>
      <w:r>
        <w:rPr>
          <w:rFonts w:hint="default" w:ascii="Times New Roman" w:hAnsi="Times New Roman" w:eastAsia="宋体" w:cs="Times New Roman"/>
          <w:snapToGrid/>
          <w:kern w:val="0"/>
          <w:sz w:val="24"/>
          <w:szCs w:val="22"/>
          <w:lang w:val="en-US" w:eastAsia="zh-CN" w:bidi="ar"/>
        </w:rPr>
        <w:t>2015</w:t>
      </w:r>
      <w:r>
        <w:rPr>
          <w:rFonts w:hint="eastAsia" w:ascii="Times New Roman" w:hAnsi="Times New Roman" w:eastAsia="宋体" w:cs="宋体"/>
          <w:snapToGrid/>
          <w:kern w:val="0"/>
          <w:sz w:val="24"/>
          <w:szCs w:val="22"/>
          <w:lang w:val="en-US" w:eastAsia="zh-CN" w:bidi="ar"/>
        </w:rPr>
        <w:t>〕</w:t>
      </w:r>
      <w:r>
        <w:rPr>
          <w:rFonts w:hint="default" w:ascii="Times New Roman" w:hAnsi="Times New Roman" w:eastAsia="宋体" w:cs="Times New Roman"/>
          <w:snapToGrid/>
          <w:kern w:val="0"/>
          <w:sz w:val="24"/>
          <w:szCs w:val="22"/>
          <w:lang w:val="en-US" w:eastAsia="zh-CN" w:bidi="ar"/>
        </w:rPr>
        <w:t>113</w:t>
      </w:r>
      <w:r>
        <w:rPr>
          <w:rFonts w:hint="eastAsia" w:ascii="Times New Roman" w:hAnsi="Times New Roman" w:eastAsia="宋体" w:cs="宋体"/>
          <w:snapToGrid/>
          <w:kern w:val="0"/>
          <w:sz w:val="24"/>
          <w:szCs w:val="22"/>
          <w:lang w:val="en-US" w:eastAsia="zh-CN" w:bidi="ar"/>
        </w:rPr>
        <w:t>号）；</w:t>
      </w:r>
    </w:p>
    <w:p w14:paraId="2C94B8DA">
      <w:pPr>
        <w:keepNext w:val="0"/>
        <w:keepLines w:val="0"/>
        <w:widowControl w:val="0"/>
        <w:suppressLineNumbers w:val="0"/>
        <w:adjustRightInd w:val="0"/>
        <w:snapToGrid w:val="0"/>
        <w:spacing w:before="0" w:beforeAutospacing="0" w:after="0" w:afterAutospacing="0" w:line="520" w:lineRule="exact"/>
        <w:ind w:left="0" w:right="0" w:firstLine="480" w:firstLineChars="200"/>
        <w:jc w:val="left"/>
        <w:rPr>
          <w:lang w:val="en-US"/>
        </w:rPr>
      </w:pPr>
      <w:r>
        <w:rPr>
          <w:rFonts w:hint="default" w:ascii="Times New Roman" w:hAnsi="Times New Roman" w:eastAsia="宋体" w:cs="Times New Roman"/>
          <w:snapToGrid/>
          <w:kern w:val="0"/>
          <w:sz w:val="24"/>
          <w:szCs w:val="22"/>
          <w:lang w:val="en-US" w:eastAsia="zh-CN" w:bidi="ar"/>
        </w:rPr>
        <w:t>6.</w:t>
      </w:r>
      <w:r>
        <w:rPr>
          <w:rFonts w:hint="eastAsia" w:ascii="Times New Roman" w:hAnsi="Times New Roman" w:eastAsia="宋体" w:cs="宋体"/>
          <w:snapToGrid/>
          <w:kern w:val="0"/>
          <w:sz w:val="24"/>
          <w:szCs w:val="22"/>
          <w:lang w:val="en-US" w:eastAsia="zh-CN" w:bidi="ar"/>
        </w:rPr>
        <w:t>《建设项目竣工环境保护验收暂行办法》（国环规环评〔</w:t>
      </w:r>
      <w:r>
        <w:rPr>
          <w:rFonts w:hint="default" w:ascii="Times New Roman" w:hAnsi="Times New Roman" w:eastAsia="宋体" w:cs="Times New Roman"/>
          <w:snapToGrid/>
          <w:kern w:val="0"/>
          <w:sz w:val="24"/>
          <w:szCs w:val="22"/>
          <w:lang w:val="en-US" w:eastAsia="zh-CN" w:bidi="ar"/>
        </w:rPr>
        <w:t>2017</w:t>
      </w:r>
      <w:r>
        <w:rPr>
          <w:rFonts w:hint="eastAsia" w:ascii="Times New Roman" w:hAnsi="Times New Roman" w:eastAsia="宋体" w:cs="宋体"/>
          <w:snapToGrid/>
          <w:kern w:val="0"/>
          <w:sz w:val="24"/>
          <w:szCs w:val="22"/>
          <w:lang w:val="en-US" w:eastAsia="zh-CN" w:bidi="ar"/>
        </w:rPr>
        <w:t>〕</w:t>
      </w:r>
      <w:r>
        <w:rPr>
          <w:rFonts w:hint="default" w:ascii="Times New Roman" w:hAnsi="Times New Roman" w:eastAsia="宋体" w:cs="Times New Roman"/>
          <w:snapToGrid/>
          <w:kern w:val="0"/>
          <w:sz w:val="24"/>
          <w:szCs w:val="22"/>
          <w:lang w:val="en-US" w:eastAsia="zh-CN" w:bidi="ar"/>
        </w:rPr>
        <w:t>4</w:t>
      </w:r>
      <w:r>
        <w:rPr>
          <w:rFonts w:hint="eastAsia" w:ascii="Times New Roman" w:hAnsi="Times New Roman" w:eastAsia="宋体" w:cs="宋体"/>
          <w:snapToGrid/>
          <w:kern w:val="0"/>
          <w:sz w:val="24"/>
          <w:szCs w:val="22"/>
          <w:lang w:val="en-US" w:eastAsia="zh-CN" w:bidi="ar"/>
        </w:rPr>
        <w:t>号，</w:t>
      </w:r>
      <w:r>
        <w:rPr>
          <w:rFonts w:hint="default" w:ascii="Times New Roman" w:hAnsi="Times New Roman" w:eastAsia="宋体" w:cs="Times New Roman"/>
          <w:snapToGrid/>
          <w:kern w:val="0"/>
          <w:sz w:val="24"/>
          <w:szCs w:val="22"/>
          <w:lang w:val="en-US" w:eastAsia="zh-CN" w:bidi="ar"/>
        </w:rPr>
        <w:t>2017.11.22</w:t>
      </w:r>
      <w:r>
        <w:rPr>
          <w:rFonts w:hint="eastAsia" w:ascii="Times New Roman" w:hAnsi="Times New Roman" w:eastAsia="宋体" w:cs="宋体"/>
          <w:snapToGrid/>
          <w:kern w:val="0"/>
          <w:sz w:val="24"/>
          <w:szCs w:val="22"/>
          <w:lang w:val="en-US" w:eastAsia="zh-CN" w:bidi="ar"/>
        </w:rPr>
        <w:t>）；</w:t>
      </w:r>
    </w:p>
    <w:p w14:paraId="13796236">
      <w:pPr>
        <w:keepNext w:val="0"/>
        <w:keepLines w:val="0"/>
        <w:widowControl w:val="0"/>
        <w:suppressLineNumbers w:val="0"/>
        <w:adjustRightInd w:val="0"/>
        <w:snapToGrid w:val="0"/>
        <w:spacing w:before="0" w:beforeAutospacing="0" w:after="0" w:afterAutospacing="0" w:line="520" w:lineRule="exact"/>
        <w:ind w:left="0" w:right="0" w:firstLine="480" w:firstLineChars="200"/>
        <w:jc w:val="left"/>
        <w:rPr>
          <w:rFonts w:hint="eastAsia" w:ascii="Times New Roman" w:hAnsi="Times New Roman" w:eastAsia="宋体" w:cs="宋体"/>
          <w:snapToGrid/>
          <w:kern w:val="0"/>
          <w:sz w:val="24"/>
          <w:szCs w:val="22"/>
          <w:lang w:val="en-US" w:eastAsia="zh-CN" w:bidi="ar"/>
        </w:rPr>
      </w:pPr>
      <w:r>
        <w:rPr>
          <w:rFonts w:hint="default" w:ascii="Times New Roman" w:hAnsi="Times New Roman" w:eastAsia="宋体" w:cs="Times New Roman"/>
          <w:snapToGrid/>
          <w:kern w:val="0"/>
          <w:sz w:val="24"/>
          <w:szCs w:val="22"/>
          <w:lang w:val="en-US" w:eastAsia="zh-CN" w:bidi="ar"/>
        </w:rPr>
        <w:t>7.</w:t>
      </w:r>
      <w:r>
        <w:rPr>
          <w:rFonts w:hint="eastAsia" w:ascii="Times New Roman" w:hAnsi="Times New Roman" w:eastAsia="宋体" w:cs="宋体"/>
          <w:snapToGrid/>
          <w:kern w:val="0"/>
          <w:sz w:val="24"/>
          <w:szCs w:val="22"/>
          <w:lang w:val="en-US" w:eastAsia="zh-CN" w:bidi="ar"/>
        </w:rPr>
        <w:t>《建设项目竣工环境保护验收技术指南</w:t>
      </w:r>
      <w:r>
        <w:rPr>
          <w:rFonts w:hint="default" w:ascii="Times New Roman" w:hAnsi="Times New Roman" w:eastAsia="宋体" w:cs="Times New Roman"/>
          <w:snapToGrid/>
          <w:kern w:val="0"/>
          <w:sz w:val="24"/>
          <w:szCs w:val="22"/>
          <w:lang w:val="en-US" w:eastAsia="zh-CN" w:bidi="ar"/>
        </w:rPr>
        <w:t xml:space="preserve"> </w:t>
      </w:r>
      <w:r>
        <w:rPr>
          <w:rFonts w:hint="eastAsia" w:ascii="Times New Roman" w:hAnsi="Times New Roman" w:eastAsia="宋体" w:cs="宋体"/>
          <w:snapToGrid/>
          <w:kern w:val="0"/>
          <w:sz w:val="24"/>
          <w:szCs w:val="22"/>
          <w:lang w:val="en-US" w:eastAsia="zh-CN" w:bidi="ar"/>
        </w:rPr>
        <w:t>污染影响类》（生态环境部，</w:t>
      </w:r>
      <w:r>
        <w:rPr>
          <w:rFonts w:hint="default" w:ascii="Times New Roman" w:hAnsi="Times New Roman" w:eastAsia="宋体" w:cs="Times New Roman"/>
          <w:snapToGrid/>
          <w:kern w:val="0"/>
          <w:sz w:val="24"/>
          <w:szCs w:val="22"/>
          <w:lang w:val="en-US" w:eastAsia="zh-CN" w:bidi="ar"/>
        </w:rPr>
        <w:t>2018.5.16</w:t>
      </w:r>
      <w:r>
        <w:rPr>
          <w:rFonts w:hint="eastAsia" w:ascii="Times New Roman" w:hAnsi="Times New Roman" w:eastAsia="宋体" w:cs="宋体"/>
          <w:snapToGrid/>
          <w:kern w:val="0"/>
          <w:sz w:val="24"/>
          <w:szCs w:val="22"/>
          <w:lang w:val="en-US" w:eastAsia="zh-CN" w:bidi="ar"/>
        </w:rPr>
        <w:t>）；</w:t>
      </w:r>
    </w:p>
    <w:p w14:paraId="62AA7F09">
      <w:pPr>
        <w:pStyle w:val="59"/>
        <w:ind w:firstLine="480"/>
      </w:pPr>
      <w:r>
        <w:t>8.《排污单位自行监测技术指南  总则》（HJ 819-2017）；</w:t>
      </w:r>
    </w:p>
    <w:p w14:paraId="544C59CA">
      <w:pPr>
        <w:pStyle w:val="59"/>
        <w:ind w:firstLine="480"/>
      </w:pPr>
      <w:r>
        <w:t>9.《建设项目竣工环境保护验收技术指南 污染影响类》（2018.5.16）；</w:t>
      </w:r>
    </w:p>
    <w:p w14:paraId="64435C2A">
      <w:pPr>
        <w:keepNext w:val="0"/>
        <w:keepLines w:val="0"/>
        <w:widowControl w:val="0"/>
        <w:suppressLineNumbers w:val="0"/>
        <w:adjustRightInd w:val="0"/>
        <w:snapToGrid w:val="0"/>
        <w:spacing w:before="0" w:beforeAutospacing="0" w:after="0" w:afterAutospacing="0" w:line="520" w:lineRule="exact"/>
        <w:ind w:left="0" w:right="0" w:firstLine="480" w:firstLineChars="200"/>
        <w:jc w:val="left"/>
        <w:rPr>
          <w:rFonts w:hint="eastAsia" w:cs="Times New Roman"/>
          <w:sz w:val="24"/>
          <w:szCs w:val="22"/>
          <w:highlight w:val="none"/>
          <w:lang w:val="en-US" w:eastAsia="zh-CN" w:bidi="ar"/>
        </w:rPr>
      </w:pPr>
      <w:r>
        <w:rPr>
          <w:rFonts w:hint="default" w:ascii="Times New Roman" w:hAnsi="Times New Roman" w:eastAsia="宋体" w:cs="Times New Roman"/>
          <w:sz w:val="24"/>
          <w:szCs w:val="22"/>
          <w:lang w:val="en-US" w:eastAsia="zh-CN" w:bidi="ar"/>
        </w:rPr>
        <w:t>1</w:t>
      </w:r>
      <w:r>
        <w:rPr>
          <w:rFonts w:hint="eastAsia" w:cs="Times New Roman"/>
          <w:sz w:val="24"/>
          <w:szCs w:val="22"/>
          <w:lang w:val="en-US" w:eastAsia="zh-CN" w:bidi="ar"/>
        </w:rPr>
        <w:t>0</w:t>
      </w:r>
      <w:r>
        <w:rPr>
          <w:rFonts w:hint="default" w:ascii="Times New Roman" w:hAnsi="Times New Roman" w:eastAsia="宋体" w:cs="Times New Roman"/>
          <w:sz w:val="24"/>
          <w:szCs w:val="22"/>
          <w:lang w:val="en-US" w:eastAsia="zh-CN" w:bidi="ar"/>
        </w:rPr>
        <w:t xml:space="preserve">. </w:t>
      </w:r>
      <w:r>
        <w:rPr>
          <w:rFonts w:hint="eastAsia" w:ascii="Times New Roman" w:hAnsi="Times New Roman" w:eastAsia="宋体" w:cs="Times New Roman"/>
          <w:sz w:val="24"/>
          <w:szCs w:val="22"/>
          <w:lang w:val="en-US" w:eastAsia="zh-CN" w:bidi="ar"/>
        </w:rPr>
        <w:t>《排污单位自行监</w:t>
      </w:r>
      <w:r>
        <w:rPr>
          <w:rFonts w:hint="eastAsia" w:ascii="Times New Roman" w:hAnsi="Times New Roman" w:eastAsia="宋体" w:cs="Times New Roman"/>
          <w:sz w:val="24"/>
          <w:szCs w:val="22"/>
          <w:highlight w:val="none"/>
          <w:lang w:val="en-US" w:eastAsia="zh-CN" w:bidi="ar"/>
        </w:rPr>
        <w:t>测技术指南火力发电及锅炉》（</w:t>
      </w:r>
      <w:r>
        <w:rPr>
          <w:rFonts w:hint="default" w:ascii="Times New Roman" w:hAnsi="Times New Roman" w:eastAsia="宋体" w:cs="Times New Roman"/>
          <w:sz w:val="24"/>
          <w:szCs w:val="22"/>
          <w:highlight w:val="none"/>
          <w:lang w:val="en-US" w:eastAsia="zh-CN" w:bidi="ar"/>
        </w:rPr>
        <w:t>HJ 820</w:t>
      </w:r>
      <w:r>
        <w:rPr>
          <w:rFonts w:hint="eastAsia" w:ascii="Times New Roman" w:hAnsi="Times New Roman" w:eastAsia="宋体" w:cs="Times New Roman"/>
          <w:sz w:val="24"/>
          <w:szCs w:val="22"/>
          <w:highlight w:val="none"/>
          <w:lang w:val="en-US" w:eastAsia="zh-CN" w:bidi="ar"/>
        </w:rPr>
        <w:t>—</w:t>
      </w:r>
      <w:r>
        <w:rPr>
          <w:rFonts w:hint="default" w:ascii="Times New Roman" w:hAnsi="Times New Roman" w:eastAsia="宋体" w:cs="Times New Roman"/>
          <w:sz w:val="24"/>
          <w:szCs w:val="22"/>
          <w:highlight w:val="none"/>
          <w:lang w:val="en-US" w:eastAsia="zh-CN" w:bidi="ar"/>
        </w:rPr>
        <w:t>2017</w:t>
      </w:r>
      <w:r>
        <w:rPr>
          <w:rFonts w:hint="eastAsia" w:ascii="Times New Roman" w:hAnsi="Times New Roman" w:eastAsia="宋体" w:cs="Times New Roman"/>
          <w:sz w:val="24"/>
          <w:szCs w:val="22"/>
          <w:highlight w:val="none"/>
          <w:lang w:val="en-US" w:eastAsia="zh-CN" w:bidi="ar"/>
        </w:rPr>
        <w:t>）</w:t>
      </w:r>
      <w:r>
        <w:rPr>
          <w:rFonts w:hint="eastAsia" w:cs="Times New Roman"/>
          <w:sz w:val="24"/>
          <w:szCs w:val="22"/>
          <w:highlight w:val="none"/>
          <w:lang w:val="en-US" w:eastAsia="zh-CN" w:bidi="ar"/>
        </w:rPr>
        <w:t>；</w:t>
      </w:r>
    </w:p>
    <w:p w14:paraId="236CA7B4">
      <w:pPr>
        <w:keepNext w:val="0"/>
        <w:keepLines w:val="0"/>
        <w:widowControl w:val="0"/>
        <w:suppressLineNumbers w:val="0"/>
        <w:adjustRightInd w:val="0"/>
        <w:snapToGrid w:val="0"/>
        <w:spacing w:before="0" w:beforeAutospacing="0" w:after="0" w:afterAutospacing="0" w:line="520" w:lineRule="exact"/>
        <w:ind w:left="0" w:right="0" w:firstLine="480" w:firstLineChars="200"/>
        <w:jc w:val="left"/>
        <w:rPr>
          <w:highlight w:val="none"/>
          <w:lang w:val="en-US"/>
        </w:rPr>
      </w:pPr>
      <w:r>
        <w:rPr>
          <w:rFonts w:hint="default" w:ascii="Times New Roman" w:hAnsi="Times New Roman" w:eastAsia="宋体" w:cs="Times New Roman"/>
          <w:snapToGrid/>
          <w:kern w:val="0"/>
          <w:sz w:val="24"/>
          <w:szCs w:val="22"/>
          <w:highlight w:val="none"/>
          <w:lang w:val="en-US" w:eastAsia="zh-CN" w:bidi="ar"/>
        </w:rPr>
        <w:t>1</w:t>
      </w:r>
      <w:r>
        <w:rPr>
          <w:rFonts w:hint="eastAsia" w:cs="Times New Roman"/>
          <w:snapToGrid/>
          <w:kern w:val="0"/>
          <w:sz w:val="24"/>
          <w:szCs w:val="22"/>
          <w:highlight w:val="none"/>
          <w:lang w:val="en-US" w:eastAsia="zh-CN" w:bidi="ar"/>
        </w:rPr>
        <w:t>1</w:t>
      </w:r>
      <w:r>
        <w:rPr>
          <w:rFonts w:hint="default" w:ascii="Times New Roman" w:hAnsi="Times New Roman" w:eastAsia="宋体" w:cs="Times New Roman"/>
          <w:snapToGrid/>
          <w:kern w:val="0"/>
          <w:sz w:val="24"/>
          <w:szCs w:val="22"/>
          <w:highlight w:val="none"/>
          <w:lang w:val="en-US" w:eastAsia="zh-CN" w:bidi="ar"/>
        </w:rPr>
        <w:t xml:space="preserve">. </w:t>
      </w:r>
      <w:r>
        <w:rPr>
          <w:rFonts w:hint="eastAsia" w:cs="Times New Roman"/>
          <w:snapToGrid/>
          <w:kern w:val="0"/>
          <w:sz w:val="24"/>
          <w:szCs w:val="22"/>
          <w:highlight w:val="none"/>
          <w:lang w:val="en-US" w:eastAsia="zh-CN" w:bidi="ar"/>
        </w:rPr>
        <w:t>《</w:t>
      </w:r>
      <w:r>
        <w:rPr>
          <w:rFonts w:hint="default" w:ascii="Times New Roman" w:hAnsi="Times New Roman" w:eastAsia="宋体" w:cs="Times New Roman"/>
          <w:snapToGrid/>
          <w:kern w:val="0"/>
          <w:sz w:val="24"/>
          <w:szCs w:val="22"/>
          <w:highlight w:val="none"/>
          <w:lang w:val="en-US" w:eastAsia="zh-CN" w:bidi="ar"/>
        </w:rPr>
        <w:t>排污许可证申请与核发技术规范 电池工业</w:t>
      </w:r>
      <w:r>
        <w:rPr>
          <w:rFonts w:hint="eastAsia" w:cs="Times New Roman"/>
          <w:snapToGrid/>
          <w:kern w:val="0"/>
          <w:sz w:val="24"/>
          <w:szCs w:val="22"/>
          <w:highlight w:val="none"/>
          <w:lang w:val="en-US" w:eastAsia="zh-CN" w:bidi="ar"/>
        </w:rPr>
        <w:t>》</w:t>
      </w:r>
      <w:r>
        <w:rPr>
          <w:rFonts w:hint="default" w:ascii="Times New Roman" w:hAnsi="Times New Roman" w:eastAsia="宋体" w:cs="Times New Roman"/>
          <w:snapToGrid/>
          <w:kern w:val="0"/>
          <w:sz w:val="24"/>
          <w:szCs w:val="22"/>
          <w:highlight w:val="none"/>
          <w:lang w:val="en-US" w:eastAsia="zh-CN" w:bidi="ar"/>
        </w:rPr>
        <w:t>(HJ 967—2018)</w:t>
      </w:r>
      <w:r>
        <w:rPr>
          <w:rFonts w:hint="eastAsia" w:ascii="Times New Roman" w:hAnsi="Times New Roman" w:eastAsia="宋体" w:cs="宋体"/>
          <w:snapToGrid/>
          <w:kern w:val="0"/>
          <w:sz w:val="24"/>
          <w:szCs w:val="22"/>
          <w:highlight w:val="none"/>
          <w:lang w:val="en-US" w:eastAsia="zh-CN" w:bidi="ar"/>
        </w:rPr>
        <w:t>；</w:t>
      </w:r>
    </w:p>
    <w:p w14:paraId="1DA1B2AA">
      <w:pPr>
        <w:pStyle w:val="59"/>
        <w:ind w:firstLine="480"/>
        <w:rPr>
          <w:highlight w:val="none"/>
        </w:rPr>
      </w:pPr>
      <w:r>
        <w:rPr>
          <w:highlight w:val="none"/>
        </w:rPr>
        <w:t>1</w:t>
      </w:r>
      <w:r>
        <w:rPr>
          <w:rFonts w:hint="eastAsia"/>
          <w:highlight w:val="none"/>
          <w:lang w:val="en-US" w:eastAsia="zh-CN"/>
        </w:rPr>
        <w:t>2</w:t>
      </w:r>
      <w:r>
        <w:rPr>
          <w:highlight w:val="none"/>
        </w:rPr>
        <w:t>.《河南省恒明新能源有限公司年产3000万安时镍氢动力电池项目环境影响报告书》，</w:t>
      </w:r>
      <w:r>
        <w:rPr>
          <w:szCs w:val="28"/>
          <w:highlight w:val="none"/>
        </w:rPr>
        <w:t>济源蓝天科技有限责任公司</w:t>
      </w:r>
      <w:r>
        <w:rPr>
          <w:highlight w:val="none"/>
        </w:rPr>
        <w:t>，2014.9；</w:t>
      </w:r>
    </w:p>
    <w:p w14:paraId="2399B8A2">
      <w:pPr>
        <w:pStyle w:val="59"/>
        <w:ind w:firstLine="480"/>
        <w:rPr>
          <w:highlight w:val="none"/>
        </w:rPr>
      </w:pPr>
      <w:r>
        <w:rPr>
          <w:highlight w:val="none"/>
        </w:rPr>
        <w:t>1</w:t>
      </w:r>
      <w:r>
        <w:rPr>
          <w:rFonts w:hint="eastAsia"/>
          <w:highlight w:val="none"/>
          <w:lang w:val="en-US" w:eastAsia="zh-CN"/>
        </w:rPr>
        <w:t>3</w:t>
      </w:r>
      <w:r>
        <w:rPr>
          <w:highlight w:val="none"/>
        </w:rPr>
        <w:t>.《河南省恒明新能源有限公司年产3000万安时镍氢动力电池项目环境影响报告书》的审批意见（</w:t>
      </w:r>
      <w:r>
        <w:rPr>
          <w:szCs w:val="28"/>
          <w:highlight w:val="none"/>
        </w:rPr>
        <w:t>新环[2014]377号</w:t>
      </w:r>
      <w:r>
        <w:rPr>
          <w:highlight w:val="none"/>
        </w:rPr>
        <w:t>），</w:t>
      </w:r>
      <w:r>
        <w:rPr>
          <w:szCs w:val="28"/>
          <w:highlight w:val="none"/>
        </w:rPr>
        <w:t>新乡市环境保护局</w:t>
      </w:r>
      <w:r>
        <w:rPr>
          <w:highlight w:val="none"/>
        </w:rPr>
        <w:t>，2014.11.12；</w:t>
      </w:r>
    </w:p>
    <w:p w14:paraId="6C386C29">
      <w:pPr>
        <w:pStyle w:val="59"/>
        <w:ind w:firstLine="480"/>
        <w:rPr>
          <w:rFonts w:ascii="Times New Roman" w:hAnsi="Times New Roman" w:eastAsia="宋体" w:cs="Times New Roman"/>
        </w:rPr>
      </w:pPr>
      <w:r>
        <w:rPr>
          <w:rFonts w:ascii="Times New Roman" w:hAnsi="Times New Roman" w:eastAsia="宋体" w:cs="Times New Roman"/>
        </w:rPr>
        <w:t>1</w:t>
      </w:r>
      <w:r>
        <w:rPr>
          <w:rFonts w:hint="eastAsia" w:ascii="Times New Roman" w:hAnsi="Times New Roman" w:eastAsia="宋体" w:cs="Times New Roman"/>
          <w:lang w:val="en-US" w:eastAsia="zh-CN"/>
        </w:rPr>
        <w:t>4</w:t>
      </w:r>
      <w:r>
        <w:rPr>
          <w:rFonts w:ascii="Times New Roman" w:hAnsi="Times New Roman" w:eastAsia="宋体" w:cs="Times New Roman"/>
        </w:rPr>
        <w:t>.《河南省恒明新能源有限公司</w:t>
      </w:r>
      <w:r>
        <w:rPr>
          <w:rFonts w:hint="eastAsia" w:ascii="Times New Roman" w:hAnsi="Times New Roman" w:eastAsia="宋体" w:cs="Times New Roman"/>
          <w:lang w:val="en-US" w:eastAsia="zh-CN"/>
        </w:rPr>
        <w:t>检测</w:t>
      </w:r>
      <w:r>
        <w:rPr>
          <w:rFonts w:ascii="Times New Roman" w:hAnsi="Times New Roman" w:eastAsia="宋体" w:cs="Times New Roman"/>
        </w:rPr>
        <w:t>报告》，</w:t>
      </w:r>
      <w:r>
        <w:rPr>
          <w:rFonts w:hint="default" w:ascii="Times New Roman" w:hAnsi="Times New Roman" w:eastAsia="宋体" w:cs="Times New Roman"/>
          <w:lang w:eastAsia="zh-CN"/>
        </w:rPr>
        <w:t>河南琢磨检测</w:t>
      </w:r>
      <w:r>
        <w:rPr>
          <w:rFonts w:hint="eastAsia" w:ascii="Times New Roman" w:hAnsi="Times New Roman" w:eastAsia="宋体" w:cs="Times New Roman"/>
          <w:lang w:eastAsia="zh-CN"/>
        </w:rPr>
        <w:t>研究院</w:t>
      </w:r>
      <w:r>
        <w:rPr>
          <w:rFonts w:hint="default" w:ascii="Times New Roman" w:hAnsi="Times New Roman" w:eastAsia="宋体" w:cs="Times New Roman"/>
          <w:lang w:eastAsia="zh-CN"/>
        </w:rPr>
        <w:t>有限公司</w:t>
      </w:r>
      <w:r>
        <w:rPr>
          <w:rFonts w:ascii="Times New Roman" w:hAnsi="Times New Roman" w:eastAsia="宋体" w:cs="Times New Roman"/>
        </w:rPr>
        <w:t>（</w:t>
      </w:r>
      <w:r>
        <w:rPr>
          <w:rFonts w:hint="eastAsia" w:ascii="Times New Roman" w:hAnsi="Times New Roman" w:eastAsia="宋体" w:cs="Times New Roman"/>
          <w:lang w:val="en-US" w:eastAsia="zh-CN"/>
        </w:rPr>
        <w:t>F040215</w:t>
      </w:r>
      <w:r>
        <w:rPr>
          <w:rFonts w:ascii="Times New Roman" w:hAnsi="Times New Roman" w:eastAsia="宋体" w:cs="Times New Roman"/>
        </w:rPr>
        <w:t>）20</w:t>
      </w:r>
      <w:r>
        <w:rPr>
          <w:rFonts w:hint="eastAsia" w:ascii="Times New Roman" w:hAnsi="Times New Roman" w:eastAsia="宋体" w:cs="Times New Roman"/>
          <w:lang w:val="en-US" w:eastAsia="zh-CN"/>
        </w:rPr>
        <w:t>26.5.23</w:t>
      </w:r>
      <w:r>
        <w:rPr>
          <w:rFonts w:ascii="Times New Roman" w:hAnsi="Times New Roman" w:eastAsia="宋体" w:cs="Times New Roman"/>
        </w:rPr>
        <w:t>。</w:t>
      </w:r>
    </w:p>
    <w:p w14:paraId="002DDDB2">
      <w:pPr>
        <w:pStyle w:val="59"/>
        <w:ind w:firstLine="48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15.河南省恒明新能源有限公司；排污许可证证书编号：</w:t>
      </w:r>
      <w:r>
        <w:rPr>
          <w:rFonts w:hint="default" w:ascii="Times New Roman" w:hAnsi="Times New Roman" w:eastAsia="宋体" w:cs="Times New Roman"/>
          <w:lang w:val="en-US" w:eastAsia="zh-CN"/>
        </w:rPr>
        <w:t>91410711MA3X7RRD2H001R</w:t>
      </w:r>
      <w:r>
        <w:rPr>
          <w:rFonts w:hint="eastAsia" w:ascii="Times New Roman" w:hAnsi="Times New Roman" w:eastAsia="宋体" w:cs="Times New Roman"/>
          <w:lang w:val="en-US" w:eastAsia="zh-CN"/>
        </w:rPr>
        <w:t>；管理类别：简化管理；有效期：</w:t>
      </w:r>
      <w:r>
        <w:rPr>
          <w:rFonts w:hint="default" w:ascii="Times New Roman" w:hAnsi="Times New Roman" w:eastAsia="宋体" w:cs="Times New Roman"/>
          <w:lang w:val="en-US" w:eastAsia="zh-CN"/>
        </w:rPr>
        <w:t>2026</w:t>
      </w:r>
      <w:r>
        <w:rPr>
          <w:rFonts w:hint="eastAsia" w:ascii="Times New Roman" w:hAnsi="Times New Roman" w:eastAsia="宋体" w:cs="Times New Roman"/>
          <w:lang w:val="en-US" w:eastAsia="zh-CN"/>
        </w:rPr>
        <w:t>年</w:t>
      </w:r>
      <w:r>
        <w:rPr>
          <w:rFonts w:hint="default" w:ascii="Times New Roman" w:hAnsi="Times New Roman" w:eastAsia="宋体" w:cs="Times New Roman"/>
          <w:lang w:val="en-US" w:eastAsia="zh-CN"/>
        </w:rPr>
        <w:t>03</w:t>
      </w:r>
      <w:r>
        <w:rPr>
          <w:rFonts w:hint="eastAsia" w:ascii="Times New Roman" w:hAnsi="Times New Roman" w:eastAsia="宋体" w:cs="Times New Roman"/>
          <w:lang w:val="en-US" w:eastAsia="zh-CN"/>
        </w:rPr>
        <w:t>月</w:t>
      </w:r>
      <w:r>
        <w:rPr>
          <w:rFonts w:hint="default" w:ascii="Times New Roman" w:hAnsi="Times New Roman" w:eastAsia="宋体" w:cs="Times New Roman"/>
          <w:lang w:val="en-US" w:eastAsia="zh-CN"/>
        </w:rPr>
        <w:t>25</w:t>
      </w:r>
      <w:r>
        <w:rPr>
          <w:rFonts w:hint="eastAsia" w:ascii="Times New Roman" w:hAnsi="Times New Roman" w:eastAsia="宋体" w:cs="Times New Roman"/>
          <w:lang w:val="en-US" w:eastAsia="zh-CN"/>
        </w:rPr>
        <w:t>日至</w:t>
      </w:r>
      <w:r>
        <w:rPr>
          <w:rFonts w:hint="default" w:ascii="Times New Roman" w:hAnsi="Times New Roman" w:eastAsia="宋体" w:cs="Times New Roman"/>
          <w:lang w:val="en-US" w:eastAsia="zh-CN"/>
        </w:rPr>
        <w:t>2031</w:t>
      </w:r>
      <w:r>
        <w:rPr>
          <w:rFonts w:hint="eastAsia" w:ascii="Times New Roman" w:hAnsi="Times New Roman" w:eastAsia="宋体" w:cs="Times New Roman"/>
          <w:lang w:val="en-US" w:eastAsia="zh-CN"/>
        </w:rPr>
        <w:t>年</w:t>
      </w:r>
      <w:r>
        <w:rPr>
          <w:rFonts w:hint="default" w:ascii="Times New Roman" w:hAnsi="Times New Roman" w:eastAsia="宋体" w:cs="Times New Roman"/>
          <w:lang w:val="en-US" w:eastAsia="zh-CN"/>
        </w:rPr>
        <w:t>03</w:t>
      </w:r>
      <w:r>
        <w:rPr>
          <w:rFonts w:hint="eastAsia" w:ascii="Times New Roman" w:hAnsi="Times New Roman" w:eastAsia="宋体" w:cs="Times New Roman"/>
          <w:lang w:val="en-US" w:eastAsia="zh-CN"/>
        </w:rPr>
        <w:t>月</w:t>
      </w:r>
      <w:r>
        <w:rPr>
          <w:rFonts w:hint="default" w:ascii="Times New Roman" w:hAnsi="Times New Roman" w:eastAsia="宋体" w:cs="Times New Roman"/>
          <w:lang w:val="en-US" w:eastAsia="zh-CN"/>
        </w:rPr>
        <w:t>24</w:t>
      </w:r>
      <w:r>
        <w:rPr>
          <w:rFonts w:hint="eastAsia" w:ascii="Times New Roman" w:hAnsi="Times New Roman" w:eastAsia="宋体" w:cs="Times New Roman"/>
          <w:lang w:val="en-US" w:eastAsia="zh-CN"/>
        </w:rPr>
        <w:t>日。</w:t>
      </w:r>
    </w:p>
    <w:p w14:paraId="14488B1A">
      <w:pPr>
        <w:pStyle w:val="26"/>
        <w:spacing w:after="240" w:line="520" w:lineRule="exact"/>
        <w:rPr>
          <w:highlight w:val="none"/>
        </w:rPr>
      </w:pPr>
      <w:bookmarkStart w:id="6" w:name="_Toc501703520"/>
      <w:bookmarkStart w:id="7" w:name="_Toc504492810"/>
      <w:r>
        <w:rPr>
          <w:highlight w:val="none"/>
        </w:rPr>
        <w:t>3、项目建设情况</w:t>
      </w:r>
      <w:bookmarkEnd w:id="6"/>
      <w:bookmarkEnd w:id="7"/>
    </w:p>
    <w:p w14:paraId="6CB5679E">
      <w:pPr>
        <w:pStyle w:val="3"/>
        <w:spacing w:line="520" w:lineRule="exact"/>
        <w:rPr>
          <w:highlight w:val="none"/>
        </w:rPr>
      </w:pPr>
      <w:bookmarkStart w:id="8" w:name="_Toc501703521"/>
      <w:bookmarkStart w:id="9" w:name="_Toc504492811"/>
      <w:r>
        <w:rPr>
          <w:highlight w:val="none"/>
        </w:rPr>
        <w:t>3.1 地理位置及平面布置</w:t>
      </w:r>
      <w:bookmarkEnd w:id="8"/>
      <w:bookmarkEnd w:id="9"/>
    </w:p>
    <w:p w14:paraId="15BE83E9">
      <w:pPr>
        <w:pStyle w:val="59"/>
        <w:spacing w:line="520" w:lineRule="exact"/>
        <w:ind w:firstLine="480"/>
        <w:rPr>
          <w:highlight w:val="none"/>
        </w:rPr>
      </w:pPr>
      <w:r>
        <w:rPr>
          <w:szCs w:val="24"/>
          <w:highlight w:val="none"/>
        </w:rPr>
        <w:t>河南省恒明新能源有限公司位于</w:t>
      </w:r>
      <w:r>
        <w:rPr>
          <w:highlight w:val="none"/>
        </w:rPr>
        <w:t>新乡化学与物理电源产业园区内</w:t>
      </w:r>
      <w:r>
        <w:rPr>
          <w:szCs w:val="24"/>
          <w:highlight w:val="none"/>
        </w:rPr>
        <w:t>，</w:t>
      </w:r>
      <w:r>
        <w:rPr>
          <w:highlight w:val="none"/>
        </w:rPr>
        <w:t>四周环境为：</w:t>
      </w:r>
      <w:r>
        <w:rPr>
          <w:rFonts w:hint="eastAsia" w:ascii="Times New Roman" w:hAnsi="Times New Roman" w:eastAsia="宋体" w:cs="Times New Roman"/>
          <w:sz w:val="24"/>
          <w:szCs w:val="24"/>
          <w:lang w:val="en-US" w:eastAsia="zh-CN" w:bidi="ar"/>
        </w:rPr>
        <w:t>北侧为新乡天力锂能股份有限公司，东侧为</w:t>
      </w:r>
      <w:bookmarkStart w:id="10" w:name="OLE_LINK38"/>
      <w:r>
        <w:rPr>
          <w:rFonts w:hint="eastAsia" w:ascii="Times New Roman" w:hAnsi="Times New Roman" w:eastAsia="宋体" w:cs="Times New Roman"/>
          <w:sz w:val="24"/>
          <w:szCs w:val="24"/>
          <w:lang w:val="en-US" w:eastAsia="zh-CN" w:bidi="ar"/>
        </w:rPr>
        <w:t>河南日进新能源科技有限公司</w:t>
      </w:r>
      <w:bookmarkEnd w:id="10"/>
      <w:r>
        <w:rPr>
          <w:rFonts w:hint="eastAsia" w:ascii="Times New Roman" w:hAnsi="Times New Roman" w:eastAsia="宋体" w:cs="Times New Roman"/>
          <w:sz w:val="24"/>
          <w:szCs w:val="24"/>
          <w:lang w:val="en-US" w:eastAsia="zh-CN" w:bidi="ar"/>
        </w:rPr>
        <w:t>，西侧为新乡市领先轻工机械有限公司，南侧为菏宝高速。项目周围的最近环境敏感点为：东南</w:t>
      </w:r>
      <w:r>
        <w:rPr>
          <w:rFonts w:hint="default" w:ascii="Times New Roman" w:hAnsi="Times New Roman" w:eastAsia="宋体" w:cs="Times New Roman"/>
          <w:sz w:val="24"/>
          <w:szCs w:val="24"/>
          <w:lang w:val="en-US" w:eastAsia="zh-CN" w:bidi="ar"/>
        </w:rPr>
        <w:t>667m</w:t>
      </w:r>
      <w:r>
        <w:rPr>
          <w:rFonts w:hint="eastAsia" w:ascii="Times New Roman" w:hAnsi="Times New Roman" w:eastAsia="宋体" w:cs="Times New Roman"/>
          <w:sz w:val="24"/>
          <w:szCs w:val="24"/>
          <w:lang w:val="en-US" w:eastAsia="zh-CN" w:bidi="ar"/>
        </w:rPr>
        <w:t>处的临清店村。</w:t>
      </w:r>
      <w:r>
        <w:rPr>
          <w:highlight w:val="none"/>
        </w:rPr>
        <w:t>周围环境示意图如下：</w:t>
      </w:r>
    </w:p>
    <w:p w14:paraId="30F4E0B8">
      <w:pPr>
        <w:spacing w:line="520" w:lineRule="exact"/>
        <w:ind w:firstLine="480" w:firstLineChars="200"/>
        <w:rPr>
          <w:rFonts w:eastAsia="黑体" w:cs="Times New Roman"/>
          <w:sz w:val="24"/>
          <w:szCs w:val="24"/>
          <w:highlight w:val="none"/>
        </w:rPr>
      </w:pPr>
      <w:r>
        <w:rPr>
          <w:rFonts w:cs="Times New Roman"/>
          <w:sz w:val="24"/>
          <w:szCs w:val="24"/>
          <w:highlight w:val="none"/>
        </w:rPr>
        <w:t>根据实际勘查，项目实际建设地点以及周围</w:t>
      </w:r>
      <w:r>
        <w:rPr>
          <w:rFonts w:cs="Times New Roman"/>
          <w:sz w:val="24"/>
          <w:szCs w:val="20"/>
          <w:highlight w:val="none"/>
        </w:rPr>
        <w:t>环境敏感点位置与环评及批复内容</w:t>
      </w:r>
      <w:r>
        <w:rPr>
          <w:rFonts w:hint="eastAsia" w:cs="Times New Roman"/>
          <w:sz w:val="24"/>
          <w:szCs w:val="20"/>
          <w:highlight w:val="none"/>
          <w:lang w:val="en-US" w:eastAsia="zh-CN"/>
        </w:rPr>
        <w:t>基本</w:t>
      </w:r>
      <w:r>
        <w:rPr>
          <w:rFonts w:cs="Times New Roman"/>
          <w:sz w:val="24"/>
          <w:szCs w:val="20"/>
          <w:highlight w:val="none"/>
        </w:rPr>
        <w:t>一致。</w:t>
      </w:r>
      <w:r>
        <w:rPr>
          <w:rFonts w:cs="Times New Roman"/>
          <w:sz w:val="24"/>
          <w:szCs w:val="24"/>
          <w:highlight w:val="none"/>
        </w:rPr>
        <w:t>项目周边环境示意图见图1。</w:t>
      </w:r>
    </w:p>
    <w:p w14:paraId="7C9560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cs="Times New Roman"/>
          <w:highlight w:val="none"/>
        </w:rPr>
      </w:pPr>
      <w:r>
        <w:rPr>
          <w:rFonts w:ascii="宋体" w:hAnsi="宋体" w:eastAsia="宋体" w:cs="宋体"/>
          <w:sz w:val="24"/>
          <w:szCs w:val="24"/>
          <w:lang w:eastAsia="zh-CN"/>
        </w:rPr>
        <w:pict>
          <v:shape id="_x0000_s1933" o:spid="_x0000_s1933" o:spt="62" type="#_x0000_t62" style="position:absolute;left:0pt;margin-left:320.95pt;margin-top:225.95pt;height:19.3pt;width:81.85pt;z-index:251664384;mso-width-relative:margin;mso-height-relative:margin;" filled="f" stroked="t" coordsize="21600,21600" adj="-3133,42531">
            <v:path/>
            <v:fill on="f" focussize="0,0"/>
            <v:stroke weight="1pt" color="#FFFF00" joinstyle="miter"/>
            <v:imagedata o:title=""/>
            <o:lock v:ext="edit"/>
            <v:textbox>
              <w:txbxContent>
                <w:p w14:paraId="1293B645">
                  <w:pPr>
                    <w:keepNext w:val="0"/>
                    <w:keepLines w:val="0"/>
                    <w:widowControl/>
                    <w:suppressLineNumbers w:val="0"/>
                    <w:adjustRightInd w:val="0"/>
                    <w:snapToGrid w:val="0"/>
                    <w:spacing w:before="0" w:beforeAutospacing="0" w:after="200" w:afterAutospacing="0"/>
                    <w:ind w:left="0" w:right="0"/>
                    <w:jc w:val="center"/>
                    <w:rPr>
                      <w:color w:val="FFFF00"/>
                      <w:sz w:val="15"/>
                      <w:szCs w:val="15"/>
                      <w:lang w:val="en-US"/>
                    </w:rPr>
                  </w:pPr>
                  <w:r>
                    <w:rPr>
                      <w:rFonts w:hint="eastAsia" w:ascii="Times New Roman" w:hAnsi="Times New Roman" w:eastAsia="宋体" w:cs="宋体"/>
                      <w:snapToGrid/>
                      <w:color w:val="FFFF00"/>
                      <w:kern w:val="0"/>
                      <w:sz w:val="15"/>
                      <w:szCs w:val="15"/>
                      <w:lang w:val="en-US" w:eastAsia="zh-CN" w:bidi="ar"/>
                    </w:rPr>
                    <w:t>（</w:t>
                  </w:r>
                  <w:r>
                    <w:rPr>
                      <w:rFonts w:hint="default" w:ascii="Times New Roman" w:hAnsi="Times New Roman" w:eastAsia="宋体" w:cs="Times New Roman"/>
                      <w:snapToGrid/>
                      <w:color w:val="FFFF00"/>
                      <w:kern w:val="0"/>
                      <w:sz w:val="15"/>
                      <w:szCs w:val="15"/>
                      <w:lang w:val="en-US" w:eastAsia="zh-CN" w:bidi="ar"/>
                    </w:rPr>
                    <w:t>667m</w:t>
                  </w:r>
                  <w:r>
                    <w:rPr>
                      <w:rFonts w:hint="eastAsia" w:ascii="Times New Roman" w:hAnsi="Times New Roman" w:eastAsia="宋体" w:cs="宋体"/>
                      <w:snapToGrid/>
                      <w:color w:val="FFFF00"/>
                      <w:kern w:val="0"/>
                      <w:sz w:val="15"/>
                      <w:szCs w:val="15"/>
                      <w:lang w:val="en-US" w:eastAsia="zh-CN" w:bidi="ar"/>
                    </w:rPr>
                    <w:t>）临清店村</w:t>
                  </w:r>
                </w:p>
              </w:txbxContent>
            </v:textbox>
          </v:shape>
        </w:pict>
      </w:r>
      <w:r>
        <w:rPr>
          <w:rFonts w:ascii="宋体" w:hAnsi="宋体" w:eastAsia="宋体" w:cs="宋体"/>
          <w:sz w:val="24"/>
          <w:szCs w:val="24"/>
          <w:lang w:eastAsia="zh-CN"/>
        </w:rPr>
        <w:pict>
          <v:shape id="_x0000_s1930" o:spid="_x0000_s1930" o:spt="62" type="#_x0000_t62" style="position:absolute;left:0pt;margin-left:256.85pt;margin-top:171.75pt;height:30pt;width:76pt;z-index:251664384;mso-width-relative:margin;mso-height-relative:margin;" filled="f" stroked="t" coordsize="21600,21600" adj="-7035,-23239">
            <v:path/>
            <v:fill on="f" focussize="0,0"/>
            <v:stroke weight="1pt" color="#FF0000" joinstyle="miter"/>
            <v:imagedata o:title=""/>
            <o:lock v:ext="edit"/>
            <v:textbox>
              <w:txbxContent>
                <w:p w14:paraId="7FE62CAA">
                  <w:pPr>
                    <w:keepNext w:val="0"/>
                    <w:keepLines w:val="0"/>
                    <w:widowControl/>
                    <w:suppressLineNumbers w:val="0"/>
                    <w:adjustRightInd w:val="0"/>
                    <w:snapToGrid w:val="0"/>
                    <w:spacing w:before="0" w:beforeAutospacing="0" w:after="200" w:afterAutospacing="0"/>
                    <w:ind w:left="0" w:right="0"/>
                    <w:jc w:val="center"/>
                    <w:rPr>
                      <w:color w:val="FF0000"/>
                      <w:sz w:val="15"/>
                      <w:szCs w:val="15"/>
                      <w:lang w:val="en-US"/>
                    </w:rPr>
                  </w:pPr>
                  <w:r>
                    <w:rPr>
                      <w:rFonts w:hint="eastAsia" w:ascii="Times New Roman" w:hAnsi="Times New Roman" w:eastAsia="宋体" w:cs="宋体"/>
                      <w:snapToGrid/>
                      <w:color w:val="FF0000"/>
                      <w:kern w:val="0"/>
                      <w:sz w:val="15"/>
                      <w:szCs w:val="15"/>
                      <w:lang w:val="en-US" w:eastAsia="zh-CN" w:bidi="ar"/>
                    </w:rPr>
                    <w:t>河南省恒明新能源有限公司</w:t>
                  </w:r>
                </w:p>
              </w:txbxContent>
            </v:textbox>
          </v:shape>
        </w:pict>
      </w:r>
      <w:r>
        <w:rPr>
          <w:rFonts w:ascii="宋体" w:hAnsi="宋体" w:eastAsia="宋体" w:cs="宋体"/>
          <w:sz w:val="24"/>
          <w:szCs w:val="24"/>
          <w:lang w:eastAsia="zh-CN"/>
        </w:rPr>
        <w:pict>
          <v:shape id="_x0000_s1929" o:spid="_x0000_s1929" o:spt="62" type="#_x0000_t62" style="position:absolute;left:0pt;margin-left:265.6pt;margin-top:86.9pt;height:30.75pt;width:78pt;z-index:251664384;mso-width-relative:margin;mso-height-relative:margin;" filled="f" stroked="t" coordsize="21600,21600" adj="-6223,24901">
            <v:path/>
            <v:fill on="f" focussize="0,0"/>
            <v:stroke weight="1pt" color="#FFFF00" joinstyle="miter"/>
            <v:imagedata o:title=""/>
            <o:lock v:ext="edit"/>
            <v:textbox>
              <w:txbxContent>
                <w:p w14:paraId="67577F72">
                  <w:pPr>
                    <w:keepNext w:val="0"/>
                    <w:keepLines w:val="0"/>
                    <w:widowControl/>
                    <w:suppressLineNumbers w:val="0"/>
                    <w:adjustRightInd w:val="0"/>
                    <w:snapToGrid w:val="0"/>
                    <w:spacing w:before="0" w:beforeAutospacing="0" w:after="200" w:afterAutospacing="0"/>
                    <w:ind w:left="0" w:right="0"/>
                    <w:jc w:val="center"/>
                    <w:rPr>
                      <w:color w:val="FFFF00"/>
                      <w:sz w:val="15"/>
                      <w:szCs w:val="15"/>
                      <w:lang w:val="en-US"/>
                    </w:rPr>
                  </w:pPr>
                  <w:r>
                    <w:rPr>
                      <w:rFonts w:hint="eastAsia" w:ascii="Times New Roman" w:hAnsi="Times New Roman" w:eastAsia="宋体" w:cs="宋体"/>
                      <w:snapToGrid/>
                      <w:color w:val="FFFF00"/>
                      <w:kern w:val="0"/>
                      <w:sz w:val="15"/>
                      <w:szCs w:val="15"/>
                      <w:lang w:val="en-US" w:eastAsia="zh-CN" w:bidi="ar"/>
                    </w:rPr>
                    <w:t>河南日进新能源科技有限公司</w:t>
                  </w:r>
                </w:p>
              </w:txbxContent>
            </v:textbox>
          </v:shape>
        </w:pict>
      </w:r>
      <w:r>
        <w:rPr>
          <w:rFonts w:ascii="宋体" w:hAnsi="宋体" w:eastAsia="宋体" w:cs="宋体"/>
          <w:sz w:val="24"/>
          <w:szCs w:val="24"/>
          <w:lang w:eastAsia="zh-CN"/>
        </w:rPr>
        <w:pict>
          <v:shape id="_x0000_s1928" o:spid="_x0000_s1928" o:spt="62" type="#_x0000_t62" style="position:absolute;left:0pt;margin-left:79.85pt;margin-top:108.85pt;height:30.75pt;width:78pt;z-index:251664384;mso-width-relative:margin;mso-height-relative:margin;" filled="f" stroked="t" coordsize="21600,21600" adj="31658,11730">
            <v:path/>
            <v:fill on="f" focussize="0,0"/>
            <v:stroke weight="1pt" color="#FFFF00" joinstyle="miter"/>
            <v:imagedata o:title=""/>
            <o:lock v:ext="edit"/>
            <v:textbox>
              <w:txbxContent>
                <w:p w14:paraId="61DE62F3">
                  <w:pPr>
                    <w:keepNext w:val="0"/>
                    <w:keepLines w:val="0"/>
                    <w:widowControl/>
                    <w:suppressLineNumbers w:val="0"/>
                    <w:adjustRightInd w:val="0"/>
                    <w:snapToGrid w:val="0"/>
                    <w:spacing w:before="0" w:beforeAutospacing="0" w:after="200" w:afterAutospacing="0"/>
                    <w:ind w:left="0" w:right="0"/>
                    <w:jc w:val="center"/>
                    <w:rPr>
                      <w:color w:val="FFFF00"/>
                      <w:sz w:val="15"/>
                      <w:szCs w:val="15"/>
                      <w:lang w:val="en-US"/>
                    </w:rPr>
                  </w:pPr>
                  <w:r>
                    <w:rPr>
                      <w:rFonts w:hint="eastAsia" w:ascii="Times New Roman" w:hAnsi="Times New Roman" w:eastAsia="宋体" w:cs="宋体"/>
                      <w:snapToGrid/>
                      <w:color w:val="FFFF00"/>
                      <w:kern w:val="0"/>
                      <w:sz w:val="15"/>
                      <w:szCs w:val="15"/>
                      <w:lang w:val="en-US" w:eastAsia="zh-CN" w:bidi="ar"/>
                    </w:rPr>
                    <w:t>新乡市领先轻工机械有限公司</w:t>
                  </w:r>
                </w:p>
              </w:txbxContent>
            </v:textbox>
          </v:shape>
        </w:pict>
      </w:r>
      <w:r>
        <w:rPr>
          <w:rFonts w:ascii="宋体" w:hAnsi="宋体" w:eastAsia="宋体" w:cs="宋体"/>
          <w:sz w:val="24"/>
          <w:szCs w:val="24"/>
          <w:lang w:eastAsia="zh-CN"/>
        </w:rPr>
        <w:pict>
          <v:shape id="_x0000_s1927" o:spid="_x0000_s1927" o:spt="62" type="#_x0000_t62" style="position:absolute;left:0pt;margin-left:122.4pt;margin-top:29.5pt;height:30.75pt;width:73.5pt;z-index:251664384;mso-width-relative:margin;mso-height-relative:margin;" filled="f" stroked="t" coordsize="21600,21600" adj="29704,44393">
            <v:path/>
            <v:fill on="f" focussize="0,0"/>
            <v:stroke weight="1pt" color="#FFFF00" joinstyle="miter"/>
            <v:imagedata o:title=""/>
            <o:lock v:ext="edit"/>
            <v:textbox>
              <w:txbxContent>
                <w:p w14:paraId="76D62687">
                  <w:pPr>
                    <w:keepNext w:val="0"/>
                    <w:keepLines w:val="0"/>
                    <w:widowControl/>
                    <w:suppressLineNumbers w:val="0"/>
                    <w:adjustRightInd w:val="0"/>
                    <w:snapToGrid w:val="0"/>
                    <w:spacing w:before="0" w:beforeAutospacing="0" w:after="200" w:afterAutospacing="0"/>
                    <w:ind w:left="0" w:right="0"/>
                    <w:jc w:val="center"/>
                    <w:rPr>
                      <w:color w:val="FFFF00"/>
                      <w:sz w:val="15"/>
                      <w:szCs w:val="15"/>
                      <w:lang w:val="en-US"/>
                    </w:rPr>
                  </w:pPr>
                  <w:r>
                    <w:rPr>
                      <w:rFonts w:hint="eastAsia" w:ascii="Times New Roman" w:hAnsi="Times New Roman" w:eastAsia="宋体" w:cs="宋体"/>
                      <w:snapToGrid/>
                      <w:color w:val="FFFF00"/>
                      <w:kern w:val="0"/>
                      <w:sz w:val="15"/>
                      <w:szCs w:val="15"/>
                      <w:lang w:val="en-US" w:eastAsia="zh-CN" w:bidi="ar"/>
                    </w:rPr>
                    <w:t>新乡天力锂能股份有限公司</w:t>
                  </w:r>
                </w:p>
              </w:txbxContent>
            </v:textbox>
          </v:shape>
        </w:pict>
      </w:r>
      <w:r>
        <w:drawing>
          <wp:anchor distT="0" distB="0" distL="114300" distR="114300" simplePos="0" relativeHeight="251663360" behindDoc="0" locked="0" layoutInCell="1" allowOverlap="1">
            <wp:simplePos x="0" y="0"/>
            <wp:positionH relativeFrom="column">
              <wp:posOffset>74295</wp:posOffset>
            </wp:positionH>
            <wp:positionV relativeFrom="paragraph">
              <wp:posOffset>175260</wp:posOffset>
            </wp:positionV>
            <wp:extent cx="579120" cy="548640"/>
            <wp:effectExtent l="0" t="0" r="11430" b="3810"/>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
                    <a:stretch>
                      <a:fillRect/>
                    </a:stretch>
                  </pic:blipFill>
                  <pic:spPr>
                    <a:xfrm>
                      <a:off x="0" y="0"/>
                      <a:ext cx="579120" cy="548640"/>
                    </a:xfrm>
                    <a:prstGeom prst="rect">
                      <a:avLst/>
                    </a:prstGeom>
                    <a:noFill/>
                    <a:ln>
                      <a:noFill/>
                    </a:ln>
                  </pic:spPr>
                </pic:pic>
              </a:graphicData>
            </a:graphic>
          </wp:anchor>
        </w:drawing>
      </w:r>
      <w:r>
        <w:drawing>
          <wp:inline distT="0" distB="0" distL="114300" distR="114300">
            <wp:extent cx="5271770" cy="3771900"/>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1770" cy="3771900"/>
                    </a:xfrm>
                    <a:prstGeom prst="rect">
                      <a:avLst/>
                    </a:prstGeom>
                    <a:noFill/>
                    <a:ln>
                      <a:noFill/>
                    </a:ln>
                  </pic:spPr>
                </pic:pic>
              </a:graphicData>
            </a:graphic>
          </wp:inline>
        </w:drawing>
      </w:r>
    </w:p>
    <w:p w14:paraId="7000A356">
      <w:pPr>
        <w:ind w:firstLine="480"/>
        <w:jc w:val="center"/>
        <w:rPr>
          <w:rFonts w:eastAsia="黑体" w:cs="Times New Roman"/>
          <w:sz w:val="24"/>
          <w:szCs w:val="24"/>
          <w:highlight w:val="none"/>
        </w:rPr>
      </w:pPr>
      <w:r>
        <w:rPr>
          <w:rFonts w:ascii="宋体" w:hAnsi="宋体" w:eastAsia="宋体" w:cs="宋体"/>
          <w:sz w:val="24"/>
          <w:szCs w:val="24"/>
          <w:lang w:eastAsia="zh-CN"/>
        </w:rPr>
        <w:pict>
          <v:shape id="_x0000_s1932" o:spid="_x0000_s1932" o:spt="62" type="#_x0000_t62" style="position:absolute;left:0pt;margin-left:415.95pt;margin-top:525.45pt;height:19.3pt;width:81.85pt;z-index:251664384;mso-width-relative:margin;mso-height-relative:margin;" filled="f" stroked="t" coordsize="21600,21600" adj="-3133,42531">
            <v:path/>
            <v:fill on="f" focussize="0,0"/>
            <v:stroke weight="1pt" color="#FFFF00" joinstyle="miter"/>
            <v:imagedata o:title=""/>
            <o:lock v:ext="edit"/>
            <v:textbox>
              <w:txbxContent>
                <w:p w14:paraId="02E0B909">
                  <w:pPr>
                    <w:keepNext w:val="0"/>
                    <w:keepLines w:val="0"/>
                    <w:widowControl/>
                    <w:suppressLineNumbers w:val="0"/>
                    <w:adjustRightInd w:val="0"/>
                    <w:snapToGrid w:val="0"/>
                    <w:spacing w:before="0" w:beforeAutospacing="0" w:after="200" w:afterAutospacing="0"/>
                    <w:ind w:left="0" w:right="0"/>
                    <w:jc w:val="center"/>
                    <w:rPr>
                      <w:color w:val="FFFF00"/>
                      <w:sz w:val="15"/>
                      <w:szCs w:val="15"/>
                      <w:lang w:val="en-US"/>
                    </w:rPr>
                  </w:pPr>
                  <w:r>
                    <w:rPr>
                      <w:rFonts w:hint="eastAsia" w:ascii="Times New Roman" w:hAnsi="Times New Roman" w:eastAsia="宋体" w:cs="宋体"/>
                      <w:snapToGrid/>
                      <w:color w:val="FFFF00"/>
                      <w:kern w:val="0"/>
                      <w:sz w:val="15"/>
                      <w:szCs w:val="15"/>
                      <w:lang w:val="en-US" w:eastAsia="zh-CN" w:bidi="ar"/>
                    </w:rPr>
                    <w:t>（</w:t>
                  </w:r>
                  <w:r>
                    <w:rPr>
                      <w:rFonts w:hint="default" w:ascii="Times New Roman" w:hAnsi="Times New Roman" w:eastAsia="宋体" w:cs="Times New Roman"/>
                      <w:snapToGrid/>
                      <w:color w:val="FFFF00"/>
                      <w:kern w:val="0"/>
                      <w:sz w:val="15"/>
                      <w:szCs w:val="15"/>
                      <w:lang w:val="en-US" w:eastAsia="zh-CN" w:bidi="ar"/>
                    </w:rPr>
                    <w:t>667m</w:t>
                  </w:r>
                  <w:r>
                    <w:rPr>
                      <w:rFonts w:hint="eastAsia" w:ascii="Times New Roman" w:hAnsi="Times New Roman" w:eastAsia="宋体" w:cs="宋体"/>
                      <w:snapToGrid/>
                      <w:color w:val="FFFF00"/>
                      <w:kern w:val="0"/>
                      <w:sz w:val="15"/>
                      <w:szCs w:val="15"/>
                      <w:lang w:val="en-US" w:eastAsia="zh-CN" w:bidi="ar"/>
                    </w:rPr>
                    <w:t>）临清店村</w:t>
                  </w:r>
                </w:p>
              </w:txbxContent>
            </v:textbox>
          </v:shape>
        </w:pict>
      </w:r>
      <w:r>
        <w:rPr>
          <w:rFonts w:eastAsia="黑体" w:cs="Times New Roman"/>
          <w:sz w:val="24"/>
          <w:szCs w:val="24"/>
          <w:highlight w:val="none"/>
        </w:rPr>
        <w:t>图3-1   项目周围环境示意图</w:t>
      </w:r>
      <w:r>
        <w:rPr>
          <w:rFonts w:hint="eastAsia" w:ascii="Times New Roman" w:hAnsi="Times New Roman" w:eastAsia="黑体" w:cs="Times New Roman"/>
          <w:kern w:val="2"/>
          <w:sz w:val="24"/>
          <w:szCs w:val="24"/>
          <w:lang w:val="en-US" w:eastAsia="zh-CN" w:bidi="ar"/>
        </w:rPr>
        <w:t>（比例尺</w:t>
      </w:r>
      <w:r>
        <w:rPr>
          <w:rFonts w:hint="default" w:ascii="Times New Roman" w:hAnsi="Times New Roman" w:eastAsia="黑体" w:cs="Times New Roman"/>
          <w:kern w:val="2"/>
          <w:sz w:val="24"/>
          <w:szCs w:val="24"/>
          <w:lang w:val="en-US" w:eastAsia="zh-CN" w:bidi="ar"/>
        </w:rPr>
        <w:t>1</w:t>
      </w:r>
      <w:r>
        <w:rPr>
          <w:rFonts w:hint="eastAsia" w:ascii="Times New Roman" w:hAnsi="Times New Roman" w:eastAsia="黑体" w:cs="Times New Roman"/>
          <w:kern w:val="2"/>
          <w:sz w:val="24"/>
          <w:szCs w:val="24"/>
          <w:lang w:val="en-US" w:eastAsia="zh-CN" w:bidi="ar"/>
        </w:rPr>
        <w:t>：</w:t>
      </w:r>
      <w:r>
        <w:rPr>
          <w:rFonts w:hint="default" w:ascii="Times New Roman" w:hAnsi="Times New Roman" w:eastAsia="黑体" w:cs="Times New Roman"/>
          <w:kern w:val="2"/>
          <w:sz w:val="24"/>
          <w:szCs w:val="24"/>
          <w:lang w:val="en-US" w:eastAsia="zh-CN" w:bidi="ar"/>
        </w:rPr>
        <w:t>12000</w:t>
      </w:r>
      <w:r>
        <w:rPr>
          <w:rFonts w:hint="eastAsia" w:ascii="Times New Roman" w:hAnsi="Times New Roman" w:eastAsia="黑体" w:cs="Times New Roman"/>
          <w:kern w:val="2"/>
          <w:sz w:val="24"/>
          <w:szCs w:val="24"/>
          <w:lang w:val="en-US" w:eastAsia="zh-CN" w:bidi="ar"/>
        </w:rPr>
        <w:t>）</w:t>
      </w:r>
      <w:r>
        <w:rPr>
          <w:rFonts w:ascii="宋体" w:hAnsi="宋体" w:eastAsia="宋体" w:cs="宋体"/>
          <w:sz w:val="24"/>
          <w:szCs w:val="24"/>
          <w:lang w:eastAsia="zh-CN"/>
        </w:rPr>
        <w:pict>
          <v:shape id="对话气泡: 圆角矩形 2" o:spid="_x0000_s1926" o:spt="62" type="#_x0000_t62" style="position:absolute;left:0pt;margin-left:198.25pt;margin-top:318.65pt;height:30.75pt;width:73.5pt;z-index:251664384;mso-width-relative:margin;mso-height-relative:margin;" filled="f" stroked="t" coordsize="21600,21600" adj="29704,44393">
            <v:path/>
            <v:fill on="f" focussize="0,0"/>
            <v:stroke weight="1pt" color="#FFFF00" joinstyle="miter"/>
            <v:imagedata o:title=""/>
            <o:lock v:ext="edit"/>
            <v:textbox>
              <w:txbxContent>
                <w:p w14:paraId="06F9D866">
                  <w:pPr>
                    <w:keepNext w:val="0"/>
                    <w:keepLines w:val="0"/>
                    <w:widowControl/>
                    <w:suppressLineNumbers w:val="0"/>
                    <w:adjustRightInd w:val="0"/>
                    <w:snapToGrid w:val="0"/>
                    <w:spacing w:before="0" w:beforeAutospacing="0" w:after="200" w:afterAutospacing="0"/>
                    <w:ind w:left="0" w:right="0"/>
                    <w:jc w:val="center"/>
                    <w:rPr>
                      <w:color w:val="FFFF00"/>
                      <w:sz w:val="15"/>
                      <w:szCs w:val="15"/>
                      <w:lang w:val="en-US"/>
                    </w:rPr>
                  </w:pPr>
                  <w:r>
                    <w:rPr>
                      <w:rFonts w:hint="eastAsia" w:ascii="Times New Roman" w:hAnsi="Times New Roman" w:eastAsia="宋体" w:cs="宋体"/>
                      <w:snapToGrid/>
                      <w:color w:val="FFFF00"/>
                      <w:kern w:val="0"/>
                      <w:sz w:val="15"/>
                      <w:szCs w:val="15"/>
                      <w:lang w:val="en-US" w:eastAsia="zh-CN" w:bidi="ar"/>
                    </w:rPr>
                    <w:t>新乡天力锂能股份有限公司</w:t>
                  </w:r>
                </w:p>
              </w:txbxContent>
            </v:textbox>
          </v:shape>
        </w:pict>
      </w:r>
    </w:p>
    <w:p w14:paraId="797873B1">
      <w:pPr>
        <w:spacing w:line="520" w:lineRule="exact"/>
        <w:ind w:firstLine="480" w:firstLineChars="200"/>
        <w:rPr>
          <w:rFonts w:cs="Times New Roman"/>
          <w:sz w:val="24"/>
          <w:szCs w:val="24"/>
          <w:highlight w:val="yellow"/>
        </w:rPr>
      </w:pPr>
    </w:p>
    <w:p w14:paraId="75A8F6AD">
      <w:pPr>
        <w:spacing w:line="520" w:lineRule="exact"/>
        <w:ind w:firstLine="480" w:firstLineChars="200"/>
        <w:rPr>
          <w:rFonts w:cs="Times New Roman"/>
          <w:sz w:val="24"/>
          <w:szCs w:val="24"/>
          <w:highlight w:val="yellow"/>
        </w:rPr>
      </w:pPr>
    </w:p>
    <w:p w14:paraId="2CE34D51">
      <w:pPr>
        <w:spacing w:line="520" w:lineRule="exact"/>
        <w:ind w:firstLine="480" w:firstLineChars="200"/>
        <w:rPr>
          <w:rFonts w:cs="Times New Roman"/>
          <w:sz w:val="24"/>
          <w:szCs w:val="24"/>
          <w:highlight w:val="yellow"/>
        </w:rPr>
      </w:pPr>
    </w:p>
    <w:p w14:paraId="309667C7">
      <w:pPr>
        <w:spacing w:line="520" w:lineRule="exact"/>
        <w:ind w:firstLine="480" w:firstLineChars="200"/>
        <w:rPr>
          <w:rFonts w:cs="Times New Roman"/>
          <w:sz w:val="24"/>
          <w:szCs w:val="24"/>
          <w:highlight w:val="yellow"/>
        </w:rPr>
      </w:pPr>
    </w:p>
    <w:p w14:paraId="2DC69DFD">
      <w:pPr>
        <w:pStyle w:val="3"/>
        <w:spacing w:line="520" w:lineRule="exact"/>
        <w:contextualSpacing/>
        <w:rPr>
          <w:highlight w:val="none"/>
        </w:rPr>
      </w:pPr>
      <w:bookmarkStart w:id="11" w:name="_Toc504492812"/>
      <w:bookmarkStart w:id="12" w:name="_Toc501703522"/>
      <w:r>
        <w:rPr>
          <w:highlight w:val="none"/>
        </w:rPr>
        <w:t>3.2建设内容</w:t>
      </w:r>
      <w:bookmarkEnd w:id="11"/>
      <w:bookmarkEnd w:id="12"/>
    </w:p>
    <w:p w14:paraId="629D483C">
      <w:pPr>
        <w:pStyle w:val="4"/>
        <w:spacing w:before="240" w:after="240" w:line="520" w:lineRule="exact"/>
        <w:contextualSpacing/>
        <w:rPr>
          <w:rFonts w:cs="Times New Roman"/>
          <w:highlight w:val="none"/>
        </w:rPr>
      </w:pPr>
      <w:bookmarkStart w:id="13" w:name="_Toc504492813"/>
      <w:bookmarkStart w:id="14" w:name="_Toc501703523"/>
      <w:r>
        <w:rPr>
          <w:rFonts w:cs="Times New Roman"/>
          <w:highlight w:val="none"/>
        </w:rPr>
        <w:t>3.2.1项目概况</w:t>
      </w:r>
      <w:bookmarkEnd w:id="13"/>
      <w:bookmarkEnd w:id="14"/>
    </w:p>
    <w:p w14:paraId="0738749B">
      <w:pPr>
        <w:pStyle w:val="37"/>
        <w:spacing w:line="520" w:lineRule="exact"/>
        <w:rPr>
          <w:highlight w:val="none"/>
        </w:rPr>
      </w:pPr>
      <w:r>
        <w:rPr>
          <w:highlight w:val="none"/>
        </w:rPr>
        <w:t>本项目基本概况见下表。</w:t>
      </w:r>
    </w:p>
    <w:p w14:paraId="26E5034D">
      <w:pPr>
        <w:pStyle w:val="37"/>
        <w:spacing w:line="520" w:lineRule="exact"/>
        <w:ind w:firstLine="480"/>
        <w:rPr>
          <w:spacing w:val="0"/>
          <w:position w:val="0"/>
          <w:highlight w:val="none"/>
        </w:rPr>
      </w:pPr>
      <w:r>
        <w:rPr>
          <w:spacing w:val="0"/>
          <w:position w:val="0"/>
          <w:highlight w:val="none"/>
        </w:rPr>
        <w:t xml:space="preserve">表3-1             </w:t>
      </w:r>
      <w:r>
        <w:rPr>
          <w:rFonts w:hint="eastAsia"/>
          <w:spacing w:val="0"/>
          <w:position w:val="0"/>
          <w:highlight w:val="none"/>
          <w:lang w:val="en-US" w:eastAsia="zh-CN"/>
        </w:rPr>
        <w:t xml:space="preserve">    </w:t>
      </w:r>
      <w:r>
        <w:rPr>
          <w:spacing w:val="0"/>
          <w:position w:val="0"/>
          <w:highlight w:val="none"/>
        </w:rPr>
        <w:t>本项目基本概况一览表</w:t>
      </w:r>
    </w:p>
    <w:tbl>
      <w:tblPr>
        <w:tblStyle w:val="29"/>
        <w:tblW w:w="5000"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665"/>
        <w:gridCol w:w="1232"/>
        <w:gridCol w:w="2873"/>
        <w:gridCol w:w="2873"/>
        <w:gridCol w:w="879"/>
      </w:tblGrid>
      <w:tr w14:paraId="26F8285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3" w:type="dxa"/>
            <w:tcBorders>
              <w:tl2br w:val="nil"/>
              <w:tr2bl w:val="nil"/>
            </w:tcBorders>
            <w:vAlign w:val="center"/>
          </w:tcPr>
          <w:p w14:paraId="62883EDD">
            <w:pPr>
              <w:keepNext w:val="0"/>
              <w:keepLines w:val="0"/>
              <w:suppressLineNumbers w:val="0"/>
              <w:adjustRightInd w:val="0"/>
              <w:snapToGrid w:val="0"/>
              <w:spacing w:before="0" w:beforeAutospacing="0" w:after="0" w:afterAutospacing="0"/>
              <w:ind w:left="0" w:right="0"/>
              <w:jc w:val="center"/>
              <w:rPr>
                <w:rFonts w:hint="default" w:cs="Times New Roman"/>
                <w:b/>
                <w:bCs/>
                <w:highlight w:val="none"/>
              </w:rPr>
            </w:pPr>
            <w:r>
              <w:rPr>
                <w:rFonts w:hint="default" w:cs="Times New Roman"/>
                <w:b/>
                <w:bCs/>
                <w:highlight w:val="none"/>
              </w:rPr>
              <w:t>序号</w:t>
            </w:r>
          </w:p>
        </w:tc>
        <w:tc>
          <w:tcPr>
            <w:tcW w:w="1271" w:type="dxa"/>
            <w:tcBorders>
              <w:tl2br w:val="nil"/>
              <w:tr2bl w:val="nil"/>
            </w:tcBorders>
            <w:vAlign w:val="center"/>
          </w:tcPr>
          <w:p w14:paraId="621888C2">
            <w:pPr>
              <w:keepNext w:val="0"/>
              <w:keepLines w:val="0"/>
              <w:suppressLineNumbers w:val="0"/>
              <w:adjustRightInd w:val="0"/>
              <w:snapToGrid w:val="0"/>
              <w:spacing w:before="0" w:beforeAutospacing="0" w:after="0" w:afterAutospacing="0"/>
              <w:ind w:left="0" w:right="0"/>
              <w:jc w:val="center"/>
              <w:rPr>
                <w:rFonts w:hint="default" w:cs="Times New Roman"/>
                <w:b/>
                <w:bCs/>
                <w:highlight w:val="none"/>
              </w:rPr>
            </w:pPr>
            <w:r>
              <w:rPr>
                <w:rFonts w:hint="default" w:cs="Times New Roman"/>
                <w:b/>
                <w:bCs/>
                <w:highlight w:val="none"/>
              </w:rPr>
              <w:t>项目</w:t>
            </w:r>
          </w:p>
        </w:tc>
        <w:tc>
          <w:tcPr>
            <w:tcW w:w="2977" w:type="dxa"/>
            <w:tcBorders>
              <w:tl2br w:val="nil"/>
              <w:tr2bl w:val="nil"/>
            </w:tcBorders>
            <w:vAlign w:val="center"/>
          </w:tcPr>
          <w:p w14:paraId="11C64CE1">
            <w:pPr>
              <w:keepNext w:val="0"/>
              <w:keepLines w:val="0"/>
              <w:suppressLineNumbers w:val="0"/>
              <w:adjustRightInd w:val="0"/>
              <w:snapToGrid w:val="0"/>
              <w:spacing w:before="0" w:beforeAutospacing="0" w:after="0" w:afterAutospacing="0"/>
              <w:ind w:left="0" w:right="0"/>
              <w:jc w:val="center"/>
              <w:rPr>
                <w:rFonts w:hint="default" w:cs="Times New Roman"/>
                <w:b/>
                <w:bCs/>
                <w:highlight w:val="none"/>
              </w:rPr>
            </w:pPr>
            <w:r>
              <w:rPr>
                <w:rFonts w:hint="default" w:cs="Times New Roman"/>
                <w:b/>
                <w:highlight w:val="none"/>
                <w:lang w:val="pt-BR"/>
              </w:rPr>
              <w:t>环评及批复</w:t>
            </w:r>
            <w:r>
              <w:rPr>
                <w:rFonts w:hint="default" w:cs="Times New Roman"/>
                <w:b/>
                <w:bCs/>
                <w:highlight w:val="none"/>
              </w:rPr>
              <w:t>内容</w:t>
            </w:r>
          </w:p>
        </w:tc>
        <w:tc>
          <w:tcPr>
            <w:tcW w:w="2977" w:type="dxa"/>
            <w:tcBorders>
              <w:tl2br w:val="nil"/>
              <w:tr2bl w:val="nil"/>
            </w:tcBorders>
            <w:vAlign w:val="center"/>
          </w:tcPr>
          <w:p w14:paraId="7BF5C8A4">
            <w:pPr>
              <w:keepNext w:val="0"/>
              <w:keepLines w:val="0"/>
              <w:suppressLineNumbers w:val="0"/>
              <w:adjustRightInd w:val="0"/>
              <w:snapToGrid w:val="0"/>
              <w:spacing w:before="0" w:beforeAutospacing="0" w:after="0" w:afterAutospacing="0"/>
              <w:ind w:left="0" w:right="0"/>
              <w:jc w:val="center"/>
              <w:rPr>
                <w:rFonts w:hint="default" w:cs="Times New Roman"/>
                <w:b/>
                <w:bCs/>
                <w:highlight w:val="none"/>
              </w:rPr>
            </w:pPr>
            <w:r>
              <w:rPr>
                <w:rFonts w:hint="default" w:cs="Times New Roman"/>
                <w:b/>
                <w:highlight w:val="none"/>
                <w:lang w:val="pt-BR"/>
              </w:rPr>
              <w:t>实际建设内容</w:t>
            </w:r>
          </w:p>
        </w:tc>
        <w:tc>
          <w:tcPr>
            <w:tcW w:w="904" w:type="dxa"/>
            <w:tcBorders>
              <w:tl2br w:val="nil"/>
              <w:tr2bl w:val="nil"/>
            </w:tcBorders>
            <w:vAlign w:val="center"/>
          </w:tcPr>
          <w:p w14:paraId="4FB9C4DA">
            <w:pPr>
              <w:keepNext w:val="0"/>
              <w:keepLines w:val="0"/>
              <w:suppressLineNumbers w:val="0"/>
              <w:adjustRightInd w:val="0"/>
              <w:snapToGrid w:val="0"/>
              <w:spacing w:before="0" w:beforeAutospacing="0" w:after="0" w:afterAutospacing="0"/>
              <w:ind w:left="0" w:right="0"/>
              <w:jc w:val="center"/>
              <w:rPr>
                <w:rFonts w:hint="default" w:cs="Times New Roman"/>
                <w:b/>
                <w:bCs/>
                <w:highlight w:val="none"/>
              </w:rPr>
            </w:pPr>
            <w:r>
              <w:rPr>
                <w:rFonts w:hint="default" w:cs="Times New Roman"/>
                <w:b/>
                <w:kern w:val="36"/>
                <w:highlight w:val="none"/>
              </w:rPr>
              <w:t>一致性</w:t>
            </w:r>
          </w:p>
        </w:tc>
      </w:tr>
      <w:tr w14:paraId="5030082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3" w:type="dxa"/>
            <w:tcBorders>
              <w:tl2br w:val="nil"/>
              <w:tr2bl w:val="nil"/>
            </w:tcBorders>
            <w:vAlign w:val="center"/>
          </w:tcPr>
          <w:p w14:paraId="1F650F1C">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1</w:t>
            </w:r>
          </w:p>
        </w:tc>
        <w:tc>
          <w:tcPr>
            <w:tcW w:w="1271" w:type="dxa"/>
            <w:tcBorders>
              <w:tl2br w:val="nil"/>
              <w:tr2bl w:val="nil"/>
            </w:tcBorders>
            <w:vAlign w:val="center"/>
          </w:tcPr>
          <w:p w14:paraId="037BB061">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建设单位</w:t>
            </w:r>
          </w:p>
        </w:tc>
        <w:tc>
          <w:tcPr>
            <w:tcW w:w="2977" w:type="dxa"/>
            <w:tcBorders>
              <w:tl2br w:val="nil"/>
              <w:tr2bl w:val="nil"/>
            </w:tcBorders>
            <w:vAlign w:val="center"/>
          </w:tcPr>
          <w:p w14:paraId="652AA210">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河南省恒明新能源有限公司</w:t>
            </w:r>
          </w:p>
        </w:tc>
        <w:tc>
          <w:tcPr>
            <w:tcW w:w="2977" w:type="dxa"/>
            <w:tcBorders>
              <w:tl2br w:val="nil"/>
              <w:tr2bl w:val="nil"/>
            </w:tcBorders>
            <w:vAlign w:val="center"/>
          </w:tcPr>
          <w:p w14:paraId="5A374B2B">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河南省恒明新能源有限公司</w:t>
            </w:r>
          </w:p>
        </w:tc>
        <w:tc>
          <w:tcPr>
            <w:tcW w:w="904" w:type="dxa"/>
            <w:tcBorders>
              <w:tl2br w:val="nil"/>
              <w:tr2bl w:val="nil"/>
            </w:tcBorders>
            <w:vAlign w:val="center"/>
          </w:tcPr>
          <w:p w14:paraId="6CDFE3F9">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一致</w:t>
            </w:r>
          </w:p>
        </w:tc>
      </w:tr>
      <w:tr w14:paraId="7053D8A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3" w:type="dxa"/>
            <w:tcBorders>
              <w:tl2br w:val="nil"/>
              <w:tr2bl w:val="nil"/>
            </w:tcBorders>
            <w:vAlign w:val="center"/>
          </w:tcPr>
          <w:p w14:paraId="392FB620">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2</w:t>
            </w:r>
          </w:p>
        </w:tc>
        <w:tc>
          <w:tcPr>
            <w:tcW w:w="1271" w:type="dxa"/>
            <w:tcBorders>
              <w:tl2br w:val="nil"/>
              <w:tr2bl w:val="nil"/>
            </w:tcBorders>
            <w:vAlign w:val="center"/>
          </w:tcPr>
          <w:p w14:paraId="37343EC2">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项目名称</w:t>
            </w:r>
          </w:p>
        </w:tc>
        <w:tc>
          <w:tcPr>
            <w:tcW w:w="2977" w:type="dxa"/>
            <w:tcBorders>
              <w:tl2br w:val="nil"/>
              <w:tr2bl w:val="nil"/>
            </w:tcBorders>
            <w:vAlign w:val="center"/>
          </w:tcPr>
          <w:p w14:paraId="06542956">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年产3000万安时镍氢动力电池项目</w:t>
            </w:r>
          </w:p>
        </w:tc>
        <w:tc>
          <w:tcPr>
            <w:tcW w:w="2977" w:type="dxa"/>
            <w:tcBorders>
              <w:tl2br w:val="nil"/>
              <w:tr2bl w:val="nil"/>
            </w:tcBorders>
            <w:vAlign w:val="center"/>
          </w:tcPr>
          <w:p w14:paraId="550FA024">
            <w:pPr>
              <w:keepNext w:val="0"/>
              <w:keepLines w:val="0"/>
              <w:suppressLineNumbers w:val="0"/>
              <w:adjustRightInd w:val="0"/>
              <w:snapToGrid w:val="0"/>
              <w:spacing w:before="0" w:beforeAutospacing="0" w:after="0" w:afterAutospacing="0"/>
              <w:ind w:left="0" w:right="0"/>
              <w:jc w:val="center"/>
              <w:rPr>
                <w:rFonts w:hint="eastAsia" w:eastAsia="宋体" w:cs="Times New Roman"/>
                <w:highlight w:val="none"/>
                <w:lang w:eastAsia="zh-CN"/>
              </w:rPr>
            </w:pPr>
            <w:r>
              <w:rPr>
                <w:rFonts w:hint="default" w:cs="Times New Roman"/>
                <w:highlight w:val="none"/>
              </w:rPr>
              <w:t>年产3000万安时镍氢动力电池项目</w:t>
            </w:r>
            <w:r>
              <w:rPr>
                <w:rFonts w:hint="eastAsia" w:cs="Times New Roman"/>
                <w:highlight w:val="none"/>
                <w:lang w:eastAsia="zh-CN"/>
              </w:rPr>
              <w:t>（</w:t>
            </w:r>
            <w:r>
              <w:rPr>
                <w:rFonts w:hint="eastAsia" w:cs="Times New Roman"/>
                <w:highlight w:val="none"/>
                <w:lang w:val="en-US" w:eastAsia="zh-CN"/>
              </w:rPr>
              <w:t>二期</w:t>
            </w:r>
            <w:r>
              <w:rPr>
                <w:rFonts w:hint="eastAsia" w:cs="Times New Roman"/>
                <w:highlight w:val="none"/>
                <w:lang w:eastAsia="zh-CN"/>
              </w:rPr>
              <w:t>）</w:t>
            </w:r>
          </w:p>
        </w:tc>
        <w:tc>
          <w:tcPr>
            <w:tcW w:w="904" w:type="dxa"/>
            <w:tcBorders>
              <w:tl2br w:val="nil"/>
              <w:tr2bl w:val="nil"/>
            </w:tcBorders>
            <w:vAlign w:val="center"/>
          </w:tcPr>
          <w:p w14:paraId="17E465B1">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一致</w:t>
            </w:r>
          </w:p>
        </w:tc>
      </w:tr>
      <w:tr w14:paraId="660AC47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3" w:type="dxa"/>
            <w:tcBorders>
              <w:tl2br w:val="nil"/>
              <w:tr2bl w:val="nil"/>
            </w:tcBorders>
            <w:vAlign w:val="center"/>
          </w:tcPr>
          <w:p w14:paraId="2CEC49F7">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3</w:t>
            </w:r>
          </w:p>
        </w:tc>
        <w:tc>
          <w:tcPr>
            <w:tcW w:w="1271" w:type="dxa"/>
            <w:tcBorders>
              <w:tl2br w:val="nil"/>
              <w:tr2bl w:val="nil"/>
            </w:tcBorders>
            <w:vAlign w:val="center"/>
          </w:tcPr>
          <w:p w14:paraId="14E57D01">
            <w:pPr>
              <w:keepNext w:val="0"/>
              <w:keepLines w:val="0"/>
              <w:suppressLineNumbers w:val="0"/>
              <w:adjustRightInd w:val="0"/>
              <w:snapToGrid w:val="0"/>
              <w:spacing w:before="0" w:beforeAutospacing="0" w:after="0" w:afterAutospacing="0"/>
              <w:ind w:left="0" w:right="0"/>
              <w:jc w:val="center"/>
              <w:rPr>
                <w:rFonts w:hint="default" w:eastAsia="宋体" w:cs="Times New Roman"/>
                <w:highlight w:val="none"/>
                <w:lang w:val="en-US" w:eastAsia="zh-CN"/>
              </w:rPr>
            </w:pPr>
            <w:r>
              <w:rPr>
                <w:rFonts w:hint="eastAsia" w:cs="Times New Roman"/>
                <w:highlight w:val="none"/>
                <w:lang w:val="en-US" w:eastAsia="zh-CN"/>
              </w:rPr>
              <w:t>建设内容</w:t>
            </w:r>
          </w:p>
        </w:tc>
        <w:tc>
          <w:tcPr>
            <w:tcW w:w="2977" w:type="dxa"/>
            <w:tcBorders>
              <w:tl2br w:val="nil"/>
              <w:tr2bl w:val="nil"/>
            </w:tcBorders>
            <w:vAlign w:val="center"/>
          </w:tcPr>
          <w:p w14:paraId="10DC6A19">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1台2t/h燃气锅炉</w:t>
            </w:r>
          </w:p>
        </w:tc>
        <w:tc>
          <w:tcPr>
            <w:tcW w:w="2977" w:type="dxa"/>
            <w:tcBorders>
              <w:tl2br w:val="nil"/>
              <w:tr2bl w:val="nil"/>
            </w:tcBorders>
            <w:vAlign w:val="center"/>
          </w:tcPr>
          <w:p w14:paraId="49D665D6">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1台2t/h燃气锅炉</w:t>
            </w:r>
          </w:p>
        </w:tc>
        <w:tc>
          <w:tcPr>
            <w:tcW w:w="904" w:type="dxa"/>
            <w:tcBorders>
              <w:tl2br w:val="nil"/>
              <w:tr2bl w:val="nil"/>
            </w:tcBorders>
            <w:vAlign w:val="center"/>
          </w:tcPr>
          <w:p w14:paraId="75A43F7A">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一致</w:t>
            </w:r>
          </w:p>
        </w:tc>
      </w:tr>
      <w:tr w14:paraId="35C4F6E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3" w:type="dxa"/>
            <w:tcBorders>
              <w:tl2br w:val="nil"/>
              <w:tr2bl w:val="nil"/>
            </w:tcBorders>
            <w:vAlign w:val="center"/>
          </w:tcPr>
          <w:p w14:paraId="761FC3BD">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4</w:t>
            </w:r>
          </w:p>
        </w:tc>
        <w:tc>
          <w:tcPr>
            <w:tcW w:w="1271" w:type="dxa"/>
            <w:tcBorders>
              <w:tl2br w:val="nil"/>
              <w:tr2bl w:val="nil"/>
            </w:tcBorders>
            <w:vAlign w:val="center"/>
          </w:tcPr>
          <w:p w14:paraId="3F877C11">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项目地址</w:t>
            </w:r>
          </w:p>
        </w:tc>
        <w:tc>
          <w:tcPr>
            <w:tcW w:w="2977" w:type="dxa"/>
            <w:tcBorders>
              <w:tl2br w:val="nil"/>
              <w:tr2bl w:val="nil"/>
            </w:tcBorders>
            <w:vAlign w:val="center"/>
          </w:tcPr>
          <w:p w14:paraId="33653AE3">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新乡化学与物理电源产业园区内</w:t>
            </w:r>
          </w:p>
        </w:tc>
        <w:tc>
          <w:tcPr>
            <w:tcW w:w="2977" w:type="dxa"/>
            <w:tcBorders>
              <w:tl2br w:val="nil"/>
              <w:tr2bl w:val="nil"/>
            </w:tcBorders>
            <w:vAlign w:val="center"/>
          </w:tcPr>
          <w:p w14:paraId="7647DCA5">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新乡化学与物理电源产业园区内</w:t>
            </w:r>
          </w:p>
        </w:tc>
        <w:tc>
          <w:tcPr>
            <w:tcW w:w="904" w:type="dxa"/>
            <w:tcBorders>
              <w:tl2br w:val="nil"/>
              <w:tr2bl w:val="nil"/>
            </w:tcBorders>
            <w:vAlign w:val="center"/>
          </w:tcPr>
          <w:p w14:paraId="56A42A8D">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一致</w:t>
            </w:r>
          </w:p>
        </w:tc>
      </w:tr>
      <w:tr w14:paraId="221A7A1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3" w:type="dxa"/>
            <w:tcBorders>
              <w:tl2br w:val="nil"/>
              <w:tr2bl w:val="nil"/>
            </w:tcBorders>
            <w:vAlign w:val="center"/>
          </w:tcPr>
          <w:p w14:paraId="758E2441">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5</w:t>
            </w:r>
          </w:p>
        </w:tc>
        <w:tc>
          <w:tcPr>
            <w:tcW w:w="1271" w:type="dxa"/>
            <w:tcBorders>
              <w:tl2br w:val="nil"/>
              <w:tr2bl w:val="nil"/>
            </w:tcBorders>
            <w:vAlign w:val="center"/>
          </w:tcPr>
          <w:p w14:paraId="36645C78">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总投资</w:t>
            </w:r>
          </w:p>
          <w:p w14:paraId="7CB5138D">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（万元）</w:t>
            </w:r>
          </w:p>
        </w:tc>
        <w:tc>
          <w:tcPr>
            <w:tcW w:w="2977" w:type="dxa"/>
            <w:tcBorders>
              <w:tl2br w:val="nil"/>
              <w:tr2bl w:val="nil"/>
            </w:tcBorders>
            <w:vAlign w:val="center"/>
          </w:tcPr>
          <w:p w14:paraId="20629BE9">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13000</w:t>
            </w:r>
          </w:p>
        </w:tc>
        <w:tc>
          <w:tcPr>
            <w:tcW w:w="2977" w:type="dxa"/>
            <w:tcBorders>
              <w:tl2br w:val="nil"/>
              <w:tr2bl w:val="nil"/>
            </w:tcBorders>
            <w:vAlign w:val="center"/>
          </w:tcPr>
          <w:p w14:paraId="56D70AE3">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eastAsia" w:cs="Times New Roman"/>
                <w:highlight w:val="none"/>
                <w:lang w:val="en-US" w:eastAsia="zh-CN"/>
              </w:rPr>
              <w:t>3</w:t>
            </w:r>
            <w:r>
              <w:rPr>
                <w:rFonts w:hint="default" w:cs="Times New Roman"/>
                <w:highlight w:val="none"/>
              </w:rPr>
              <w:t>00</w:t>
            </w:r>
          </w:p>
        </w:tc>
        <w:tc>
          <w:tcPr>
            <w:tcW w:w="904" w:type="dxa"/>
            <w:tcBorders>
              <w:tl2br w:val="nil"/>
              <w:tr2bl w:val="nil"/>
            </w:tcBorders>
            <w:vAlign w:val="center"/>
          </w:tcPr>
          <w:p w14:paraId="7B41DC5C">
            <w:pPr>
              <w:keepNext w:val="0"/>
              <w:keepLines w:val="0"/>
              <w:suppressLineNumbers w:val="0"/>
              <w:adjustRightInd w:val="0"/>
              <w:snapToGrid w:val="0"/>
              <w:spacing w:before="0" w:beforeAutospacing="0" w:after="0" w:afterAutospacing="0"/>
              <w:ind w:left="0" w:right="0"/>
              <w:jc w:val="center"/>
              <w:rPr>
                <w:rFonts w:hint="default" w:eastAsia="宋体" w:cs="Times New Roman"/>
                <w:highlight w:val="none"/>
                <w:lang w:val="en-US" w:eastAsia="zh-CN"/>
              </w:rPr>
            </w:pPr>
            <w:r>
              <w:rPr>
                <w:rFonts w:hint="eastAsia" w:cs="Times New Roman"/>
                <w:highlight w:val="none"/>
                <w:lang w:val="en-US" w:eastAsia="zh-CN"/>
              </w:rPr>
              <w:t>分期建设</w:t>
            </w:r>
          </w:p>
        </w:tc>
      </w:tr>
      <w:tr w14:paraId="26F3780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3" w:type="dxa"/>
            <w:tcBorders>
              <w:tl2br w:val="nil"/>
              <w:tr2bl w:val="nil"/>
            </w:tcBorders>
            <w:vAlign w:val="center"/>
          </w:tcPr>
          <w:p w14:paraId="0C8CFB4E">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6</w:t>
            </w:r>
          </w:p>
        </w:tc>
        <w:tc>
          <w:tcPr>
            <w:tcW w:w="1271" w:type="dxa"/>
            <w:tcBorders>
              <w:tl2br w:val="nil"/>
              <w:tr2bl w:val="nil"/>
            </w:tcBorders>
            <w:vAlign w:val="center"/>
          </w:tcPr>
          <w:p w14:paraId="6B1758F1">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劳动制度</w:t>
            </w:r>
          </w:p>
        </w:tc>
        <w:tc>
          <w:tcPr>
            <w:tcW w:w="2977" w:type="dxa"/>
            <w:tcBorders>
              <w:tl2br w:val="nil"/>
              <w:tr2bl w:val="nil"/>
            </w:tcBorders>
            <w:vAlign w:val="center"/>
          </w:tcPr>
          <w:p w14:paraId="6C7D1ED4">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年工作300天；三班制；每班8小时</w:t>
            </w:r>
          </w:p>
        </w:tc>
        <w:tc>
          <w:tcPr>
            <w:tcW w:w="2977" w:type="dxa"/>
            <w:tcBorders>
              <w:tl2br w:val="nil"/>
              <w:tr2bl w:val="nil"/>
            </w:tcBorders>
            <w:vAlign w:val="center"/>
          </w:tcPr>
          <w:p w14:paraId="10BD7E83">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年工作300天；三班制；每班8小时</w:t>
            </w:r>
          </w:p>
        </w:tc>
        <w:tc>
          <w:tcPr>
            <w:tcW w:w="904" w:type="dxa"/>
            <w:tcBorders>
              <w:tl2br w:val="nil"/>
              <w:tr2bl w:val="nil"/>
            </w:tcBorders>
            <w:vAlign w:val="center"/>
          </w:tcPr>
          <w:p w14:paraId="47CAF901">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一致</w:t>
            </w:r>
          </w:p>
        </w:tc>
      </w:tr>
      <w:tr w14:paraId="23FD246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83" w:type="dxa"/>
            <w:tcBorders>
              <w:tl2br w:val="nil"/>
              <w:tr2bl w:val="nil"/>
            </w:tcBorders>
            <w:vAlign w:val="center"/>
          </w:tcPr>
          <w:p w14:paraId="7D90BD54">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7</w:t>
            </w:r>
          </w:p>
        </w:tc>
        <w:tc>
          <w:tcPr>
            <w:tcW w:w="1271" w:type="dxa"/>
            <w:tcBorders>
              <w:tl2br w:val="nil"/>
              <w:tr2bl w:val="nil"/>
            </w:tcBorders>
            <w:vAlign w:val="center"/>
          </w:tcPr>
          <w:p w14:paraId="60674EB3">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定员</w:t>
            </w:r>
          </w:p>
        </w:tc>
        <w:tc>
          <w:tcPr>
            <w:tcW w:w="2977" w:type="dxa"/>
            <w:tcBorders>
              <w:tl2br w:val="nil"/>
              <w:tr2bl w:val="nil"/>
            </w:tcBorders>
            <w:vAlign w:val="center"/>
          </w:tcPr>
          <w:p w14:paraId="01411C4F">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80名</w:t>
            </w:r>
          </w:p>
        </w:tc>
        <w:tc>
          <w:tcPr>
            <w:tcW w:w="2977" w:type="dxa"/>
            <w:tcBorders>
              <w:tl2br w:val="nil"/>
              <w:tr2bl w:val="nil"/>
            </w:tcBorders>
            <w:vAlign w:val="center"/>
          </w:tcPr>
          <w:p w14:paraId="4464571F">
            <w:pPr>
              <w:keepNext w:val="0"/>
              <w:keepLines w:val="0"/>
              <w:suppressLineNumbers w:val="0"/>
              <w:adjustRightInd w:val="0"/>
              <w:snapToGrid w:val="0"/>
              <w:spacing w:before="0" w:beforeAutospacing="0" w:after="0" w:afterAutospacing="0"/>
              <w:ind w:left="0" w:right="0"/>
              <w:jc w:val="center"/>
              <w:rPr>
                <w:rFonts w:hint="default" w:eastAsia="宋体" w:cs="Times New Roman"/>
                <w:highlight w:val="none"/>
                <w:lang w:val="en-US" w:eastAsia="zh-CN"/>
              </w:rPr>
            </w:pPr>
            <w:r>
              <w:rPr>
                <w:rFonts w:hint="eastAsia" w:cs="Times New Roman"/>
                <w:highlight w:val="none"/>
                <w:lang w:val="en-US" w:eastAsia="zh-CN"/>
              </w:rPr>
              <w:t>本期不新增人员</w:t>
            </w:r>
          </w:p>
        </w:tc>
        <w:tc>
          <w:tcPr>
            <w:tcW w:w="904" w:type="dxa"/>
            <w:tcBorders>
              <w:tl2br w:val="nil"/>
              <w:tr2bl w:val="nil"/>
            </w:tcBorders>
            <w:vAlign w:val="center"/>
          </w:tcPr>
          <w:p w14:paraId="6839811E">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一致</w:t>
            </w:r>
          </w:p>
        </w:tc>
      </w:tr>
    </w:tbl>
    <w:p w14:paraId="1D20CB74">
      <w:pPr>
        <w:pStyle w:val="4"/>
        <w:spacing w:before="0" w:after="0" w:line="520" w:lineRule="exact"/>
        <w:rPr>
          <w:rFonts w:cs="Times New Roman"/>
          <w:highlight w:val="none"/>
        </w:rPr>
      </w:pPr>
      <w:bookmarkStart w:id="15" w:name="_Toc501703524"/>
      <w:bookmarkStart w:id="16" w:name="_Toc504492814"/>
      <w:r>
        <w:rPr>
          <w:rFonts w:cs="Times New Roman"/>
          <w:highlight w:val="none"/>
        </w:rPr>
        <w:t>3.2.2项目组成</w:t>
      </w:r>
    </w:p>
    <w:p w14:paraId="534B24FF">
      <w:pPr>
        <w:spacing w:line="520" w:lineRule="exact"/>
        <w:ind w:firstLine="480" w:firstLineChars="200"/>
        <w:rPr>
          <w:rFonts w:cs="Times New Roman"/>
          <w:sz w:val="24"/>
          <w:szCs w:val="24"/>
          <w:highlight w:val="none"/>
        </w:rPr>
      </w:pPr>
      <w:r>
        <w:rPr>
          <w:rFonts w:cs="Times New Roman"/>
          <w:sz w:val="24"/>
          <w:szCs w:val="24"/>
          <w:highlight w:val="none"/>
        </w:rPr>
        <w:t>对照环评报告及环评批复意见，该项目主要工程和环保设施（措施）建设情况见表3-2。</w:t>
      </w:r>
    </w:p>
    <w:p w14:paraId="5E99CE78">
      <w:pPr>
        <w:pStyle w:val="37"/>
        <w:spacing w:line="440" w:lineRule="exact"/>
        <w:ind w:firstLine="480"/>
        <w:rPr>
          <w:spacing w:val="0"/>
          <w:position w:val="0"/>
          <w:highlight w:val="none"/>
        </w:rPr>
      </w:pPr>
      <w:r>
        <w:rPr>
          <w:spacing w:val="0"/>
          <w:position w:val="0"/>
          <w:highlight w:val="none"/>
        </w:rPr>
        <w:t xml:space="preserve">表3-2           </w:t>
      </w:r>
      <w:r>
        <w:rPr>
          <w:rFonts w:hint="eastAsia"/>
          <w:spacing w:val="0"/>
          <w:position w:val="0"/>
          <w:highlight w:val="none"/>
          <w:lang w:val="en-US" w:eastAsia="zh-CN"/>
        </w:rPr>
        <w:t xml:space="preserve">   </w:t>
      </w:r>
      <w:r>
        <w:rPr>
          <w:spacing w:val="0"/>
          <w:position w:val="0"/>
          <w:highlight w:val="none"/>
        </w:rPr>
        <w:t xml:space="preserve"> </w:t>
      </w:r>
      <w:r>
        <w:rPr>
          <w:rFonts w:hint="eastAsia"/>
          <w:spacing w:val="0"/>
          <w:position w:val="0"/>
          <w:highlight w:val="none"/>
          <w:lang w:val="en-US" w:eastAsia="zh-CN"/>
        </w:rPr>
        <w:t xml:space="preserve"> </w:t>
      </w:r>
      <w:r>
        <w:rPr>
          <w:spacing w:val="0"/>
          <w:position w:val="0"/>
          <w:highlight w:val="none"/>
        </w:rPr>
        <w:t xml:space="preserve">      项目组成情况</w:t>
      </w:r>
    </w:p>
    <w:tbl>
      <w:tblPr>
        <w:tblStyle w:val="29"/>
        <w:tblW w:w="5000"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415"/>
        <w:gridCol w:w="682"/>
        <w:gridCol w:w="1993"/>
        <w:gridCol w:w="2258"/>
        <w:gridCol w:w="1977"/>
        <w:gridCol w:w="1197"/>
      </w:tblGrid>
      <w:tr w14:paraId="2D7267C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417" w:type="dxa"/>
            <w:tcBorders>
              <w:tl2br w:val="nil"/>
              <w:tr2bl w:val="nil"/>
            </w:tcBorders>
            <w:vAlign w:val="center"/>
          </w:tcPr>
          <w:p w14:paraId="43962CEC">
            <w:pPr>
              <w:pStyle w:val="38"/>
              <w:keepNext w:val="0"/>
              <w:keepLines w:val="0"/>
              <w:suppressLineNumbers w:val="0"/>
              <w:spacing w:before="0" w:beforeAutospacing="0" w:after="0" w:afterAutospacing="0"/>
              <w:ind w:left="0" w:right="0"/>
              <w:rPr>
                <w:rFonts w:hint="default"/>
                <w:b/>
                <w:szCs w:val="21"/>
                <w:highlight w:val="none"/>
              </w:rPr>
            </w:pPr>
            <w:r>
              <w:rPr>
                <w:rFonts w:hint="default"/>
                <w:b/>
                <w:szCs w:val="21"/>
                <w:highlight w:val="none"/>
              </w:rPr>
              <w:t>序号</w:t>
            </w:r>
          </w:p>
        </w:tc>
        <w:tc>
          <w:tcPr>
            <w:tcW w:w="684" w:type="dxa"/>
            <w:tcBorders>
              <w:tl2br w:val="nil"/>
              <w:tr2bl w:val="nil"/>
            </w:tcBorders>
            <w:vAlign w:val="center"/>
          </w:tcPr>
          <w:p w14:paraId="422558BB">
            <w:pPr>
              <w:pStyle w:val="38"/>
              <w:keepNext w:val="0"/>
              <w:keepLines w:val="0"/>
              <w:suppressLineNumbers w:val="0"/>
              <w:spacing w:before="0" w:beforeAutospacing="0" w:after="0" w:afterAutospacing="0"/>
              <w:ind w:left="0" w:right="0"/>
              <w:rPr>
                <w:rFonts w:hint="default"/>
                <w:b/>
                <w:szCs w:val="21"/>
                <w:highlight w:val="none"/>
              </w:rPr>
            </w:pPr>
            <w:r>
              <w:rPr>
                <w:rFonts w:hint="default"/>
                <w:b/>
                <w:szCs w:val="21"/>
                <w:highlight w:val="none"/>
              </w:rPr>
              <w:t>工程名称</w:t>
            </w:r>
          </w:p>
        </w:tc>
        <w:tc>
          <w:tcPr>
            <w:tcW w:w="2001" w:type="dxa"/>
            <w:tcBorders>
              <w:tl2br w:val="nil"/>
              <w:tr2bl w:val="nil"/>
            </w:tcBorders>
            <w:vAlign w:val="center"/>
          </w:tcPr>
          <w:p w14:paraId="17455128">
            <w:pPr>
              <w:pStyle w:val="38"/>
              <w:keepNext w:val="0"/>
              <w:keepLines w:val="0"/>
              <w:suppressLineNumbers w:val="0"/>
              <w:spacing w:before="0" w:beforeAutospacing="0" w:after="0" w:afterAutospacing="0"/>
              <w:ind w:left="0" w:right="0"/>
              <w:rPr>
                <w:rFonts w:hint="default"/>
                <w:b/>
                <w:szCs w:val="21"/>
                <w:highlight w:val="none"/>
              </w:rPr>
            </w:pPr>
            <w:r>
              <w:rPr>
                <w:rFonts w:hint="default"/>
                <w:b/>
                <w:szCs w:val="21"/>
                <w:highlight w:val="none"/>
              </w:rPr>
              <w:t>主要工程内容</w:t>
            </w:r>
          </w:p>
        </w:tc>
        <w:tc>
          <w:tcPr>
            <w:tcW w:w="2267" w:type="dxa"/>
            <w:tcBorders>
              <w:tl2br w:val="nil"/>
              <w:tr2bl w:val="nil"/>
            </w:tcBorders>
            <w:vAlign w:val="center"/>
          </w:tcPr>
          <w:p w14:paraId="6A68975E">
            <w:pPr>
              <w:pStyle w:val="38"/>
              <w:keepNext w:val="0"/>
              <w:keepLines w:val="0"/>
              <w:suppressLineNumbers w:val="0"/>
              <w:spacing w:before="0" w:beforeAutospacing="0" w:after="0" w:afterAutospacing="0"/>
              <w:ind w:left="0" w:right="0"/>
              <w:rPr>
                <w:rFonts w:hint="default"/>
                <w:b/>
                <w:szCs w:val="21"/>
                <w:highlight w:val="none"/>
              </w:rPr>
            </w:pPr>
            <w:r>
              <w:rPr>
                <w:rFonts w:hint="default"/>
                <w:b/>
                <w:szCs w:val="21"/>
                <w:highlight w:val="none"/>
              </w:rPr>
              <w:t>环评及批复内容</w:t>
            </w:r>
          </w:p>
        </w:tc>
        <w:tc>
          <w:tcPr>
            <w:tcW w:w="1985" w:type="dxa"/>
            <w:tcBorders>
              <w:tl2br w:val="nil"/>
              <w:tr2bl w:val="nil"/>
            </w:tcBorders>
            <w:vAlign w:val="center"/>
          </w:tcPr>
          <w:p w14:paraId="14F426D6">
            <w:pPr>
              <w:pStyle w:val="38"/>
              <w:keepNext w:val="0"/>
              <w:keepLines w:val="0"/>
              <w:suppressLineNumbers w:val="0"/>
              <w:spacing w:before="0" w:beforeAutospacing="0" w:after="0" w:afterAutospacing="0"/>
              <w:ind w:left="0" w:right="0"/>
              <w:rPr>
                <w:rFonts w:hint="default"/>
                <w:b/>
                <w:szCs w:val="21"/>
                <w:highlight w:val="none"/>
              </w:rPr>
            </w:pPr>
            <w:r>
              <w:rPr>
                <w:rFonts w:hint="default"/>
                <w:b/>
                <w:szCs w:val="21"/>
                <w:highlight w:val="none"/>
              </w:rPr>
              <w:t>实际建设内容</w:t>
            </w:r>
          </w:p>
        </w:tc>
        <w:tc>
          <w:tcPr>
            <w:tcW w:w="1201" w:type="dxa"/>
            <w:tcBorders>
              <w:tl2br w:val="nil"/>
              <w:tr2bl w:val="nil"/>
            </w:tcBorders>
            <w:vAlign w:val="center"/>
          </w:tcPr>
          <w:p w14:paraId="34EF6975">
            <w:pPr>
              <w:pStyle w:val="38"/>
              <w:keepNext w:val="0"/>
              <w:keepLines w:val="0"/>
              <w:suppressLineNumbers w:val="0"/>
              <w:spacing w:before="0" w:beforeAutospacing="0" w:after="0" w:afterAutospacing="0"/>
              <w:ind w:left="0" w:right="0"/>
              <w:rPr>
                <w:rFonts w:hint="default"/>
                <w:b/>
                <w:szCs w:val="21"/>
                <w:highlight w:val="none"/>
              </w:rPr>
            </w:pPr>
            <w:r>
              <w:rPr>
                <w:rFonts w:hint="default"/>
                <w:b/>
                <w:szCs w:val="21"/>
                <w:highlight w:val="none"/>
              </w:rPr>
              <w:t>备注</w:t>
            </w:r>
          </w:p>
        </w:tc>
      </w:tr>
      <w:tr w14:paraId="1435927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7" w:type="dxa"/>
            <w:vMerge w:val="restart"/>
            <w:tcBorders>
              <w:tl2br w:val="nil"/>
              <w:tr2bl w:val="nil"/>
            </w:tcBorders>
            <w:vAlign w:val="center"/>
          </w:tcPr>
          <w:p w14:paraId="07F8E5D7">
            <w:pPr>
              <w:pStyle w:val="38"/>
              <w:keepNext w:val="0"/>
              <w:keepLines w:val="0"/>
              <w:suppressLineNumbers w:val="0"/>
              <w:spacing w:before="0" w:beforeAutospacing="0" w:after="0" w:afterAutospacing="0"/>
              <w:ind w:left="0" w:right="0"/>
              <w:rPr>
                <w:rFonts w:hint="default"/>
                <w:szCs w:val="21"/>
                <w:highlight w:val="none"/>
              </w:rPr>
            </w:pPr>
            <w:r>
              <w:rPr>
                <w:rFonts w:hint="default"/>
                <w:szCs w:val="21"/>
                <w:highlight w:val="none"/>
              </w:rPr>
              <w:t>1</w:t>
            </w:r>
          </w:p>
        </w:tc>
        <w:tc>
          <w:tcPr>
            <w:tcW w:w="684" w:type="dxa"/>
            <w:vMerge w:val="restart"/>
            <w:tcBorders>
              <w:tl2br w:val="nil"/>
              <w:tr2bl w:val="nil"/>
            </w:tcBorders>
            <w:vAlign w:val="center"/>
          </w:tcPr>
          <w:p w14:paraId="4C2AE571">
            <w:pPr>
              <w:pStyle w:val="38"/>
              <w:keepNext w:val="0"/>
              <w:keepLines w:val="0"/>
              <w:suppressLineNumbers w:val="0"/>
              <w:spacing w:before="0" w:beforeAutospacing="0" w:after="0" w:afterAutospacing="0"/>
              <w:ind w:left="0" w:right="0"/>
              <w:rPr>
                <w:rFonts w:hint="default"/>
                <w:szCs w:val="21"/>
                <w:highlight w:val="none"/>
              </w:rPr>
            </w:pPr>
            <w:r>
              <w:rPr>
                <w:rFonts w:hint="default"/>
                <w:szCs w:val="21"/>
                <w:highlight w:val="none"/>
              </w:rPr>
              <w:t>主体工程</w:t>
            </w:r>
          </w:p>
        </w:tc>
        <w:tc>
          <w:tcPr>
            <w:tcW w:w="2001" w:type="dxa"/>
            <w:tcBorders>
              <w:tl2br w:val="nil"/>
              <w:tr2bl w:val="nil"/>
            </w:tcBorders>
            <w:vAlign w:val="center"/>
          </w:tcPr>
          <w:p w14:paraId="083C7587">
            <w:pPr>
              <w:pStyle w:val="40"/>
              <w:keepNext w:val="0"/>
              <w:keepLines w:val="0"/>
              <w:suppressLineNumbers w:val="0"/>
              <w:spacing w:before="0" w:beforeAutospacing="0" w:after="0" w:afterAutospacing="0"/>
              <w:ind w:left="0" w:right="0"/>
              <w:rPr>
                <w:rFonts w:hint="default"/>
                <w:highlight w:val="none"/>
              </w:rPr>
            </w:pPr>
            <w:r>
              <w:rPr>
                <w:rFonts w:hint="default"/>
                <w:highlight w:val="none"/>
              </w:rPr>
              <w:t>袋式电池生产车间</w:t>
            </w:r>
          </w:p>
          <w:p w14:paraId="0D9D48C1">
            <w:pPr>
              <w:pStyle w:val="40"/>
              <w:keepNext w:val="0"/>
              <w:keepLines w:val="0"/>
              <w:suppressLineNumbers w:val="0"/>
              <w:spacing w:before="0" w:beforeAutospacing="0" w:after="0" w:afterAutospacing="0"/>
              <w:ind w:left="0" w:right="0"/>
              <w:rPr>
                <w:rFonts w:hint="default"/>
                <w:highlight w:val="none"/>
              </w:rPr>
            </w:pPr>
            <w:r>
              <w:rPr>
                <w:rFonts w:hint="default"/>
                <w:highlight w:val="none"/>
              </w:rPr>
              <w:t>（包括高倍率、中低倍率袋式电池生产线）</w:t>
            </w:r>
          </w:p>
        </w:tc>
        <w:tc>
          <w:tcPr>
            <w:tcW w:w="2267" w:type="dxa"/>
            <w:tcBorders>
              <w:tl2br w:val="nil"/>
              <w:tr2bl w:val="nil"/>
            </w:tcBorders>
            <w:vAlign w:val="center"/>
          </w:tcPr>
          <w:p w14:paraId="4C5F0F79">
            <w:pPr>
              <w:pStyle w:val="40"/>
              <w:keepNext w:val="0"/>
              <w:keepLines w:val="0"/>
              <w:suppressLineNumbers w:val="0"/>
              <w:spacing w:before="0" w:beforeAutospacing="0" w:after="0" w:afterAutospacing="0"/>
              <w:ind w:left="0" w:right="0"/>
              <w:rPr>
                <w:rFonts w:hint="default"/>
                <w:highlight w:val="none"/>
              </w:rPr>
            </w:pPr>
            <w:r>
              <w:rPr>
                <w:rFonts w:hint="default"/>
                <w:highlight w:val="none"/>
              </w:rPr>
              <w:t>1个、建筑面积5000m</w:t>
            </w:r>
            <w:r>
              <w:rPr>
                <w:rFonts w:hint="default"/>
                <w:highlight w:val="none"/>
                <w:vertAlign w:val="superscript"/>
              </w:rPr>
              <w:t>2</w:t>
            </w:r>
          </w:p>
        </w:tc>
        <w:tc>
          <w:tcPr>
            <w:tcW w:w="1985" w:type="dxa"/>
            <w:tcBorders>
              <w:tl2br w:val="nil"/>
              <w:tr2bl w:val="nil"/>
            </w:tcBorders>
            <w:vAlign w:val="center"/>
          </w:tcPr>
          <w:p w14:paraId="23635553">
            <w:pPr>
              <w:pStyle w:val="40"/>
              <w:keepNext w:val="0"/>
              <w:keepLines w:val="0"/>
              <w:suppressLineNumbers w:val="0"/>
              <w:spacing w:before="0" w:beforeAutospacing="0" w:after="0" w:afterAutospacing="0"/>
              <w:ind w:left="0" w:right="0"/>
              <w:rPr>
                <w:rFonts w:hint="default"/>
                <w:highlight w:val="none"/>
              </w:rPr>
            </w:pPr>
            <w:r>
              <w:rPr>
                <w:rFonts w:hint="default"/>
                <w:highlight w:val="none"/>
              </w:rPr>
              <w:t>1个、建筑面积5000m</w:t>
            </w:r>
            <w:r>
              <w:rPr>
                <w:rFonts w:hint="default"/>
                <w:highlight w:val="none"/>
                <w:vertAlign w:val="superscript"/>
              </w:rPr>
              <w:t>2</w:t>
            </w:r>
          </w:p>
        </w:tc>
        <w:tc>
          <w:tcPr>
            <w:tcW w:w="1201" w:type="dxa"/>
            <w:vMerge w:val="restart"/>
            <w:tcBorders>
              <w:tl2br w:val="nil"/>
              <w:tr2bl w:val="nil"/>
            </w:tcBorders>
            <w:vAlign w:val="center"/>
          </w:tcPr>
          <w:p w14:paraId="434D0264">
            <w:pPr>
              <w:pStyle w:val="38"/>
              <w:keepNext w:val="0"/>
              <w:keepLines w:val="0"/>
              <w:suppressLineNumbers w:val="0"/>
              <w:spacing w:before="0" w:beforeAutospacing="0" w:after="0" w:afterAutospacing="0"/>
              <w:ind w:left="0" w:right="0"/>
              <w:rPr>
                <w:rFonts w:hint="default" w:eastAsia="宋体"/>
                <w:szCs w:val="21"/>
                <w:highlight w:val="none"/>
                <w:lang w:val="en-US" w:eastAsia="zh-CN"/>
              </w:rPr>
            </w:pPr>
            <w:r>
              <w:rPr>
                <w:rFonts w:hint="eastAsia"/>
                <w:szCs w:val="21"/>
                <w:highlight w:val="none"/>
                <w:lang w:val="en-US" w:eastAsia="zh-CN"/>
              </w:rPr>
              <w:t>一期已建成验收</w:t>
            </w:r>
          </w:p>
        </w:tc>
      </w:tr>
      <w:tr w14:paraId="5A2C752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7" w:type="dxa"/>
            <w:vMerge w:val="continue"/>
            <w:tcBorders>
              <w:tl2br w:val="nil"/>
              <w:tr2bl w:val="nil"/>
            </w:tcBorders>
            <w:vAlign w:val="center"/>
          </w:tcPr>
          <w:p w14:paraId="43A312DD">
            <w:pPr>
              <w:pStyle w:val="38"/>
              <w:keepNext w:val="0"/>
              <w:keepLines w:val="0"/>
              <w:suppressLineNumbers w:val="0"/>
              <w:spacing w:before="0" w:beforeAutospacing="0" w:after="0" w:afterAutospacing="0"/>
              <w:ind w:left="0" w:right="0"/>
              <w:rPr>
                <w:rFonts w:hint="default"/>
                <w:szCs w:val="21"/>
                <w:highlight w:val="none"/>
              </w:rPr>
            </w:pPr>
          </w:p>
        </w:tc>
        <w:tc>
          <w:tcPr>
            <w:tcW w:w="684" w:type="dxa"/>
            <w:vMerge w:val="continue"/>
            <w:tcBorders>
              <w:tl2br w:val="nil"/>
              <w:tr2bl w:val="nil"/>
            </w:tcBorders>
            <w:vAlign w:val="center"/>
          </w:tcPr>
          <w:p w14:paraId="655DB6F2">
            <w:pPr>
              <w:pStyle w:val="38"/>
              <w:keepNext w:val="0"/>
              <w:keepLines w:val="0"/>
              <w:suppressLineNumbers w:val="0"/>
              <w:spacing w:before="0" w:beforeAutospacing="0" w:after="0" w:afterAutospacing="0"/>
              <w:ind w:left="0" w:right="0"/>
              <w:rPr>
                <w:rFonts w:hint="default"/>
                <w:szCs w:val="21"/>
                <w:highlight w:val="none"/>
              </w:rPr>
            </w:pPr>
          </w:p>
        </w:tc>
        <w:tc>
          <w:tcPr>
            <w:tcW w:w="2001" w:type="dxa"/>
            <w:tcBorders>
              <w:tl2br w:val="nil"/>
              <w:tr2bl w:val="nil"/>
            </w:tcBorders>
            <w:vAlign w:val="center"/>
          </w:tcPr>
          <w:p w14:paraId="76F0F9C1">
            <w:pPr>
              <w:pStyle w:val="40"/>
              <w:keepNext w:val="0"/>
              <w:keepLines w:val="0"/>
              <w:suppressLineNumbers w:val="0"/>
              <w:spacing w:before="0" w:beforeAutospacing="0" w:after="0" w:afterAutospacing="0"/>
              <w:ind w:left="0" w:right="0"/>
              <w:rPr>
                <w:rFonts w:hint="default"/>
                <w:highlight w:val="none"/>
              </w:rPr>
            </w:pPr>
            <w:r>
              <w:rPr>
                <w:rFonts w:hint="default"/>
                <w:highlight w:val="none"/>
              </w:rPr>
              <w:t>密封电池生产车间</w:t>
            </w:r>
          </w:p>
          <w:p w14:paraId="3788CE2F">
            <w:pPr>
              <w:pStyle w:val="40"/>
              <w:keepNext w:val="0"/>
              <w:keepLines w:val="0"/>
              <w:suppressLineNumbers w:val="0"/>
              <w:spacing w:before="0" w:beforeAutospacing="0" w:after="0" w:afterAutospacing="0"/>
              <w:ind w:left="0" w:right="0"/>
              <w:rPr>
                <w:rFonts w:hint="default"/>
                <w:highlight w:val="none"/>
              </w:rPr>
            </w:pPr>
            <w:r>
              <w:rPr>
                <w:rFonts w:hint="default"/>
                <w:highlight w:val="none"/>
              </w:rPr>
              <w:t>（含装配封口包装线）</w:t>
            </w:r>
          </w:p>
        </w:tc>
        <w:tc>
          <w:tcPr>
            <w:tcW w:w="2267" w:type="dxa"/>
            <w:tcBorders>
              <w:tl2br w:val="nil"/>
              <w:tr2bl w:val="nil"/>
            </w:tcBorders>
            <w:vAlign w:val="center"/>
          </w:tcPr>
          <w:p w14:paraId="2268ABA4">
            <w:pPr>
              <w:pStyle w:val="40"/>
              <w:keepNext w:val="0"/>
              <w:keepLines w:val="0"/>
              <w:suppressLineNumbers w:val="0"/>
              <w:spacing w:before="0" w:beforeAutospacing="0" w:after="0" w:afterAutospacing="0"/>
              <w:ind w:left="0" w:right="0"/>
              <w:rPr>
                <w:rFonts w:hint="default"/>
                <w:highlight w:val="none"/>
              </w:rPr>
            </w:pPr>
            <w:r>
              <w:rPr>
                <w:rFonts w:hint="default"/>
                <w:highlight w:val="none"/>
              </w:rPr>
              <w:t>1个、建筑面积5000m</w:t>
            </w:r>
            <w:r>
              <w:rPr>
                <w:rFonts w:hint="default"/>
                <w:highlight w:val="none"/>
                <w:vertAlign w:val="superscript"/>
              </w:rPr>
              <w:t>2</w:t>
            </w:r>
          </w:p>
        </w:tc>
        <w:tc>
          <w:tcPr>
            <w:tcW w:w="1985" w:type="dxa"/>
            <w:tcBorders>
              <w:tl2br w:val="nil"/>
              <w:tr2bl w:val="nil"/>
            </w:tcBorders>
            <w:vAlign w:val="center"/>
          </w:tcPr>
          <w:p w14:paraId="4F716866">
            <w:pPr>
              <w:pStyle w:val="40"/>
              <w:keepNext w:val="0"/>
              <w:keepLines w:val="0"/>
              <w:suppressLineNumbers w:val="0"/>
              <w:spacing w:before="0" w:beforeAutospacing="0" w:after="0" w:afterAutospacing="0"/>
              <w:ind w:left="0" w:right="0"/>
              <w:rPr>
                <w:rFonts w:hint="default"/>
                <w:highlight w:val="none"/>
              </w:rPr>
            </w:pPr>
            <w:r>
              <w:rPr>
                <w:rFonts w:hint="default"/>
                <w:highlight w:val="none"/>
              </w:rPr>
              <w:t>1个、建筑面积5000m</w:t>
            </w:r>
            <w:r>
              <w:rPr>
                <w:rFonts w:hint="default"/>
                <w:highlight w:val="none"/>
                <w:vertAlign w:val="superscript"/>
              </w:rPr>
              <w:t>2</w:t>
            </w:r>
          </w:p>
        </w:tc>
        <w:tc>
          <w:tcPr>
            <w:tcW w:w="1201" w:type="dxa"/>
            <w:vMerge w:val="continue"/>
            <w:tcBorders>
              <w:tl2br w:val="nil"/>
              <w:tr2bl w:val="nil"/>
            </w:tcBorders>
            <w:vAlign w:val="center"/>
          </w:tcPr>
          <w:p w14:paraId="7B4DF8C6">
            <w:pPr>
              <w:keepNext w:val="0"/>
              <w:keepLines w:val="0"/>
              <w:suppressLineNumbers w:val="0"/>
              <w:spacing w:before="0" w:beforeAutospacing="0" w:after="0" w:afterAutospacing="0"/>
              <w:ind w:left="0" w:right="0"/>
              <w:jc w:val="center"/>
              <w:rPr>
                <w:rFonts w:hint="default" w:cs="Times New Roman"/>
                <w:highlight w:val="yellow"/>
              </w:rPr>
            </w:pPr>
          </w:p>
        </w:tc>
      </w:tr>
      <w:tr w14:paraId="1121495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7" w:type="dxa"/>
            <w:vMerge w:val="continue"/>
            <w:tcBorders>
              <w:tl2br w:val="nil"/>
              <w:tr2bl w:val="nil"/>
            </w:tcBorders>
            <w:vAlign w:val="center"/>
          </w:tcPr>
          <w:p w14:paraId="2873764D">
            <w:pPr>
              <w:pStyle w:val="38"/>
              <w:keepNext w:val="0"/>
              <w:keepLines w:val="0"/>
              <w:suppressLineNumbers w:val="0"/>
              <w:spacing w:before="0" w:beforeAutospacing="0" w:after="0" w:afterAutospacing="0"/>
              <w:ind w:left="0" w:right="0"/>
              <w:rPr>
                <w:rFonts w:hint="default"/>
                <w:szCs w:val="21"/>
                <w:highlight w:val="none"/>
              </w:rPr>
            </w:pPr>
          </w:p>
        </w:tc>
        <w:tc>
          <w:tcPr>
            <w:tcW w:w="684" w:type="dxa"/>
            <w:vMerge w:val="continue"/>
            <w:tcBorders>
              <w:tl2br w:val="nil"/>
              <w:tr2bl w:val="nil"/>
            </w:tcBorders>
            <w:vAlign w:val="center"/>
          </w:tcPr>
          <w:p w14:paraId="60B96873">
            <w:pPr>
              <w:pStyle w:val="38"/>
              <w:keepNext w:val="0"/>
              <w:keepLines w:val="0"/>
              <w:suppressLineNumbers w:val="0"/>
              <w:spacing w:before="0" w:beforeAutospacing="0" w:after="0" w:afterAutospacing="0"/>
              <w:ind w:left="0" w:right="0"/>
              <w:rPr>
                <w:rFonts w:hint="default"/>
                <w:szCs w:val="21"/>
                <w:highlight w:val="none"/>
              </w:rPr>
            </w:pPr>
          </w:p>
        </w:tc>
        <w:tc>
          <w:tcPr>
            <w:tcW w:w="2001" w:type="dxa"/>
            <w:tcBorders>
              <w:tl2br w:val="nil"/>
              <w:tr2bl w:val="nil"/>
            </w:tcBorders>
            <w:vAlign w:val="center"/>
          </w:tcPr>
          <w:p w14:paraId="3B46B1FB">
            <w:pPr>
              <w:pStyle w:val="40"/>
              <w:keepNext w:val="0"/>
              <w:keepLines w:val="0"/>
              <w:suppressLineNumbers w:val="0"/>
              <w:spacing w:before="0" w:beforeAutospacing="0" w:after="0" w:afterAutospacing="0"/>
              <w:ind w:left="0" w:right="0"/>
              <w:rPr>
                <w:rFonts w:hint="default"/>
                <w:highlight w:val="none"/>
              </w:rPr>
            </w:pPr>
            <w:r>
              <w:rPr>
                <w:rFonts w:hint="default"/>
                <w:highlight w:val="none"/>
              </w:rPr>
              <w:t>袋式电池装配封口车间</w:t>
            </w:r>
          </w:p>
        </w:tc>
        <w:tc>
          <w:tcPr>
            <w:tcW w:w="2267" w:type="dxa"/>
            <w:tcBorders>
              <w:tl2br w:val="nil"/>
              <w:tr2bl w:val="nil"/>
            </w:tcBorders>
            <w:vAlign w:val="center"/>
          </w:tcPr>
          <w:p w14:paraId="67A34853">
            <w:pPr>
              <w:pStyle w:val="77"/>
              <w:keepNext w:val="0"/>
              <w:keepLines w:val="0"/>
              <w:suppressLineNumbers w:val="0"/>
              <w:spacing w:before="0" w:beforeAutospacing="0" w:after="0" w:afterAutospacing="0"/>
              <w:ind w:left="0" w:right="0" w:firstLine="0"/>
              <w:jc w:val="center"/>
              <w:rPr>
                <w:rFonts w:hint="default" w:hAnsi="Times New Roman"/>
                <w:sz w:val="21"/>
                <w:szCs w:val="21"/>
                <w:highlight w:val="none"/>
              </w:rPr>
            </w:pPr>
            <w:r>
              <w:rPr>
                <w:rFonts w:hint="default" w:hAnsi="Times New Roman"/>
                <w:sz w:val="21"/>
                <w:szCs w:val="21"/>
                <w:highlight w:val="none"/>
              </w:rPr>
              <w:t>袋式电池装配封口车间</w:t>
            </w:r>
          </w:p>
        </w:tc>
        <w:tc>
          <w:tcPr>
            <w:tcW w:w="1985" w:type="dxa"/>
            <w:tcBorders>
              <w:tl2br w:val="nil"/>
              <w:tr2bl w:val="nil"/>
            </w:tcBorders>
            <w:vAlign w:val="center"/>
          </w:tcPr>
          <w:p w14:paraId="3C7EA3E7">
            <w:pPr>
              <w:pStyle w:val="77"/>
              <w:keepNext w:val="0"/>
              <w:keepLines w:val="0"/>
              <w:suppressLineNumbers w:val="0"/>
              <w:spacing w:before="0" w:beforeAutospacing="0" w:after="0" w:afterAutospacing="0"/>
              <w:ind w:left="0" w:right="0" w:firstLine="0"/>
              <w:jc w:val="center"/>
              <w:rPr>
                <w:rFonts w:hint="default" w:hAnsi="Times New Roman"/>
                <w:sz w:val="21"/>
                <w:szCs w:val="21"/>
                <w:highlight w:val="none"/>
              </w:rPr>
            </w:pPr>
            <w:r>
              <w:rPr>
                <w:rFonts w:hint="default" w:hAnsi="Times New Roman"/>
                <w:sz w:val="21"/>
                <w:szCs w:val="21"/>
                <w:highlight w:val="none"/>
              </w:rPr>
              <w:t>袋式电池装配封口车间</w:t>
            </w:r>
          </w:p>
        </w:tc>
        <w:tc>
          <w:tcPr>
            <w:tcW w:w="1201" w:type="dxa"/>
            <w:vMerge w:val="continue"/>
            <w:tcBorders>
              <w:tl2br w:val="nil"/>
              <w:tr2bl w:val="nil"/>
            </w:tcBorders>
            <w:vAlign w:val="center"/>
          </w:tcPr>
          <w:p w14:paraId="3E74F0E4">
            <w:pPr>
              <w:keepNext w:val="0"/>
              <w:keepLines w:val="0"/>
              <w:suppressLineNumbers w:val="0"/>
              <w:spacing w:before="0" w:beforeAutospacing="0" w:after="0" w:afterAutospacing="0"/>
              <w:ind w:left="0" w:right="0"/>
              <w:jc w:val="center"/>
              <w:rPr>
                <w:rFonts w:hint="default" w:cs="Times New Roman"/>
                <w:highlight w:val="yellow"/>
              </w:rPr>
            </w:pPr>
          </w:p>
        </w:tc>
      </w:tr>
      <w:tr w14:paraId="091E3C3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7" w:type="dxa"/>
            <w:vMerge w:val="continue"/>
            <w:tcBorders>
              <w:tl2br w:val="nil"/>
              <w:tr2bl w:val="nil"/>
            </w:tcBorders>
            <w:vAlign w:val="center"/>
          </w:tcPr>
          <w:p w14:paraId="38A95DA6">
            <w:pPr>
              <w:pStyle w:val="38"/>
              <w:keepNext w:val="0"/>
              <w:keepLines w:val="0"/>
              <w:suppressLineNumbers w:val="0"/>
              <w:spacing w:before="0" w:beforeAutospacing="0" w:after="0" w:afterAutospacing="0"/>
              <w:ind w:left="0" w:right="0"/>
              <w:rPr>
                <w:rFonts w:hint="default"/>
                <w:szCs w:val="21"/>
                <w:highlight w:val="yellow"/>
              </w:rPr>
            </w:pPr>
          </w:p>
        </w:tc>
        <w:tc>
          <w:tcPr>
            <w:tcW w:w="684" w:type="dxa"/>
            <w:vMerge w:val="continue"/>
            <w:tcBorders>
              <w:tl2br w:val="nil"/>
              <w:tr2bl w:val="nil"/>
            </w:tcBorders>
            <w:vAlign w:val="center"/>
          </w:tcPr>
          <w:p w14:paraId="62791463">
            <w:pPr>
              <w:pStyle w:val="38"/>
              <w:keepNext w:val="0"/>
              <w:keepLines w:val="0"/>
              <w:suppressLineNumbers w:val="0"/>
              <w:spacing w:before="0" w:beforeAutospacing="0" w:after="0" w:afterAutospacing="0"/>
              <w:ind w:left="0" w:right="0"/>
              <w:rPr>
                <w:rFonts w:hint="default"/>
                <w:szCs w:val="21"/>
                <w:highlight w:val="yellow"/>
              </w:rPr>
            </w:pPr>
          </w:p>
        </w:tc>
        <w:tc>
          <w:tcPr>
            <w:tcW w:w="2001" w:type="dxa"/>
            <w:tcBorders>
              <w:tl2br w:val="nil"/>
              <w:tr2bl w:val="nil"/>
            </w:tcBorders>
            <w:vAlign w:val="center"/>
          </w:tcPr>
          <w:p w14:paraId="60993F1A">
            <w:pPr>
              <w:pStyle w:val="40"/>
              <w:keepNext w:val="0"/>
              <w:keepLines w:val="0"/>
              <w:suppressLineNumbers w:val="0"/>
              <w:spacing w:before="0" w:beforeAutospacing="0" w:after="0" w:afterAutospacing="0"/>
              <w:ind w:left="0" w:right="0"/>
              <w:rPr>
                <w:rFonts w:hint="default"/>
                <w:highlight w:val="none"/>
              </w:rPr>
            </w:pPr>
            <w:r>
              <w:rPr>
                <w:rFonts w:hint="default"/>
                <w:highlight w:val="none"/>
              </w:rPr>
              <w:t>机加工车间</w:t>
            </w:r>
          </w:p>
        </w:tc>
        <w:tc>
          <w:tcPr>
            <w:tcW w:w="2267" w:type="dxa"/>
            <w:tcBorders>
              <w:tl2br w:val="nil"/>
              <w:tr2bl w:val="nil"/>
            </w:tcBorders>
            <w:vAlign w:val="center"/>
          </w:tcPr>
          <w:p w14:paraId="35356BAF">
            <w:pPr>
              <w:pStyle w:val="40"/>
              <w:keepNext w:val="0"/>
              <w:keepLines w:val="0"/>
              <w:suppressLineNumbers w:val="0"/>
              <w:spacing w:before="0" w:beforeAutospacing="0" w:after="0" w:afterAutospacing="0"/>
              <w:ind w:left="0" w:right="0"/>
              <w:rPr>
                <w:rFonts w:hint="default"/>
                <w:highlight w:val="none"/>
              </w:rPr>
            </w:pPr>
            <w:r>
              <w:rPr>
                <w:rFonts w:hint="default"/>
                <w:highlight w:val="none"/>
              </w:rPr>
              <w:t>1个、建筑面积1430m</w:t>
            </w:r>
            <w:r>
              <w:rPr>
                <w:rFonts w:hint="default"/>
                <w:highlight w:val="none"/>
                <w:vertAlign w:val="superscript"/>
              </w:rPr>
              <w:t>2</w:t>
            </w:r>
          </w:p>
        </w:tc>
        <w:tc>
          <w:tcPr>
            <w:tcW w:w="1985" w:type="dxa"/>
            <w:tcBorders>
              <w:tl2br w:val="nil"/>
              <w:tr2bl w:val="nil"/>
            </w:tcBorders>
            <w:vAlign w:val="center"/>
          </w:tcPr>
          <w:p w14:paraId="4481000D">
            <w:pPr>
              <w:pStyle w:val="40"/>
              <w:keepNext w:val="0"/>
              <w:keepLines w:val="0"/>
              <w:suppressLineNumbers w:val="0"/>
              <w:spacing w:before="0" w:beforeAutospacing="0" w:after="0" w:afterAutospacing="0"/>
              <w:ind w:left="0" w:right="0"/>
              <w:rPr>
                <w:rFonts w:hint="default"/>
                <w:highlight w:val="none"/>
              </w:rPr>
            </w:pPr>
            <w:r>
              <w:rPr>
                <w:rFonts w:hint="default"/>
                <w:highlight w:val="none"/>
              </w:rPr>
              <w:t>1个、建筑面积1430m</w:t>
            </w:r>
            <w:r>
              <w:rPr>
                <w:rFonts w:hint="default"/>
                <w:highlight w:val="none"/>
                <w:vertAlign w:val="superscript"/>
              </w:rPr>
              <w:t>2</w:t>
            </w:r>
          </w:p>
        </w:tc>
        <w:tc>
          <w:tcPr>
            <w:tcW w:w="1201" w:type="dxa"/>
            <w:tcBorders>
              <w:tl2br w:val="nil"/>
              <w:tr2bl w:val="nil"/>
            </w:tcBorders>
            <w:vAlign w:val="center"/>
          </w:tcPr>
          <w:p w14:paraId="6E376A67">
            <w:pPr>
              <w:keepNext w:val="0"/>
              <w:keepLines w:val="0"/>
              <w:suppressLineNumbers w:val="0"/>
              <w:spacing w:before="0" w:beforeAutospacing="0" w:after="0" w:afterAutospacing="0"/>
              <w:ind w:left="0" w:right="0"/>
              <w:jc w:val="center"/>
              <w:rPr>
                <w:rFonts w:hint="default" w:cs="Times New Roman"/>
                <w:highlight w:val="none"/>
              </w:rPr>
            </w:pPr>
            <w:r>
              <w:rPr>
                <w:rFonts w:hint="eastAsia" w:cs="Times New Roman"/>
                <w:highlight w:val="none"/>
              </w:rPr>
              <w:t>机加工外协加工，目前机加工车间外租</w:t>
            </w:r>
          </w:p>
        </w:tc>
      </w:tr>
      <w:tr w14:paraId="206B1CD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7" w:type="dxa"/>
            <w:vMerge w:val="continue"/>
            <w:tcBorders>
              <w:tl2br w:val="nil"/>
              <w:tr2bl w:val="nil"/>
            </w:tcBorders>
            <w:vAlign w:val="center"/>
          </w:tcPr>
          <w:p w14:paraId="3B2F9BE2">
            <w:pPr>
              <w:pStyle w:val="78"/>
              <w:keepNext w:val="0"/>
              <w:keepLines w:val="0"/>
              <w:suppressLineNumbers w:val="0"/>
              <w:spacing w:before="0" w:beforeAutospacing="0" w:after="0" w:afterAutospacing="0"/>
              <w:ind w:left="0" w:right="0"/>
              <w:rPr>
                <w:rFonts w:hint="default"/>
                <w:highlight w:val="yellow"/>
              </w:rPr>
            </w:pPr>
          </w:p>
        </w:tc>
        <w:tc>
          <w:tcPr>
            <w:tcW w:w="684" w:type="dxa"/>
            <w:vMerge w:val="continue"/>
            <w:tcBorders>
              <w:tl2br w:val="nil"/>
              <w:tr2bl w:val="nil"/>
            </w:tcBorders>
            <w:vAlign w:val="center"/>
          </w:tcPr>
          <w:p w14:paraId="40A400B6">
            <w:pPr>
              <w:pStyle w:val="78"/>
              <w:keepNext w:val="0"/>
              <w:keepLines w:val="0"/>
              <w:suppressLineNumbers w:val="0"/>
              <w:spacing w:before="0" w:beforeAutospacing="0" w:after="0" w:afterAutospacing="0"/>
              <w:ind w:left="0" w:right="0"/>
              <w:rPr>
                <w:rFonts w:hint="default"/>
                <w:highlight w:val="yellow"/>
              </w:rPr>
            </w:pPr>
          </w:p>
        </w:tc>
        <w:tc>
          <w:tcPr>
            <w:tcW w:w="2001" w:type="dxa"/>
            <w:tcBorders>
              <w:tl2br w:val="nil"/>
              <w:tr2bl w:val="nil"/>
            </w:tcBorders>
            <w:vAlign w:val="center"/>
          </w:tcPr>
          <w:p w14:paraId="5F0475A5">
            <w:pPr>
              <w:pStyle w:val="40"/>
              <w:keepNext w:val="0"/>
              <w:keepLines w:val="0"/>
              <w:suppressLineNumbers w:val="0"/>
              <w:spacing w:before="0" w:beforeAutospacing="0" w:after="0" w:afterAutospacing="0"/>
              <w:ind w:left="0" w:right="0"/>
              <w:rPr>
                <w:rFonts w:hint="default"/>
                <w:highlight w:val="none"/>
              </w:rPr>
            </w:pPr>
            <w:r>
              <w:rPr>
                <w:rFonts w:hint="default"/>
                <w:highlight w:val="none"/>
              </w:rPr>
              <w:t>化成车间</w:t>
            </w:r>
          </w:p>
        </w:tc>
        <w:tc>
          <w:tcPr>
            <w:tcW w:w="2267" w:type="dxa"/>
            <w:tcBorders>
              <w:tl2br w:val="nil"/>
              <w:tr2bl w:val="nil"/>
            </w:tcBorders>
            <w:vAlign w:val="center"/>
          </w:tcPr>
          <w:p w14:paraId="26C99BAF">
            <w:pPr>
              <w:keepNext w:val="0"/>
              <w:keepLines w:val="0"/>
              <w:suppressLineNumbers w:val="0"/>
              <w:spacing w:before="0" w:beforeAutospacing="0" w:after="0" w:afterAutospacing="0"/>
              <w:ind w:left="0" w:right="0"/>
              <w:jc w:val="center"/>
              <w:rPr>
                <w:rFonts w:hint="default" w:cs="Times New Roman"/>
                <w:highlight w:val="none"/>
              </w:rPr>
            </w:pPr>
            <w:r>
              <w:rPr>
                <w:rFonts w:hint="default" w:cs="Times New Roman"/>
                <w:highlight w:val="none"/>
              </w:rPr>
              <w:t>1个、建筑面积500m</w:t>
            </w:r>
            <w:r>
              <w:rPr>
                <w:rFonts w:hint="default" w:cs="Times New Roman"/>
                <w:highlight w:val="none"/>
                <w:vertAlign w:val="superscript"/>
              </w:rPr>
              <w:t>2</w:t>
            </w:r>
          </w:p>
        </w:tc>
        <w:tc>
          <w:tcPr>
            <w:tcW w:w="1985" w:type="dxa"/>
            <w:tcBorders>
              <w:tl2br w:val="nil"/>
              <w:tr2bl w:val="nil"/>
            </w:tcBorders>
            <w:vAlign w:val="center"/>
          </w:tcPr>
          <w:p w14:paraId="7C87188A">
            <w:pPr>
              <w:pStyle w:val="77"/>
              <w:keepNext w:val="0"/>
              <w:keepLines w:val="0"/>
              <w:suppressLineNumbers w:val="0"/>
              <w:spacing w:before="0" w:beforeAutospacing="0" w:after="0" w:afterAutospacing="0"/>
              <w:ind w:left="0" w:right="0" w:firstLine="0"/>
              <w:jc w:val="center"/>
              <w:rPr>
                <w:rFonts w:hint="default" w:hAnsi="Times New Roman"/>
                <w:sz w:val="21"/>
                <w:szCs w:val="21"/>
                <w:highlight w:val="none"/>
              </w:rPr>
            </w:pPr>
            <w:r>
              <w:rPr>
                <w:rFonts w:hint="default" w:hAnsi="Times New Roman"/>
                <w:sz w:val="21"/>
                <w:szCs w:val="21"/>
                <w:highlight w:val="none"/>
              </w:rPr>
              <w:t>1个、建筑面积500m</w:t>
            </w:r>
            <w:r>
              <w:rPr>
                <w:rFonts w:hint="default" w:hAnsi="Times New Roman"/>
                <w:sz w:val="21"/>
                <w:szCs w:val="21"/>
                <w:highlight w:val="none"/>
                <w:vertAlign w:val="superscript"/>
              </w:rPr>
              <w:t>2</w:t>
            </w:r>
          </w:p>
        </w:tc>
        <w:tc>
          <w:tcPr>
            <w:tcW w:w="1201" w:type="dxa"/>
            <w:vMerge w:val="restart"/>
            <w:tcBorders>
              <w:tl2br w:val="nil"/>
              <w:tr2bl w:val="nil"/>
            </w:tcBorders>
            <w:vAlign w:val="center"/>
          </w:tcPr>
          <w:p w14:paraId="63F7E6E2">
            <w:pPr>
              <w:keepNext w:val="0"/>
              <w:keepLines w:val="0"/>
              <w:suppressLineNumbers w:val="0"/>
              <w:spacing w:before="0" w:beforeAutospacing="0" w:after="0" w:afterAutospacing="0"/>
              <w:ind w:left="0" w:right="0"/>
              <w:jc w:val="center"/>
              <w:rPr>
                <w:rFonts w:hint="default" w:cs="Times New Roman"/>
                <w:highlight w:val="yellow"/>
              </w:rPr>
            </w:pPr>
            <w:r>
              <w:rPr>
                <w:rFonts w:hint="eastAsia"/>
                <w:szCs w:val="21"/>
                <w:highlight w:val="none"/>
                <w:lang w:val="en-US" w:eastAsia="zh-CN"/>
              </w:rPr>
              <w:t>一期已建成验收</w:t>
            </w:r>
          </w:p>
        </w:tc>
      </w:tr>
      <w:tr w14:paraId="06BD4BD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7" w:type="dxa"/>
            <w:vMerge w:val="continue"/>
            <w:tcBorders>
              <w:tl2br w:val="nil"/>
              <w:tr2bl w:val="nil"/>
            </w:tcBorders>
            <w:vAlign w:val="center"/>
          </w:tcPr>
          <w:p w14:paraId="2D5C75F5">
            <w:pPr>
              <w:pStyle w:val="75"/>
              <w:keepNext w:val="0"/>
              <w:keepLines w:val="0"/>
              <w:suppressLineNumbers w:val="0"/>
              <w:spacing w:before="0" w:beforeAutospacing="0" w:after="0" w:afterAutospacing="0" w:line="240" w:lineRule="auto"/>
              <w:ind w:left="0" w:right="0"/>
              <w:jc w:val="center"/>
              <w:rPr>
                <w:rFonts w:hint="default" w:ascii="Times New Roman"/>
                <w:sz w:val="21"/>
                <w:szCs w:val="21"/>
                <w:highlight w:val="yellow"/>
              </w:rPr>
            </w:pPr>
          </w:p>
        </w:tc>
        <w:tc>
          <w:tcPr>
            <w:tcW w:w="684" w:type="dxa"/>
            <w:vMerge w:val="continue"/>
            <w:tcBorders>
              <w:tl2br w:val="nil"/>
              <w:tr2bl w:val="nil"/>
            </w:tcBorders>
            <w:vAlign w:val="center"/>
          </w:tcPr>
          <w:p w14:paraId="47D7D836">
            <w:pPr>
              <w:pStyle w:val="75"/>
              <w:keepNext w:val="0"/>
              <w:keepLines w:val="0"/>
              <w:suppressLineNumbers w:val="0"/>
              <w:spacing w:before="0" w:beforeAutospacing="0" w:after="0" w:afterAutospacing="0" w:line="240" w:lineRule="auto"/>
              <w:ind w:left="0" w:right="0"/>
              <w:jc w:val="center"/>
              <w:rPr>
                <w:rFonts w:hint="default" w:ascii="Times New Roman"/>
                <w:sz w:val="21"/>
                <w:szCs w:val="21"/>
                <w:highlight w:val="yellow"/>
              </w:rPr>
            </w:pPr>
          </w:p>
        </w:tc>
        <w:tc>
          <w:tcPr>
            <w:tcW w:w="2001" w:type="dxa"/>
            <w:tcBorders>
              <w:tl2br w:val="nil"/>
              <w:tr2bl w:val="nil"/>
            </w:tcBorders>
            <w:vAlign w:val="center"/>
          </w:tcPr>
          <w:p w14:paraId="6B96F23F">
            <w:pPr>
              <w:keepNext w:val="0"/>
              <w:keepLines w:val="0"/>
              <w:suppressLineNumbers w:val="0"/>
              <w:spacing w:before="0" w:beforeAutospacing="0" w:after="0" w:afterAutospacing="0"/>
              <w:ind w:left="0" w:right="0"/>
              <w:jc w:val="center"/>
              <w:rPr>
                <w:rFonts w:hint="default" w:cs="Times New Roman"/>
                <w:highlight w:val="none"/>
              </w:rPr>
            </w:pPr>
            <w:r>
              <w:rPr>
                <w:rFonts w:hint="default" w:cs="Times New Roman"/>
                <w:highlight w:val="none"/>
              </w:rPr>
              <w:t>浸渍刷洗间</w:t>
            </w:r>
          </w:p>
        </w:tc>
        <w:tc>
          <w:tcPr>
            <w:tcW w:w="2267" w:type="dxa"/>
            <w:tcBorders>
              <w:tl2br w:val="nil"/>
              <w:tr2bl w:val="nil"/>
            </w:tcBorders>
            <w:vAlign w:val="center"/>
          </w:tcPr>
          <w:p w14:paraId="77E24807">
            <w:pPr>
              <w:keepNext w:val="0"/>
              <w:keepLines w:val="0"/>
              <w:suppressLineNumbers w:val="0"/>
              <w:spacing w:before="0" w:beforeAutospacing="0" w:after="0" w:afterAutospacing="0"/>
              <w:ind w:left="0" w:right="0"/>
              <w:jc w:val="center"/>
              <w:rPr>
                <w:rFonts w:hint="default" w:cs="Times New Roman"/>
                <w:highlight w:val="none"/>
              </w:rPr>
            </w:pPr>
            <w:r>
              <w:rPr>
                <w:rFonts w:hint="default" w:cs="Times New Roman"/>
                <w:highlight w:val="none"/>
              </w:rPr>
              <w:t>1个、建筑面积160m</w:t>
            </w:r>
            <w:r>
              <w:rPr>
                <w:rFonts w:hint="default" w:cs="Times New Roman"/>
                <w:highlight w:val="none"/>
                <w:vertAlign w:val="superscript"/>
              </w:rPr>
              <w:t>2</w:t>
            </w:r>
          </w:p>
        </w:tc>
        <w:tc>
          <w:tcPr>
            <w:tcW w:w="1985" w:type="dxa"/>
            <w:tcBorders>
              <w:tl2br w:val="nil"/>
              <w:tr2bl w:val="nil"/>
            </w:tcBorders>
            <w:vAlign w:val="center"/>
          </w:tcPr>
          <w:p w14:paraId="3422509B">
            <w:pPr>
              <w:pStyle w:val="40"/>
              <w:keepNext w:val="0"/>
              <w:keepLines w:val="0"/>
              <w:suppressLineNumbers w:val="0"/>
              <w:spacing w:before="0" w:beforeAutospacing="0" w:after="0" w:afterAutospacing="0"/>
              <w:ind w:left="0" w:right="0"/>
              <w:rPr>
                <w:rFonts w:hint="default"/>
                <w:highlight w:val="none"/>
              </w:rPr>
            </w:pPr>
            <w:r>
              <w:rPr>
                <w:rFonts w:hint="default"/>
                <w:highlight w:val="none"/>
              </w:rPr>
              <w:t>1个、建筑面积160m</w:t>
            </w:r>
            <w:r>
              <w:rPr>
                <w:rFonts w:hint="default"/>
                <w:highlight w:val="none"/>
                <w:vertAlign w:val="superscript"/>
              </w:rPr>
              <w:t>2</w:t>
            </w:r>
          </w:p>
        </w:tc>
        <w:tc>
          <w:tcPr>
            <w:tcW w:w="1201" w:type="dxa"/>
            <w:vMerge w:val="continue"/>
            <w:tcBorders>
              <w:tl2br w:val="nil"/>
              <w:tr2bl w:val="nil"/>
            </w:tcBorders>
            <w:vAlign w:val="center"/>
          </w:tcPr>
          <w:p w14:paraId="482A47E1">
            <w:pPr>
              <w:keepNext w:val="0"/>
              <w:keepLines w:val="0"/>
              <w:suppressLineNumbers w:val="0"/>
              <w:spacing w:before="0" w:beforeAutospacing="0" w:after="0" w:afterAutospacing="0"/>
              <w:ind w:left="0" w:right="0"/>
              <w:jc w:val="center"/>
              <w:rPr>
                <w:rFonts w:hint="default" w:cs="Times New Roman"/>
                <w:highlight w:val="yellow"/>
              </w:rPr>
            </w:pPr>
          </w:p>
        </w:tc>
      </w:tr>
      <w:tr w14:paraId="41D468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7" w:type="dxa"/>
            <w:vMerge w:val="restart"/>
            <w:tcBorders>
              <w:tl2br w:val="nil"/>
              <w:tr2bl w:val="nil"/>
            </w:tcBorders>
            <w:vAlign w:val="center"/>
          </w:tcPr>
          <w:p w14:paraId="020CAC16">
            <w:pPr>
              <w:pStyle w:val="38"/>
              <w:keepNext w:val="0"/>
              <w:keepLines w:val="0"/>
              <w:suppressLineNumbers w:val="0"/>
              <w:spacing w:before="0" w:beforeAutospacing="0" w:after="0" w:afterAutospacing="0"/>
              <w:ind w:left="0" w:right="0"/>
              <w:rPr>
                <w:rFonts w:hint="default"/>
                <w:szCs w:val="21"/>
                <w:highlight w:val="none"/>
              </w:rPr>
            </w:pPr>
            <w:r>
              <w:rPr>
                <w:rFonts w:hint="default"/>
                <w:szCs w:val="21"/>
                <w:highlight w:val="none"/>
              </w:rPr>
              <w:t>2</w:t>
            </w:r>
          </w:p>
        </w:tc>
        <w:tc>
          <w:tcPr>
            <w:tcW w:w="684" w:type="dxa"/>
            <w:vMerge w:val="restart"/>
            <w:tcBorders>
              <w:tl2br w:val="nil"/>
              <w:tr2bl w:val="nil"/>
            </w:tcBorders>
            <w:vAlign w:val="center"/>
          </w:tcPr>
          <w:p w14:paraId="3E34A07F">
            <w:pPr>
              <w:pStyle w:val="38"/>
              <w:keepNext w:val="0"/>
              <w:keepLines w:val="0"/>
              <w:suppressLineNumbers w:val="0"/>
              <w:spacing w:before="0" w:beforeAutospacing="0" w:after="0" w:afterAutospacing="0"/>
              <w:ind w:left="0" w:right="0"/>
              <w:rPr>
                <w:rFonts w:hint="default"/>
                <w:szCs w:val="21"/>
                <w:highlight w:val="none"/>
              </w:rPr>
            </w:pPr>
            <w:r>
              <w:rPr>
                <w:rFonts w:hint="default"/>
                <w:szCs w:val="21"/>
                <w:highlight w:val="none"/>
              </w:rPr>
              <w:t>辅助工程</w:t>
            </w:r>
          </w:p>
        </w:tc>
        <w:tc>
          <w:tcPr>
            <w:tcW w:w="2001" w:type="dxa"/>
            <w:tcBorders>
              <w:tl2br w:val="nil"/>
              <w:tr2bl w:val="nil"/>
            </w:tcBorders>
            <w:vAlign w:val="center"/>
          </w:tcPr>
          <w:p w14:paraId="6858EA5A">
            <w:pPr>
              <w:pStyle w:val="40"/>
              <w:keepNext w:val="0"/>
              <w:keepLines w:val="0"/>
              <w:suppressLineNumbers w:val="0"/>
              <w:spacing w:before="0" w:beforeAutospacing="0" w:after="0" w:afterAutospacing="0"/>
              <w:ind w:left="0" w:right="0"/>
              <w:rPr>
                <w:rFonts w:hint="default"/>
                <w:highlight w:val="none"/>
              </w:rPr>
            </w:pPr>
            <w:r>
              <w:rPr>
                <w:rFonts w:hint="default"/>
                <w:highlight w:val="none"/>
              </w:rPr>
              <w:t>办公楼</w:t>
            </w:r>
          </w:p>
        </w:tc>
        <w:tc>
          <w:tcPr>
            <w:tcW w:w="2267" w:type="dxa"/>
            <w:tcBorders>
              <w:tl2br w:val="nil"/>
              <w:tr2bl w:val="nil"/>
            </w:tcBorders>
            <w:vAlign w:val="center"/>
          </w:tcPr>
          <w:p w14:paraId="4372AEC3">
            <w:pPr>
              <w:pStyle w:val="40"/>
              <w:keepNext w:val="0"/>
              <w:keepLines w:val="0"/>
              <w:suppressLineNumbers w:val="0"/>
              <w:spacing w:before="0" w:beforeAutospacing="0" w:after="0" w:afterAutospacing="0"/>
              <w:ind w:left="0" w:right="0"/>
              <w:rPr>
                <w:rFonts w:hint="default"/>
                <w:highlight w:val="none"/>
              </w:rPr>
            </w:pPr>
            <w:r>
              <w:rPr>
                <w:rFonts w:hint="default"/>
                <w:highlight w:val="none"/>
              </w:rPr>
              <w:t>1个、建筑面积1800m</w:t>
            </w:r>
            <w:r>
              <w:rPr>
                <w:rFonts w:hint="default"/>
                <w:highlight w:val="none"/>
                <w:vertAlign w:val="superscript"/>
              </w:rPr>
              <w:t>2</w:t>
            </w:r>
          </w:p>
        </w:tc>
        <w:tc>
          <w:tcPr>
            <w:tcW w:w="1985" w:type="dxa"/>
            <w:tcBorders>
              <w:tl2br w:val="nil"/>
              <w:tr2bl w:val="nil"/>
            </w:tcBorders>
            <w:vAlign w:val="center"/>
          </w:tcPr>
          <w:p w14:paraId="6F2B573E">
            <w:pPr>
              <w:pStyle w:val="77"/>
              <w:keepNext w:val="0"/>
              <w:keepLines w:val="0"/>
              <w:suppressLineNumbers w:val="0"/>
              <w:spacing w:before="0" w:beforeAutospacing="0" w:after="0" w:afterAutospacing="0"/>
              <w:ind w:left="0" w:right="0" w:firstLine="0"/>
              <w:jc w:val="center"/>
              <w:rPr>
                <w:rFonts w:hint="default" w:hAnsi="Times New Roman"/>
                <w:sz w:val="21"/>
                <w:szCs w:val="21"/>
                <w:highlight w:val="none"/>
              </w:rPr>
            </w:pPr>
            <w:r>
              <w:rPr>
                <w:rFonts w:hint="default" w:hAnsi="Times New Roman"/>
                <w:sz w:val="21"/>
                <w:szCs w:val="21"/>
                <w:highlight w:val="none"/>
              </w:rPr>
              <w:t>1个、建筑面积1800m</w:t>
            </w:r>
            <w:r>
              <w:rPr>
                <w:rFonts w:hint="default" w:hAnsi="Times New Roman"/>
                <w:sz w:val="21"/>
                <w:szCs w:val="21"/>
                <w:highlight w:val="none"/>
                <w:vertAlign w:val="superscript"/>
              </w:rPr>
              <w:t>2</w:t>
            </w:r>
          </w:p>
        </w:tc>
        <w:tc>
          <w:tcPr>
            <w:tcW w:w="1201" w:type="dxa"/>
            <w:vMerge w:val="continue"/>
            <w:tcBorders>
              <w:tl2br w:val="nil"/>
              <w:tr2bl w:val="nil"/>
            </w:tcBorders>
            <w:vAlign w:val="center"/>
          </w:tcPr>
          <w:p w14:paraId="651C1E51">
            <w:pPr>
              <w:keepNext w:val="0"/>
              <w:keepLines w:val="0"/>
              <w:suppressLineNumbers w:val="0"/>
              <w:spacing w:before="0" w:beforeAutospacing="0" w:after="0" w:afterAutospacing="0"/>
              <w:ind w:left="0" w:right="0"/>
              <w:jc w:val="center"/>
              <w:rPr>
                <w:rFonts w:hint="default" w:cs="Times New Roman"/>
                <w:highlight w:val="yellow"/>
              </w:rPr>
            </w:pPr>
          </w:p>
        </w:tc>
      </w:tr>
      <w:tr w14:paraId="254D5A9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7" w:type="dxa"/>
            <w:vMerge w:val="continue"/>
            <w:tcBorders>
              <w:tl2br w:val="nil"/>
              <w:tr2bl w:val="nil"/>
            </w:tcBorders>
            <w:vAlign w:val="center"/>
          </w:tcPr>
          <w:p w14:paraId="3F52BDE3">
            <w:pPr>
              <w:pStyle w:val="75"/>
              <w:keepNext w:val="0"/>
              <w:keepLines w:val="0"/>
              <w:suppressLineNumbers w:val="0"/>
              <w:spacing w:before="0" w:beforeAutospacing="0" w:after="0" w:afterAutospacing="0" w:line="240" w:lineRule="auto"/>
              <w:ind w:left="0" w:right="0"/>
              <w:jc w:val="center"/>
              <w:rPr>
                <w:rFonts w:hint="default" w:ascii="Times New Roman"/>
                <w:sz w:val="21"/>
                <w:szCs w:val="21"/>
                <w:highlight w:val="none"/>
              </w:rPr>
            </w:pPr>
          </w:p>
        </w:tc>
        <w:tc>
          <w:tcPr>
            <w:tcW w:w="684" w:type="dxa"/>
            <w:vMerge w:val="continue"/>
            <w:tcBorders>
              <w:tl2br w:val="nil"/>
              <w:tr2bl w:val="nil"/>
            </w:tcBorders>
            <w:vAlign w:val="center"/>
          </w:tcPr>
          <w:p w14:paraId="3A546C5F">
            <w:pPr>
              <w:pStyle w:val="75"/>
              <w:keepNext w:val="0"/>
              <w:keepLines w:val="0"/>
              <w:suppressLineNumbers w:val="0"/>
              <w:spacing w:before="0" w:beforeAutospacing="0" w:after="0" w:afterAutospacing="0" w:line="240" w:lineRule="auto"/>
              <w:ind w:left="0" w:right="0"/>
              <w:jc w:val="center"/>
              <w:rPr>
                <w:rFonts w:hint="default" w:ascii="Times New Roman"/>
                <w:sz w:val="21"/>
                <w:szCs w:val="21"/>
                <w:highlight w:val="none"/>
              </w:rPr>
            </w:pPr>
          </w:p>
        </w:tc>
        <w:tc>
          <w:tcPr>
            <w:tcW w:w="2001" w:type="dxa"/>
            <w:tcBorders>
              <w:tl2br w:val="nil"/>
              <w:tr2bl w:val="nil"/>
            </w:tcBorders>
            <w:vAlign w:val="center"/>
          </w:tcPr>
          <w:p w14:paraId="0501011D">
            <w:pPr>
              <w:pStyle w:val="40"/>
              <w:keepNext w:val="0"/>
              <w:keepLines w:val="0"/>
              <w:suppressLineNumbers w:val="0"/>
              <w:spacing w:before="0" w:beforeAutospacing="0" w:after="0" w:afterAutospacing="0"/>
              <w:ind w:left="0" w:right="0"/>
              <w:rPr>
                <w:rFonts w:hint="default"/>
                <w:highlight w:val="none"/>
              </w:rPr>
            </w:pPr>
            <w:r>
              <w:rPr>
                <w:rFonts w:hint="default"/>
                <w:highlight w:val="none"/>
              </w:rPr>
              <w:t>原料仓库</w:t>
            </w:r>
          </w:p>
        </w:tc>
        <w:tc>
          <w:tcPr>
            <w:tcW w:w="2267" w:type="dxa"/>
            <w:tcBorders>
              <w:tl2br w:val="nil"/>
              <w:tr2bl w:val="nil"/>
            </w:tcBorders>
            <w:vAlign w:val="center"/>
          </w:tcPr>
          <w:p w14:paraId="4E3E0105">
            <w:pPr>
              <w:pStyle w:val="40"/>
              <w:keepNext w:val="0"/>
              <w:keepLines w:val="0"/>
              <w:suppressLineNumbers w:val="0"/>
              <w:spacing w:before="0" w:beforeAutospacing="0" w:after="0" w:afterAutospacing="0"/>
              <w:ind w:left="0" w:right="0"/>
              <w:rPr>
                <w:rFonts w:hint="default"/>
                <w:highlight w:val="none"/>
              </w:rPr>
            </w:pPr>
            <w:r>
              <w:rPr>
                <w:rFonts w:hint="default"/>
                <w:highlight w:val="none"/>
              </w:rPr>
              <w:t>1个、建筑面积830m</w:t>
            </w:r>
            <w:r>
              <w:rPr>
                <w:rFonts w:hint="default"/>
                <w:highlight w:val="none"/>
                <w:vertAlign w:val="superscript"/>
              </w:rPr>
              <w:t>2</w:t>
            </w:r>
          </w:p>
        </w:tc>
        <w:tc>
          <w:tcPr>
            <w:tcW w:w="1985" w:type="dxa"/>
            <w:tcBorders>
              <w:tl2br w:val="nil"/>
              <w:tr2bl w:val="nil"/>
            </w:tcBorders>
            <w:vAlign w:val="center"/>
          </w:tcPr>
          <w:p w14:paraId="0758D4DD">
            <w:pPr>
              <w:pStyle w:val="40"/>
              <w:keepNext w:val="0"/>
              <w:keepLines w:val="0"/>
              <w:suppressLineNumbers w:val="0"/>
              <w:spacing w:before="0" w:beforeAutospacing="0" w:after="0" w:afterAutospacing="0"/>
              <w:ind w:left="0" w:right="0"/>
              <w:rPr>
                <w:rFonts w:hint="default"/>
                <w:highlight w:val="none"/>
              </w:rPr>
            </w:pPr>
            <w:r>
              <w:rPr>
                <w:rFonts w:hint="default"/>
                <w:highlight w:val="none"/>
              </w:rPr>
              <w:t>1个、建筑面积830m</w:t>
            </w:r>
            <w:r>
              <w:rPr>
                <w:rFonts w:hint="default"/>
                <w:highlight w:val="none"/>
                <w:vertAlign w:val="superscript"/>
              </w:rPr>
              <w:t>2</w:t>
            </w:r>
          </w:p>
        </w:tc>
        <w:tc>
          <w:tcPr>
            <w:tcW w:w="1201" w:type="dxa"/>
            <w:vMerge w:val="continue"/>
            <w:tcBorders>
              <w:tl2br w:val="nil"/>
              <w:tr2bl w:val="nil"/>
            </w:tcBorders>
            <w:vAlign w:val="center"/>
          </w:tcPr>
          <w:p w14:paraId="7C4F7D7D">
            <w:pPr>
              <w:keepNext w:val="0"/>
              <w:keepLines w:val="0"/>
              <w:suppressLineNumbers w:val="0"/>
              <w:spacing w:before="0" w:beforeAutospacing="0" w:after="0" w:afterAutospacing="0"/>
              <w:ind w:left="0" w:right="0"/>
              <w:jc w:val="center"/>
              <w:rPr>
                <w:rFonts w:hint="default" w:cs="Times New Roman"/>
                <w:highlight w:val="yellow"/>
              </w:rPr>
            </w:pPr>
          </w:p>
        </w:tc>
      </w:tr>
      <w:tr w14:paraId="0FE2DFE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7" w:type="dxa"/>
            <w:vMerge w:val="continue"/>
            <w:tcBorders>
              <w:tl2br w:val="nil"/>
              <w:tr2bl w:val="nil"/>
            </w:tcBorders>
            <w:vAlign w:val="center"/>
          </w:tcPr>
          <w:p w14:paraId="060A062D">
            <w:pPr>
              <w:pStyle w:val="38"/>
              <w:keepNext w:val="0"/>
              <w:keepLines w:val="0"/>
              <w:suppressLineNumbers w:val="0"/>
              <w:spacing w:before="0" w:beforeAutospacing="0" w:after="0" w:afterAutospacing="0"/>
              <w:ind w:left="0" w:right="0"/>
              <w:rPr>
                <w:rFonts w:hint="default"/>
                <w:szCs w:val="21"/>
                <w:highlight w:val="none"/>
              </w:rPr>
            </w:pPr>
          </w:p>
        </w:tc>
        <w:tc>
          <w:tcPr>
            <w:tcW w:w="684" w:type="dxa"/>
            <w:vMerge w:val="continue"/>
            <w:tcBorders>
              <w:tl2br w:val="nil"/>
              <w:tr2bl w:val="nil"/>
            </w:tcBorders>
            <w:vAlign w:val="center"/>
          </w:tcPr>
          <w:p w14:paraId="795F47D9">
            <w:pPr>
              <w:pStyle w:val="38"/>
              <w:keepNext w:val="0"/>
              <w:keepLines w:val="0"/>
              <w:suppressLineNumbers w:val="0"/>
              <w:spacing w:before="0" w:beforeAutospacing="0" w:after="0" w:afterAutospacing="0"/>
              <w:ind w:left="0" w:right="0"/>
              <w:rPr>
                <w:rFonts w:hint="default"/>
                <w:szCs w:val="21"/>
                <w:highlight w:val="none"/>
              </w:rPr>
            </w:pPr>
          </w:p>
        </w:tc>
        <w:tc>
          <w:tcPr>
            <w:tcW w:w="2001" w:type="dxa"/>
            <w:tcBorders>
              <w:tl2br w:val="nil"/>
              <w:tr2bl w:val="nil"/>
            </w:tcBorders>
            <w:vAlign w:val="center"/>
          </w:tcPr>
          <w:p w14:paraId="02544386">
            <w:pPr>
              <w:pStyle w:val="40"/>
              <w:keepNext w:val="0"/>
              <w:keepLines w:val="0"/>
              <w:suppressLineNumbers w:val="0"/>
              <w:spacing w:before="0" w:beforeAutospacing="0" w:after="0" w:afterAutospacing="0"/>
              <w:ind w:left="0" w:right="0"/>
              <w:rPr>
                <w:rFonts w:hint="default"/>
                <w:highlight w:val="none"/>
              </w:rPr>
            </w:pPr>
            <w:r>
              <w:rPr>
                <w:rFonts w:hint="default"/>
                <w:highlight w:val="none"/>
              </w:rPr>
              <w:t>成品仓库</w:t>
            </w:r>
          </w:p>
        </w:tc>
        <w:tc>
          <w:tcPr>
            <w:tcW w:w="2267" w:type="dxa"/>
            <w:tcBorders>
              <w:tl2br w:val="nil"/>
              <w:tr2bl w:val="nil"/>
            </w:tcBorders>
            <w:vAlign w:val="center"/>
          </w:tcPr>
          <w:p w14:paraId="23085C3C">
            <w:pPr>
              <w:keepNext w:val="0"/>
              <w:keepLines w:val="0"/>
              <w:suppressLineNumbers w:val="0"/>
              <w:spacing w:before="0" w:beforeAutospacing="0" w:after="0" w:afterAutospacing="0"/>
              <w:ind w:left="0" w:right="0"/>
              <w:jc w:val="center"/>
              <w:rPr>
                <w:rFonts w:hint="default" w:cs="Times New Roman"/>
                <w:highlight w:val="none"/>
              </w:rPr>
            </w:pPr>
            <w:r>
              <w:rPr>
                <w:rFonts w:hint="default" w:cs="Times New Roman"/>
                <w:highlight w:val="none"/>
              </w:rPr>
              <w:t>1个、建筑面积1450m</w:t>
            </w:r>
            <w:r>
              <w:rPr>
                <w:rFonts w:hint="default" w:cs="Times New Roman"/>
                <w:highlight w:val="none"/>
                <w:vertAlign w:val="superscript"/>
              </w:rPr>
              <w:t>2</w:t>
            </w:r>
          </w:p>
        </w:tc>
        <w:tc>
          <w:tcPr>
            <w:tcW w:w="1985" w:type="dxa"/>
            <w:tcBorders>
              <w:tl2br w:val="nil"/>
              <w:tr2bl w:val="nil"/>
            </w:tcBorders>
            <w:vAlign w:val="center"/>
          </w:tcPr>
          <w:p w14:paraId="5F004FD6">
            <w:pPr>
              <w:pStyle w:val="40"/>
              <w:keepNext w:val="0"/>
              <w:keepLines w:val="0"/>
              <w:suppressLineNumbers w:val="0"/>
              <w:spacing w:before="0" w:beforeAutospacing="0" w:after="0" w:afterAutospacing="0"/>
              <w:ind w:left="0" w:right="0"/>
              <w:rPr>
                <w:rFonts w:hint="default"/>
                <w:highlight w:val="none"/>
              </w:rPr>
            </w:pPr>
            <w:r>
              <w:rPr>
                <w:rFonts w:hint="default"/>
                <w:highlight w:val="none"/>
              </w:rPr>
              <w:t>1个、建筑面积1450m</w:t>
            </w:r>
            <w:r>
              <w:rPr>
                <w:rFonts w:hint="default"/>
                <w:highlight w:val="none"/>
                <w:vertAlign w:val="superscript"/>
              </w:rPr>
              <w:t>2</w:t>
            </w:r>
          </w:p>
        </w:tc>
        <w:tc>
          <w:tcPr>
            <w:tcW w:w="1201" w:type="dxa"/>
            <w:vMerge w:val="continue"/>
            <w:tcBorders>
              <w:tl2br w:val="nil"/>
              <w:tr2bl w:val="nil"/>
            </w:tcBorders>
            <w:vAlign w:val="center"/>
          </w:tcPr>
          <w:p w14:paraId="12C11962">
            <w:pPr>
              <w:pStyle w:val="38"/>
              <w:keepNext w:val="0"/>
              <w:keepLines w:val="0"/>
              <w:suppressLineNumbers w:val="0"/>
              <w:spacing w:before="0" w:beforeAutospacing="0" w:after="0" w:afterAutospacing="0"/>
              <w:ind w:left="0" w:right="0"/>
              <w:rPr>
                <w:rFonts w:hint="default"/>
                <w:szCs w:val="21"/>
                <w:highlight w:val="yellow"/>
              </w:rPr>
            </w:pPr>
          </w:p>
        </w:tc>
      </w:tr>
      <w:tr w14:paraId="385E434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7" w:type="dxa"/>
            <w:vMerge w:val="restart"/>
            <w:tcBorders>
              <w:tl2br w:val="nil"/>
              <w:tr2bl w:val="nil"/>
            </w:tcBorders>
            <w:vAlign w:val="center"/>
          </w:tcPr>
          <w:p w14:paraId="5BB42C85">
            <w:pPr>
              <w:pStyle w:val="38"/>
              <w:keepNext w:val="0"/>
              <w:keepLines w:val="0"/>
              <w:suppressLineNumbers w:val="0"/>
              <w:spacing w:before="0" w:beforeAutospacing="0" w:after="0" w:afterAutospacing="0"/>
              <w:ind w:left="0" w:right="0"/>
              <w:rPr>
                <w:rFonts w:hint="default"/>
                <w:szCs w:val="21"/>
                <w:highlight w:val="none"/>
              </w:rPr>
            </w:pPr>
            <w:r>
              <w:rPr>
                <w:rFonts w:hint="default"/>
                <w:szCs w:val="21"/>
                <w:highlight w:val="none"/>
              </w:rPr>
              <w:t>3</w:t>
            </w:r>
          </w:p>
        </w:tc>
        <w:tc>
          <w:tcPr>
            <w:tcW w:w="684" w:type="dxa"/>
            <w:vMerge w:val="restart"/>
            <w:tcBorders>
              <w:tl2br w:val="nil"/>
              <w:tr2bl w:val="nil"/>
            </w:tcBorders>
            <w:vAlign w:val="center"/>
          </w:tcPr>
          <w:p w14:paraId="39CF2DCD">
            <w:pPr>
              <w:pStyle w:val="38"/>
              <w:keepNext w:val="0"/>
              <w:keepLines w:val="0"/>
              <w:suppressLineNumbers w:val="0"/>
              <w:spacing w:before="0" w:beforeAutospacing="0" w:after="0" w:afterAutospacing="0"/>
              <w:ind w:left="0" w:right="0"/>
              <w:rPr>
                <w:rFonts w:hint="default"/>
                <w:szCs w:val="21"/>
                <w:highlight w:val="none"/>
              </w:rPr>
            </w:pPr>
            <w:r>
              <w:rPr>
                <w:rFonts w:hint="default"/>
                <w:szCs w:val="21"/>
                <w:highlight w:val="none"/>
              </w:rPr>
              <w:t>公用工程</w:t>
            </w:r>
          </w:p>
        </w:tc>
        <w:tc>
          <w:tcPr>
            <w:tcW w:w="2001" w:type="dxa"/>
            <w:tcBorders>
              <w:tl2br w:val="nil"/>
              <w:tr2bl w:val="nil"/>
            </w:tcBorders>
            <w:vAlign w:val="center"/>
          </w:tcPr>
          <w:p w14:paraId="0F5A8A75">
            <w:pPr>
              <w:pStyle w:val="40"/>
              <w:keepNext w:val="0"/>
              <w:keepLines w:val="0"/>
              <w:suppressLineNumbers w:val="0"/>
              <w:spacing w:before="0" w:beforeAutospacing="0" w:after="0" w:afterAutospacing="0"/>
              <w:ind w:left="0" w:right="0"/>
              <w:rPr>
                <w:rFonts w:hint="default"/>
                <w:highlight w:val="none"/>
              </w:rPr>
            </w:pPr>
            <w:r>
              <w:rPr>
                <w:rFonts w:hint="default"/>
                <w:highlight w:val="none"/>
              </w:rPr>
              <w:t>循环水冷却系统</w:t>
            </w:r>
          </w:p>
        </w:tc>
        <w:tc>
          <w:tcPr>
            <w:tcW w:w="2267" w:type="dxa"/>
            <w:tcBorders>
              <w:tl2br w:val="nil"/>
              <w:tr2bl w:val="nil"/>
            </w:tcBorders>
            <w:vAlign w:val="center"/>
          </w:tcPr>
          <w:p w14:paraId="64D7F736">
            <w:pPr>
              <w:pStyle w:val="40"/>
              <w:keepNext w:val="0"/>
              <w:keepLines w:val="0"/>
              <w:suppressLineNumbers w:val="0"/>
              <w:spacing w:before="0" w:beforeAutospacing="0" w:after="0" w:afterAutospacing="0"/>
              <w:ind w:left="0" w:right="0"/>
              <w:rPr>
                <w:rFonts w:hint="default"/>
                <w:highlight w:val="none"/>
              </w:rPr>
            </w:pPr>
            <w:r>
              <w:rPr>
                <w:rFonts w:hint="default"/>
                <w:highlight w:val="none"/>
              </w:rPr>
              <w:t>循环水冷却系统 1套</w:t>
            </w:r>
          </w:p>
        </w:tc>
        <w:tc>
          <w:tcPr>
            <w:tcW w:w="1985" w:type="dxa"/>
            <w:tcBorders>
              <w:tl2br w:val="nil"/>
              <w:tr2bl w:val="nil"/>
            </w:tcBorders>
            <w:vAlign w:val="center"/>
          </w:tcPr>
          <w:p w14:paraId="505CF5BF">
            <w:pPr>
              <w:pStyle w:val="40"/>
              <w:keepNext w:val="0"/>
              <w:keepLines w:val="0"/>
              <w:suppressLineNumbers w:val="0"/>
              <w:spacing w:before="0" w:beforeAutospacing="0" w:after="0" w:afterAutospacing="0"/>
              <w:ind w:left="0" w:right="0"/>
              <w:rPr>
                <w:rFonts w:hint="default"/>
                <w:highlight w:val="none"/>
              </w:rPr>
            </w:pPr>
            <w:r>
              <w:rPr>
                <w:rFonts w:hint="default"/>
                <w:highlight w:val="none"/>
              </w:rPr>
              <w:t>循环水冷却系统 1套</w:t>
            </w:r>
          </w:p>
        </w:tc>
        <w:tc>
          <w:tcPr>
            <w:tcW w:w="1201" w:type="dxa"/>
            <w:vMerge w:val="continue"/>
            <w:tcBorders>
              <w:tl2br w:val="nil"/>
              <w:tr2bl w:val="nil"/>
            </w:tcBorders>
            <w:vAlign w:val="center"/>
          </w:tcPr>
          <w:p w14:paraId="72AB9628">
            <w:pPr>
              <w:keepNext w:val="0"/>
              <w:keepLines w:val="0"/>
              <w:suppressLineNumbers w:val="0"/>
              <w:spacing w:before="0" w:beforeAutospacing="0" w:after="0" w:afterAutospacing="0"/>
              <w:ind w:left="0" w:right="0"/>
              <w:jc w:val="center"/>
              <w:rPr>
                <w:rFonts w:hint="default" w:cs="Times New Roman"/>
                <w:highlight w:val="yellow"/>
              </w:rPr>
            </w:pPr>
          </w:p>
        </w:tc>
      </w:tr>
      <w:tr w14:paraId="08DB7D2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7" w:type="dxa"/>
            <w:vMerge w:val="continue"/>
            <w:tcBorders>
              <w:tl2br w:val="nil"/>
              <w:tr2bl w:val="nil"/>
            </w:tcBorders>
            <w:vAlign w:val="center"/>
          </w:tcPr>
          <w:p w14:paraId="0F4F78D6">
            <w:pPr>
              <w:pStyle w:val="38"/>
              <w:keepNext w:val="0"/>
              <w:keepLines w:val="0"/>
              <w:suppressLineNumbers w:val="0"/>
              <w:spacing w:before="0" w:beforeAutospacing="0" w:after="0" w:afterAutospacing="0"/>
              <w:ind w:left="0" w:right="0"/>
              <w:rPr>
                <w:rFonts w:hint="default"/>
                <w:szCs w:val="21"/>
                <w:highlight w:val="none"/>
              </w:rPr>
            </w:pPr>
          </w:p>
        </w:tc>
        <w:tc>
          <w:tcPr>
            <w:tcW w:w="684" w:type="dxa"/>
            <w:vMerge w:val="continue"/>
            <w:tcBorders>
              <w:tl2br w:val="nil"/>
              <w:tr2bl w:val="nil"/>
            </w:tcBorders>
            <w:vAlign w:val="center"/>
          </w:tcPr>
          <w:p w14:paraId="23D56F11">
            <w:pPr>
              <w:pStyle w:val="38"/>
              <w:keepNext w:val="0"/>
              <w:keepLines w:val="0"/>
              <w:suppressLineNumbers w:val="0"/>
              <w:spacing w:before="0" w:beforeAutospacing="0" w:after="0" w:afterAutospacing="0"/>
              <w:ind w:left="0" w:right="0"/>
              <w:rPr>
                <w:rFonts w:hint="default"/>
                <w:szCs w:val="21"/>
                <w:highlight w:val="none"/>
              </w:rPr>
            </w:pPr>
          </w:p>
        </w:tc>
        <w:tc>
          <w:tcPr>
            <w:tcW w:w="2001" w:type="dxa"/>
            <w:tcBorders>
              <w:tl2br w:val="nil"/>
              <w:tr2bl w:val="nil"/>
            </w:tcBorders>
            <w:vAlign w:val="center"/>
          </w:tcPr>
          <w:p w14:paraId="385EB362">
            <w:pPr>
              <w:pStyle w:val="40"/>
              <w:keepNext w:val="0"/>
              <w:keepLines w:val="0"/>
              <w:suppressLineNumbers w:val="0"/>
              <w:spacing w:before="0" w:beforeAutospacing="0" w:after="0" w:afterAutospacing="0"/>
              <w:ind w:left="0" w:right="0"/>
              <w:rPr>
                <w:rFonts w:hint="default"/>
                <w:highlight w:val="none"/>
              </w:rPr>
            </w:pPr>
            <w:r>
              <w:rPr>
                <w:rFonts w:hint="default"/>
                <w:highlight w:val="none"/>
              </w:rPr>
              <w:t>纯水制备</w:t>
            </w:r>
          </w:p>
        </w:tc>
        <w:tc>
          <w:tcPr>
            <w:tcW w:w="2267" w:type="dxa"/>
            <w:tcBorders>
              <w:tl2br w:val="nil"/>
              <w:tr2bl w:val="nil"/>
            </w:tcBorders>
            <w:vAlign w:val="center"/>
          </w:tcPr>
          <w:p w14:paraId="236A7675">
            <w:pPr>
              <w:pStyle w:val="40"/>
              <w:keepNext w:val="0"/>
              <w:keepLines w:val="0"/>
              <w:suppressLineNumbers w:val="0"/>
              <w:spacing w:before="0" w:beforeAutospacing="0" w:after="0" w:afterAutospacing="0"/>
              <w:ind w:left="0" w:right="0"/>
              <w:rPr>
                <w:rFonts w:hint="default"/>
                <w:highlight w:val="none"/>
              </w:rPr>
            </w:pPr>
            <w:r>
              <w:rPr>
                <w:rFonts w:hint="default"/>
                <w:highlight w:val="none"/>
              </w:rPr>
              <w:t>反渗透纯水制备设备 1套</w:t>
            </w:r>
          </w:p>
        </w:tc>
        <w:tc>
          <w:tcPr>
            <w:tcW w:w="1985" w:type="dxa"/>
            <w:tcBorders>
              <w:tl2br w:val="nil"/>
              <w:tr2bl w:val="nil"/>
            </w:tcBorders>
            <w:vAlign w:val="center"/>
          </w:tcPr>
          <w:p w14:paraId="3E9F596B">
            <w:pPr>
              <w:pStyle w:val="40"/>
              <w:keepNext w:val="0"/>
              <w:keepLines w:val="0"/>
              <w:suppressLineNumbers w:val="0"/>
              <w:spacing w:before="0" w:beforeAutospacing="0" w:after="0" w:afterAutospacing="0"/>
              <w:ind w:left="0" w:right="0"/>
              <w:rPr>
                <w:rFonts w:hint="default"/>
                <w:highlight w:val="none"/>
              </w:rPr>
            </w:pPr>
            <w:r>
              <w:rPr>
                <w:rFonts w:hint="default"/>
                <w:highlight w:val="none"/>
              </w:rPr>
              <w:t>反渗透纯水制备设备 1套</w:t>
            </w:r>
          </w:p>
        </w:tc>
        <w:tc>
          <w:tcPr>
            <w:tcW w:w="1201" w:type="dxa"/>
            <w:vMerge w:val="continue"/>
            <w:tcBorders>
              <w:tl2br w:val="nil"/>
              <w:tr2bl w:val="nil"/>
            </w:tcBorders>
            <w:vAlign w:val="center"/>
          </w:tcPr>
          <w:p w14:paraId="12C0E047">
            <w:pPr>
              <w:keepNext w:val="0"/>
              <w:keepLines w:val="0"/>
              <w:suppressLineNumbers w:val="0"/>
              <w:spacing w:before="0" w:beforeAutospacing="0" w:after="0" w:afterAutospacing="0"/>
              <w:ind w:left="0" w:right="0"/>
              <w:jc w:val="center"/>
              <w:rPr>
                <w:rFonts w:hint="default" w:cs="Times New Roman"/>
                <w:highlight w:val="yellow"/>
              </w:rPr>
            </w:pPr>
          </w:p>
        </w:tc>
      </w:tr>
      <w:tr w14:paraId="40218CF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7" w:type="dxa"/>
            <w:vMerge w:val="continue"/>
            <w:tcBorders>
              <w:tl2br w:val="nil"/>
              <w:tr2bl w:val="nil"/>
            </w:tcBorders>
            <w:vAlign w:val="center"/>
          </w:tcPr>
          <w:p w14:paraId="58B8438F">
            <w:pPr>
              <w:pStyle w:val="75"/>
              <w:keepNext w:val="0"/>
              <w:keepLines w:val="0"/>
              <w:suppressLineNumbers w:val="0"/>
              <w:spacing w:before="0" w:beforeAutospacing="0" w:after="0" w:afterAutospacing="0" w:line="240" w:lineRule="auto"/>
              <w:ind w:left="0" w:right="0"/>
              <w:jc w:val="center"/>
              <w:rPr>
                <w:rFonts w:hint="default" w:ascii="Times New Roman"/>
                <w:sz w:val="21"/>
                <w:szCs w:val="21"/>
                <w:highlight w:val="none"/>
              </w:rPr>
            </w:pPr>
          </w:p>
        </w:tc>
        <w:tc>
          <w:tcPr>
            <w:tcW w:w="684" w:type="dxa"/>
            <w:vMerge w:val="continue"/>
            <w:tcBorders>
              <w:tl2br w:val="nil"/>
              <w:tr2bl w:val="nil"/>
            </w:tcBorders>
            <w:vAlign w:val="center"/>
          </w:tcPr>
          <w:p w14:paraId="46DCA355">
            <w:pPr>
              <w:pStyle w:val="75"/>
              <w:keepNext w:val="0"/>
              <w:keepLines w:val="0"/>
              <w:suppressLineNumbers w:val="0"/>
              <w:spacing w:before="0" w:beforeAutospacing="0" w:after="0" w:afterAutospacing="0" w:line="240" w:lineRule="auto"/>
              <w:ind w:left="0" w:right="0"/>
              <w:jc w:val="center"/>
              <w:rPr>
                <w:rFonts w:hint="default" w:ascii="Times New Roman"/>
                <w:sz w:val="21"/>
                <w:szCs w:val="21"/>
                <w:highlight w:val="none"/>
              </w:rPr>
            </w:pPr>
          </w:p>
        </w:tc>
        <w:tc>
          <w:tcPr>
            <w:tcW w:w="2001" w:type="dxa"/>
            <w:tcBorders>
              <w:tl2br w:val="nil"/>
              <w:tr2bl w:val="nil"/>
            </w:tcBorders>
            <w:vAlign w:val="center"/>
          </w:tcPr>
          <w:p w14:paraId="0D2DA0FC">
            <w:pPr>
              <w:pStyle w:val="40"/>
              <w:keepNext w:val="0"/>
              <w:keepLines w:val="0"/>
              <w:suppressLineNumbers w:val="0"/>
              <w:spacing w:before="0" w:beforeAutospacing="0" w:after="0" w:afterAutospacing="0"/>
              <w:ind w:left="0" w:right="0"/>
              <w:rPr>
                <w:rFonts w:hint="default"/>
                <w:highlight w:val="none"/>
              </w:rPr>
            </w:pPr>
            <w:r>
              <w:rPr>
                <w:rFonts w:hint="default"/>
                <w:highlight w:val="none"/>
              </w:rPr>
              <w:t>锅炉房</w:t>
            </w:r>
          </w:p>
        </w:tc>
        <w:tc>
          <w:tcPr>
            <w:tcW w:w="2267" w:type="dxa"/>
            <w:tcBorders>
              <w:tl2br w:val="nil"/>
              <w:tr2bl w:val="nil"/>
            </w:tcBorders>
            <w:vAlign w:val="center"/>
          </w:tcPr>
          <w:p w14:paraId="2643F326">
            <w:pPr>
              <w:keepNext w:val="0"/>
              <w:keepLines w:val="0"/>
              <w:suppressLineNumbers w:val="0"/>
              <w:spacing w:before="0" w:beforeAutospacing="0" w:after="0" w:afterAutospacing="0"/>
              <w:ind w:left="0" w:right="0"/>
              <w:jc w:val="center"/>
              <w:rPr>
                <w:rFonts w:hint="default" w:cs="Times New Roman"/>
                <w:highlight w:val="none"/>
              </w:rPr>
            </w:pPr>
            <w:r>
              <w:rPr>
                <w:rFonts w:hint="default" w:cs="Times New Roman"/>
                <w:highlight w:val="none"/>
              </w:rPr>
              <w:t>1台2t/h燃气锅炉</w:t>
            </w:r>
          </w:p>
        </w:tc>
        <w:tc>
          <w:tcPr>
            <w:tcW w:w="1985" w:type="dxa"/>
            <w:tcBorders>
              <w:tl2br w:val="nil"/>
              <w:tr2bl w:val="nil"/>
            </w:tcBorders>
            <w:vAlign w:val="center"/>
          </w:tcPr>
          <w:p w14:paraId="2C38C4FA">
            <w:pPr>
              <w:keepNext w:val="0"/>
              <w:keepLines w:val="0"/>
              <w:suppressLineNumbers w:val="0"/>
              <w:spacing w:before="0" w:beforeAutospacing="0" w:after="0" w:afterAutospacing="0"/>
              <w:ind w:left="0" w:right="0"/>
              <w:jc w:val="center"/>
              <w:rPr>
                <w:rFonts w:hint="default" w:cs="Times New Roman"/>
                <w:highlight w:val="none"/>
              </w:rPr>
            </w:pPr>
            <w:r>
              <w:rPr>
                <w:rFonts w:hint="default" w:cs="Times New Roman"/>
                <w:highlight w:val="none"/>
              </w:rPr>
              <w:t>1台2t/h燃气锅炉</w:t>
            </w:r>
          </w:p>
        </w:tc>
        <w:tc>
          <w:tcPr>
            <w:tcW w:w="1201" w:type="dxa"/>
            <w:tcBorders>
              <w:tl2br w:val="nil"/>
              <w:tr2bl w:val="nil"/>
            </w:tcBorders>
            <w:vAlign w:val="center"/>
          </w:tcPr>
          <w:p w14:paraId="617CE741">
            <w:pPr>
              <w:keepNext w:val="0"/>
              <w:keepLines w:val="0"/>
              <w:suppressLineNumbers w:val="0"/>
              <w:spacing w:before="0" w:beforeAutospacing="0" w:after="0" w:afterAutospacing="0"/>
              <w:ind w:left="0" w:right="0"/>
              <w:jc w:val="center"/>
              <w:rPr>
                <w:rFonts w:hint="eastAsia" w:eastAsia="宋体" w:cs="Times New Roman"/>
                <w:highlight w:val="none"/>
                <w:lang w:val="en-US" w:eastAsia="zh-CN"/>
              </w:rPr>
            </w:pPr>
            <w:r>
              <w:rPr>
                <w:rFonts w:hint="eastAsia" w:cs="Times New Roman"/>
                <w:highlight w:val="none"/>
                <w:lang w:val="en-US" w:eastAsia="zh-CN"/>
              </w:rPr>
              <w:t>一致</w:t>
            </w:r>
          </w:p>
        </w:tc>
      </w:tr>
      <w:tr w14:paraId="0F6B5B3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7" w:type="dxa"/>
            <w:vMerge w:val="continue"/>
            <w:tcBorders>
              <w:tl2br w:val="nil"/>
              <w:tr2bl w:val="nil"/>
            </w:tcBorders>
            <w:vAlign w:val="center"/>
          </w:tcPr>
          <w:p w14:paraId="269E2AF4">
            <w:pPr>
              <w:pStyle w:val="38"/>
              <w:keepNext w:val="0"/>
              <w:keepLines w:val="0"/>
              <w:suppressLineNumbers w:val="0"/>
              <w:spacing w:before="0" w:beforeAutospacing="0" w:after="0" w:afterAutospacing="0"/>
              <w:ind w:left="0" w:right="0"/>
              <w:rPr>
                <w:rFonts w:hint="default"/>
                <w:szCs w:val="21"/>
                <w:highlight w:val="none"/>
              </w:rPr>
            </w:pPr>
          </w:p>
        </w:tc>
        <w:tc>
          <w:tcPr>
            <w:tcW w:w="684" w:type="dxa"/>
            <w:vMerge w:val="continue"/>
            <w:tcBorders>
              <w:tl2br w:val="nil"/>
              <w:tr2bl w:val="nil"/>
            </w:tcBorders>
            <w:vAlign w:val="center"/>
          </w:tcPr>
          <w:p w14:paraId="59C6FA48">
            <w:pPr>
              <w:pStyle w:val="38"/>
              <w:keepNext w:val="0"/>
              <w:keepLines w:val="0"/>
              <w:suppressLineNumbers w:val="0"/>
              <w:spacing w:before="0" w:beforeAutospacing="0" w:after="0" w:afterAutospacing="0"/>
              <w:ind w:left="0" w:right="0"/>
              <w:rPr>
                <w:rFonts w:hint="default"/>
                <w:szCs w:val="21"/>
                <w:highlight w:val="none"/>
              </w:rPr>
            </w:pPr>
          </w:p>
        </w:tc>
        <w:tc>
          <w:tcPr>
            <w:tcW w:w="2001" w:type="dxa"/>
            <w:tcBorders>
              <w:tl2br w:val="nil"/>
              <w:tr2bl w:val="nil"/>
            </w:tcBorders>
            <w:vAlign w:val="center"/>
          </w:tcPr>
          <w:p w14:paraId="5A22E267">
            <w:pPr>
              <w:pStyle w:val="40"/>
              <w:keepNext w:val="0"/>
              <w:keepLines w:val="0"/>
              <w:suppressLineNumbers w:val="0"/>
              <w:spacing w:before="0" w:beforeAutospacing="0" w:after="0" w:afterAutospacing="0"/>
              <w:ind w:left="0" w:right="0"/>
              <w:rPr>
                <w:rFonts w:hint="default"/>
                <w:highlight w:val="none"/>
              </w:rPr>
            </w:pPr>
            <w:r>
              <w:rPr>
                <w:rFonts w:hint="default"/>
                <w:highlight w:val="none"/>
              </w:rPr>
              <w:t>配电房</w:t>
            </w:r>
          </w:p>
        </w:tc>
        <w:tc>
          <w:tcPr>
            <w:tcW w:w="2267" w:type="dxa"/>
            <w:tcBorders>
              <w:tl2br w:val="nil"/>
              <w:tr2bl w:val="nil"/>
            </w:tcBorders>
            <w:vAlign w:val="center"/>
          </w:tcPr>
          <w:p w14:paraId="029A65C5">
            <w:pPr>
              <w:pStyle w:val="40"/>
              <w:keepNext w:val="0"/>
              <w:keepLines w:val="0"/>
              <w:suppressLineNumbers w:val="0"/>
              <w:spacing w:before="0" w:beforeAutospacing="0" w:after="0" w:afterAutospacing="0"/>
              <w:ind w:left="0" w:right="0"/>
              <w:rPr>
                <w:rFonts w:hint="default"/>
                <w:highlight w:val="none"/>
              </w:rPr>
            </w:pPr>
            <w:r>
              <w:rPr>
                <w:rFonts w:hint="default"/>
                <w:highlight w:val="none"/>
              </w:rPr>
              <w:t>1座、建筑面积30m</w:t>
            </w:r>
            <w:r>
              <w:rPr>
                <w:rFonts w:hint="default"/>
                <w:highlight w:val="none"/>
                <w:vertAlign w:val="superscript"/>
              </w:rPr>
              <w:t>2</w:t>
            </w:r>
          </w:p>
        </w:tc>
        <w:tc>
          <w:tcPr>
            <w:tcW w:w="1985" w:type="dxa"/>
            <w:tcBorders>
              <w:tl2br w:val="nil"/>
              <w:tr2bl w:val="nil"/>
            </w:tcBorders>
            <w:vAlign w:val="center"/>
          </w:tcPr>
          <w:p w14:paraId="7DA25C7C">
            <w:pPr>
              <w:pStyle w:val="40"/>
              <w:keepNext w:val="0"/>
              <w:keepLines w:val="0"/>
              <w:suppressLineNumbers w:val="0"/>
              <w:spacing w:before="0" w:beforeAutospacing="0" w:after="0" w:afterAutospacing="0"/>
              <w:ind w:left="0" w:right="0"/>
              <w:rPr>
                <w:rFonts w:hint="default"/>
                <w:highlight w:val="none"/>
              </w:rPr>
            </w:pPr>
            <w:r>
              <w:rPr>
                <w:rFonts w:hint="default"/>
                <w:highlight w:val="none"/>
              </w:rPr>
              <w:t>1座、建筑面积30m</w:t>
            </w:r>
            <w:r>
              <w:rPr>
                <w:rFonts w:hint="default"/>
                <w:highlight w:val="none"/>
                <w:vertAlign w:val="superscript"/>
              </w:rPr>
              <w:t>2</w:t>
            </w:r>
          </w:p>
        </w:tc>
        <w:tc>
          <w:tcPr>
            <w:tcW w:w="1201" w:type="dxa"/>
            <w:vMerge w:val="restart"/>
            <w:tcBorders>
              <w:tl2br w:val="nil"/>
              <w:tr2bl w:val="nil"/>
            </w:tcBorders>
            <w:vAlign w:val="center"/>
          </w:tcPr>
          <w:p w14:paraId="43DE3D41">
            <w:pPr>
              <w:keepNext w:val="0"/>
              <w:keepLines w:val="0"/>
              <w:suppressLineNumbers w:val="0"/>
              <w:spacing w:before="0" w:beforeAutospacing="0" w:after="0" w:afterAutospacing="0"/>
              <w:ind w:left="0" w:right="0"/>
              <w:jc w:val="center"/>
              <w:rPr>
                <w:rFonts w:hint="default" w:cs="Times New Roman"/>
                <w:highlight w:val="none"/>
              </w:rPr>
            </w:pPr>
            <w:r>
              <w:rPr>
                <w:rFonts w:hint="eastAsia"/>
                <w:szCs w:val="21"/>
                <w:highlight w:val="none"/>
                <w:lang w:val="en-US" w:eastAsia="zh-CN"/>
              </w:rPr>
              <w:t>一期已建成验收</w:t>
            </w:r>
          </w:p>
        </w:tc>
      </w:tr>
      <w:tr w14:paraId="14AFBC9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7" w:type="dxa"/>
            <w:vMerge w:val="restart"/>
            <w:tcBorders>
              <w:tl2br w:val="nil"/>
              <w:tr2bl w:val="nil"/>
            </w:tcBorders>
            <w:vAlign w:val="center"/>
          </w:tcPr>
          <w:p w14:paraId="0D75ED34">
            <w:pPr>
              <w:pStyle w:val="38"/>
              <w:keepNext w:val="0"/>
              <w:keepLines w:val="0"/>
              <w:suppressLineNumbers w:val="0"/>
              <w:spacing w:before="0" w:beforeAutospacing="0" w:after="0" w:afterAutospacing="0"/>
              <w:ind w:left="0" w:right="0"/>
              <w:rPr>
                <w:rFonts w:hint="default"/>
                <w:szCs w:val="21"/>
                <w:highlight w:val="none"/>
              </w:rPr>
            </w:pPr>
            <w:r>
              <w:rPr>
                <w:rFonts w:hint="default"/>
                <w:szCs w:val="21"/>
                <w:highlight w:val="none"/>
              </w:rPr>
              <w:t>4</w:t>
            </w:r>
          </w:p>
        </w:tc>
        <w:tc>
          <w:tcPr>
            <w:tcW w:w="684" w:type="dxa"/>
            <w:vMerge w:val="restart"/>
            <w:tcBorders>
              <w:tl2br w:val="nil"/>
              <w:tr2bl w:val="nil"/>
            </w:tcBorders>
            <w:vAlign w:val="center"/>
          </w:tcPr>
          <w:p w14:paraId="225A2F0D">
            <w:pPr>
              <w:pStyle w:val="38"/>
              <w:keepNext w:val="0"/>
              <w:keepLines w:val="0"/>
              <w:suppressLineNumbers w:val="0"/>
              <w:spacing w:before="0" w:beforeAutospacing="0" w:after="0" w:afterAutospacing="0"/>
              <w:ind w:left="0" w:right="0"/>
              <w:rPr>
                <w:rFonts w:hint="default"/>
                <w:szCs w:val="21"/>
                <w:highlight w:val="none"/>
              </w:rPr>
            </w:pPr>
            <w:r>
              <w:rPr>
                <w:rFonts w:hint="default"/>
                <w:szCs w:val="21"/>
                <w:highlight w:val="none"/>
              </w:rPr>
              <w:t>环保</w:t>
            </w:r>
          </w:p>
          <w:p w14:paraId="0360658F">
            <w:pPr>
              <w:pStyle w:val="38"/>
              <w:keepNext w:val="0"/>
              <w:keepLines w:val="0"/>
              <w:suppressLineNumbers w:val="0"/>
              <w:spacing w:before="0" w:beforeAutospacing="0" w:after="0" w:afterAutospacing="0"/>
              <w:ind w:left="0" w:right="0"/>
              <w:rPr>
                <w:rFonts w:hint="default"/>
                <w:szCs w:val="21"/>
                <w:highlight w:val="none"/>
              </w:rPr>
            </w:pPr>
            <w:r>
              <w:rPr>
                <w:rFonts w:hint="default"/>
                <w:szCs w:val="21"/>
                <w:highlight w:val="none"/>
              </w:rPr>
              <w:t>工程</w:t>
            </w:r>
          </w:p>
        </w:tc>
        <w:tc>
          <w:tcPr>
            <w:tcW w:w="2001" w:type="dxa"/>
            <w:vMerge w:val="restart"/>
            <w:tcBorders>
              <w:tl2br w:val="nil"/>
              <w:tr2bl w:val="nil"/>
            </w:tcBorders>
            <w:vAlign w:val="center"/>
          </w:tcPr>
          <w:p w14:paraId="360BA928">
            <w:pPr>
              <w:pStyle w:val="38"/>
              <w:keepNext w:val="0"/>
              <w:keepLines w:val="0"/>
              <w:suppressLineNumbers w:val="0"/>
              <w:spacing w:before="0" w:beforeAutospacing="0" w:after="0" w:afterAutospacing="0"/>
              <w:ind w:left="0" w:right="0"/>
              <w:rPr>
                <w:rFonts w:hint="default"/>
                <w:szCs w:val="21"/>
                <w:highlight w:val="none"/>
              </w:rPr>
            </w:pPr>
            <w:r>
              <w:rPr>
                <w:rFonts w:hint="default"/>
                <w:szCs w:val="21"/>
                <w:highlight w:val="none"/>
              </w:rPr>
              <w:t>废水治理设施</w:t>
            </w:r>
          </w:p>
        </w:tc>
        <w:tc>
          <w:tcPr>
            <w:tcW w:w="2267" w:type="dxa"/>
            <w:tcBorders>
              <w:tl2br w:val="nil"/>
              <w:tr2bl w:val="nil"/>
            </w:tcBorders>
            <w:vAlign w:val="center"/>
          </w:tcPr>
          <w:p w14:paraId="6253947B">
            <w:pPr>
              <w:pStyle w:val="38"/>
              <w:keepNext w:val="0"/>
              <w:keepLines w:val="0"/>
              <w:suppressLineNumbers w:val="0"/>
              <w:spacing w:before="0" w:beforeAutospacing="0" w:after="0" w:afterAutospacing="0"/>
              <w:ind w:left="0" w:right="0"/>
              <w:rPr>
                <w:rFonts w:hint="default"/>
                <w:szCs w:val="21"/>
                <w:highlight w:val="none"/>
              </w:rPr>
            </w:pPr>
            <w:r>
              <w:rPr>
                <w:rFonts w:hint="default"/>
                <w:highlight w:val="none"/>
              </w:rPr>
              <w:t>生活污水：调节池+SBR反应池</w:t>
            </w:r>
          </w:p>
        </w:tc>
        <w:tc>
          <w:tcPr>
            <w:tcW w:w="1985" w:type="dxa"/>
            <w:vMerge w:val="restart"/>
            <w:tcBorders>
              <w:tl2br w:val="nil"/>
              <w:tr2bl w:val="nil"/>
            </w:tcBorders>
            <w:vAlign w:val="center"/>
          </w:tcPr>
          <w:p w14:paraId="28C5860C">
            <w:pPr>
              <w:pStyle w:val="40"/>
              <w:keepNext w:val="0"/>
              <w:keepLines w:val="0"/>
              <w:suppressLineNumbers w:val="0"/>
              <w:spacing w:before="0" w:beforeAutospacing="0" w:after="0" w:afterAutospacing="0"/>
              <w:ind w:left="0" w:right="0"/>
              <w:rPr>
                <w:rFonts w:hint="default"/>
                <w:highlight w:val="none"/>
              </w:rPr>
            </w:pPr>
            <w:r>
              <w:rPr>
                <w:rFonts w:hint="default"/>
                <w:highlight w:val="none"/>
              </w:rPr>
              <w:t>生产废水经混凝沉淀池+活性炭吸附池后与生活污水进入调节池+SBR反应池</w:t>
            </w:r>
          </w:p>
        </w:tc>
        <w:tc>
          <w:tcPr>
            <w:tcW w:w="1201" w:type="dxa"/>
            <w:vMerge w:val="continue"/>
            <w:tcBorders>
              <w:tl2br w:val="nil"/>
              <w:tr2bl w:val="nil"/>
            </w:tcBorders>
            <w:vAlign w:val="center"/>
          </w:tcPr>
          <w:p w14:paraId="11DB3450">
            <w:pPr>
              <w:pStyle w:val="38"/>
              <w:keepNext w:val="0"/>
              <w:keepLines w:val="0"/>
              <w:suppressLineNumbers w:val="0"/>
              <w:spacing w:before="0" w:beforeAutospacing="0" w:after="0" w:afterAutospacing="0"/>
              <w:ind w:left="0" w:right="0"/>
              <w:rPr>
                <w:rFonts w:hint="default"/>
                <w:szCs w:val="21"/>
                <w:highlight w:val="none"/>
              </w:rPr>
            </w:pPr>
          </w:p>
        </w:tc>
      </w:tr>
      <w:tr w14:paraId="2D5C0BD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7" w:type="dxa"/>
            <w:vMerge w:val="continue"/>
            <w:tcBorders>
              <w:tl2br w:val="nil"/>
              <w:tr2bl w:val="nil"/>
            </w:tcBorders>
            <w:vAlign w:val="center"/>
          </w:tcPr>
          <w:p w14:paraId="53D96F1C">
            <w:pPr>
              <w:pStyle w:val="38"/>
              <w:keepNext w:val="0"/>
              <w:keepLines w:val="0"/>
              <w:suppressLineNumbers w:val="0"/>
              <w:spacing w:before="0" w:beforeAutospacing="0" w:after="0" w:afterAutospacing="0"/>
              <w:ind w:left="0" w:right="0"/>
              <w:rPr>
                <w:rFonts w:hint="default"/>
                <w:szCs w:val="21"/>
                <w:highlight w:val="none"/>
              </w:rPr>
            </w:pPr>
          </w:p>
        </w:tc>
        <w:tc>
          <w:tcPr>
            <w:tcW w:w="684" w:type="dxa"/>
            <w:vMerge w:val="continue"/>
            <w:tcBorders>
              <w:tl2br w:val="nil"/>
              <w:tr2bl w:val="nil"/>
            </w:tcBorders>
            <w:vAlign w:val="center"/>
          </w:tcPr>
          <w:p w14:paraId="58063239">
            <w:pPr>
              <w:pStyle w:val="38"/>
              <w:keepNext w:val="0"/>
              <w:keepLines w:val="0"/>
              <w:suppressLineNumbers w:val="0"/>
              <w:spacing w:before="0" w:beforeAutospacing="0" w:after="0" w:afterAutospacing="0"/>
              <w:ind w:left="0" w:right="0"/>
              <w:rPr>
                <w:rFonts w:hint="default"/>
                <w:szCs w:val="21"/>
                <w:highlight w:val="none"/>
              </w:rPr>
            </w:pPr>
          </w:p>
        </w:tc>
        <w:tc>
          <w:tcPr>
            <w:tcW w:w="2001" w:type="dxa"/>
            <w:vMerge w:val="continue"/>
            <w:tcBorders>
              <w:tl2br w:val="nil"/>
              <w:tr2bl w:val="nil"/>
            </w:tcBorders>
            <w:vAlign w:val="center"/>
          </w:tcPr>
          <w:p w14:paraId="35EA722A">
            <w:pPr>
              <w:pStyle w:val="38"/>
              <w:keepNext w:val="0"/>
              <w:keepLines w:val="0"/>
              <w:suppressLineNumbers w:val="0"/>
              <w:spacing w:before="0" w:beforeAutospacing="0" w:after="0" w:afterAutospacing="0"/>
              <w:ind w:left="0" w:right="0"/>
              <w:rPr>
                <w:rFonts w:hint="default"/>
                <w:szCs w:val="21"/>
                <w:highlight w:val="none"/>
              </w:rPr>
            </w:pPr>
          </w:p>
        </w:tc>
        <w:tc>
          <w:tcPr>
            <w:tcW w:w="2267" w:type="dxa"/>
            <w:tcBorders>
              <w:tl2br w:val="nil"/>
              <w:tr2bl w:val="nil"/>
            </w:tcBorders>
            <w:vAlign w:val="center"/>
          </w:tcPr>
          <w:p w14:paraId="59969D82">
            <w:pPr>
              <w:pStyle w:val="40"/>
              <w:keepNext w:val="0"/>
              <w:keepLines w:val="0"/>
              <w:suppressLineNumbers w:val="0"/>
              <w:spacing w:before="0" w:beforeAutospacing="0" w:after="0" w:afterAutospacing="0"/>
              <w:ind w:left="0" w:right="0"/>
              <w:rPr>
                <w:rFonts w:hint="default"/>
                <w:highlight w:val="none"/>
              </w:rPr>
            </w:pPr>
            <w:r>
              <w:rPr>
                <w:rFonts w:hint="default"/>
                <w:highlight w:val="none"/>
              </w:rPr>
              <w:t>生产废水：混凝沉淀池+活性炭吸附池</w:t>
            </w:r>
          </w:p>
        </w:tc>
        <w:tc>
          <w:tcPr>
            <w:tcW w:w="1985" w:type="dxa"/>
            <w:vMerge w:val="continue"/>
            <w:tcBorders>
              <w:tl2br w:val="nil"/>
              <w:tr2bl w:val="nil"/>
            </w:tcBorders>
            <w:vAlign w:val="center"/>
          </w:tcPr>
          <w:p w14:paraId="281C66D0">
            <w:pPr>
              <w:pStyle w:val="40"/>
              <w:keepNext w:val="0"/>
              <w:keepLines w:val="0"/>
              <w:suppressLineNumbers w:val="0"/>
              <w:spacing w:before="0" w:beforeAutospacing="0" w:after="0" w:afterAutospacing="0"/>
              <w:ind w:left="0" w:right="0"/>
              <w:rPr>
                <w:rFonts w:hint="default"/>
                <w:highlight w:val="none"/>
              </w:rPr>
            </w:pPr>
          </w:p>
        </w:tc>
        <w:tc>
          <w:tcPr>
            <w:tcW w:w="1201" w:type="dxa"/>
            <w:vMerge w:val="continue"/>
            <w:tcBorders>
              <w:tl2br w:val="nil"/>
              <w:tr2bl w:val="nil"/>
            </w:tcBorders>
            <w:vAlign w:val="center"/>
          </w:tcPr>
          <w:p w14:paraId="752C4FF6">
            <w:pPr>
              <w:pStyle w:val="38"/>
              <w:keepNext w:val="0"/>
              <w:keepLines w:val="0"/>
              <w:suppressLineNumbers w:val="0"/>
              <w:spacing w:before="0" w:beforeAutospacing="0" w:after="0" w:afterAutospacing="0"/>
              <w:ind w:left="0" w:right="0"/>
              <w:rPr>
                <w:rFonts w:hint="default"/>
                <w:szCs w:val="21"/>
                <w:highlight w:val="none"/>
              </w:rPr>
            </w:pPr>
          </w:p>
        </w:tc>
      </w:tr>
      <w:tr w14:paraId="35EC57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7" w:type="dxa"/>
            <w:vMerge w:val="continue"/>
            <w:tcBorders>
              <w:tl2br w:val="nil"/>
              <w:tr2bl w:val="nil"/>
            </w:tcBorders>
            <w:vAlign w:val="center"/>
          </w:tcPr>
          <w:p w14:paraId="2B723F8C">
            <w:pPr>
              <w:keepNext w:val="0"/>
              <w:keepLines w:val="0"/>
              <w:widowControl/>
              <w:suppressLineNumbers w:val="0"/>
              <w:spacing w:before="0" w:beforeAutospacing="0" w:after="0" w:afterAutospacing="0"/>
              <w:ind w:left="0" w:right="0"/>
              <w:jc w:val="center"/>
              <w:rPr>
                <w:rFonts w:hint="default" w:cs="Times New Roman"/>
                <w:highlight w:val="none"/>
              </w:rPr>
            </w:pPr>
          </w:p>
        </w:tc>
        <w:tc>
          <w:tcPr>
            <w:tcW w:w="684" w:type="dxa"/>
            <w:vMerge w:val="continue"/>
            <w:tcBorders>
              <w:tl2br w:val="nil"/>
              <w:tr2bl w:val="nil"/>
            </w:tcBorders>
            <w:vAlign w:val="center"/>
          </w:tcPr>
          <w:p w14:paraId="2027C51B">
            <w:pPr>
              <w:keepNext w:val="0"/>
              <w:keepLines w:val="0"/>
              <w:widowControl/>
              <w:suppressLineNumbers w:val="0"/>
              <w:spacing w:before="0" w:beforeAutospacing="0" w:after="0" w:afterAutospacing="0"/>
              <w:ind w:left="0" w:right="0"/>
              <w:jc w:val="center"/>
              <w:rPr>
                <w:rFonts w:hint="default" w:cs="Times New Roman"/>
                <w:highlight w:val="none"/>
              </w:rPr>
            </w:pPr>
          </w:p>
        </w:tc>
        <w:tc>
          <w:tcPr>
            <w:tcW w:w="2001" w:type="dxa"/>
            <w:vMerge w:val="restart"/>
            <w:tcBorders>
              <w:tl2br w:val="nil"/>
              <w:tr2bl w:val="nil"/>
            </w:tcBorders>
            <w:vAlign w:val="center"/>
          </w:tcPr>
          <w:p w14:paraId="199FC93B">
            <w:pPr>
              <w:pStyle w:val="38"/>
              <w:keepNext w:val="0"/>
              <w:keepLines w:val="0"/>
              <w:suppressLineNumbers w:val="0"/>
              <w:spacing w:before="0" w:beforeAutospacing="0" w:after="0" w:afterAutospacing="0"/>
              <w:ind w:left="0" w:right="0"/>
              <w:rPr>
                <w:rFonts w:hint="default"/>
                <w:szCs w:val="21"/>
                <w:highlight w:val="none"/>
              </w:rPr>
            </w:pPr>
            <w:r>
              <w:rPr>
                <w:rFonts w:hint="default"/>
                <w:szCs w:val="21"/>
                <w:highlight w:val="none"/>
              </w:rPr>
              <w:t>废气治理措施</w:t>
            </w:r>
          </w:p>
        </w:tc>
        <w:tc>
          <w:tcPr>
            <w:tcW w:w="2267" w:type="dxa"/>
            <w:tcBorders>
              <w:tl2br w:val="nil"/>
              <w:tr2bl w:val="nil"/>
            </w:tcBorders>
            <w:vAlign w:val="center"/>
          </w:tcPr>
          <w:p w14:paraId="43002EBC">
            <w:pPr>
              <w:keepNext w:val="0"/>
              <w:keepLines w:val="0"/>
              <w:suppressLineNumbers w:val="0"/>
              <w:spacing w:before="0" w:beforeAutospacing="0" w:after="0" w:afterAutospacing="0"/>
              <w:ind w:left="0" w:right="0"/>
              <w:jc w:val="center"/>
              <w:rPr>
                <w:rFonts w:hint="default" w:cs="Times New Roman"/>
                <w:highlight w:val="none"/>
              </w:rPr>
            </w:pPr>
            <w:r>
              <w:rPr>
                <w:rFonts w:hint="default" w:cs="Times New Roman"/>
                <w:highlight w:val="none"/>
              </w:rPr>
              <w:t>燃气锅炉：</w:t>
            </w:r>
          </w:p>
          <w:p w14:paraId="3C1C4D3E">
            <w:pPr>
              <w:pStyle w:val="38"/>
              <w:keepNext w:val="0"/>
              <w:keepLines w:val="0"/>
              <w:suppressLineNumbers w:val="0"/>
              <w:spacing w:before="0" w:beforeAutospacing="0" w:after="0" w:afterAutospacing="0"/>
              <w:ind w:left="0" w:right="0"/>
              <w:rPr>
                <w:rFonts w:hint="default"/>
                <w:szCs w:val="21"/>
                <w:highlight w:val="none"/>
              </w:rPr>
            </w:pPr>
            <w:r>
              <w:rPr>
                <w:rFonts w:hint="default"/>
                <w:szCs w:val="21"/>
                <w:highlight w:val="none"/>
              </w:rPr>
              <w:t>8m高烟囱1根</w:t>
            </w:r>
          </w:p>
        </w:tc>
        <w:tc>
          <w:tcPr>
            <w:tcW w:w="1985" w:type="dxa"/>
            <w:tcBorders>
              <w:tl2br w:val="nil"/>
              <w:tr2bl w:val="nil"/>
            </w:tcBorders>
            <w:vAlign w:val="center"/>
          </w:tcPr>
          <w:p w14:paraId="2726EC96">
            <w:pPr>
              <w:keepNext w:val="0"/>
              <w:keepLines w:val="0"/>
              <w:suppressLineNumbers w:val="0"/>
              <w:spacing w:before="0" w:beforeAutospacing="0" w:after="0" w:afterAutospacing="0"/>
              <w:ind w:left="0" w:right="0"/>
              <w:jc w:val="center"/>
              <w:rPr>
                <w:rFonts w:hint="default" w:cs="Times New Roman"/>
                <w:highlight w:val="none"/>
              </w:rPr>
            </w:pPr>
            <w:r>
              <w:rPr>
                <w:rFonts w:hint="default" w:cs="Times New Roman"/>
                <w:highlight w:val="none"/>
              </w:rPr>
              <w:t>燃气锅炉：</w:t>
            </w:r>
          </w:p>
          <w:p w14:paraId="4894DE2F">
            <w:pPr>
              <w:pStyle w:val="38"/>
              <w:keepNext w:val="0"/>
              <w:keepLines w:val="0"/>
              <w:suppressLineNumbers w:val="0"/>
              <w:spacing w:before="0" w:beforeAutospacing="0" w:after="0" w:afterAutospacing="0"/>
              <w:ind w:left="0" w:right="0"/>
              <w:rPr>
                <w:rFonts w:hint="default"/>
                <w:szCs w:val="21"/>
                <w:highlight w:val="none"/>
              </w:rPr>
            </w:pPr>
            <w:r>
              <w:rPr>
                <w:rFonts w:hint="eastAsia"/>
                <w:szCs w:val="21"/>
                <w:highlight w:val="none"/>
                <w:lang w:val="en-US" w:eastAsia="zh-CN"/>
              </w:rPr>
              <w:t>15</w:t>
            </w:r>
            <w:r>
              <w:rPr>
                <w:rFonts w:hint="default"/>
                <w:szCs w:val="21"/>
                <w:highlight w:val="none"/>
              </w:rPr>
              <w:t>m高烟囱1根</w:t>
            </w:r>
          </w:p>
        </w:tc>
        <w:tc>
          <w:tcPr>
            <w:tcW w:w="1201" w:type="dxa"/>
            <w:tcBorders>
              <w:tl2br w:val="nil"/>
              <w:tr2bl w:val="nil"/>
            </w:tcBorders>
            <w:vAlign w:val="center"/>
          </w:tcPr>
          <w:p w14:paraId="109294C5">
            <w:pPr>
              <w:pStyle w:val="38"/>
              <w:keepNext w:val="0"/>
              <w:keepLines w:val="0"/>
              <w:suppressLineNumbers w:val="0"/>
              <w:spacing w:before="0" w:beforeAutospacing="0" w:after="0" w:afterAutospacing="0"/>
              <w:ind w:left="0" w:right="0"/>
              <w:rPr>
                <w:rFonts w:hint="default" w:eastAsia="宋体"/>
                <w:szCs w:val="21"/>
                <w:highlight w:val="none"/>
                <w:lang w:val="en-US" w:eastAsia="zh-CN"/>
              </w:rPr>
            </w:pPr>
            <w:r>
              <w:rPr>
                <w:rFonts w:hint="eastAsia"/>
                <w:highlight w:val="none"/>
                <w:lang w:val="en-US" w:eastAsia="zh-CN"/>
              </w:rPr>
              <w:t>排气筒高度增加</w:t>
            </w:r>
          </w:p>
        </w:tc>
      </w:tr>
      <w:tr w14:paraId="0687030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7" w:type="dxa"/>
            <w:vMerge w:val="continue"/>
            <w:tcBorders>
              <w:tl2br w:val="nil"/>
              <w:tr2bl w:val="nil"/>
            </w:tcBorders>
            <w:vAlign w:val="center"/>
          </w:tcPr>
          <w:p w14:paraId="6779F0D6">
            <w:pPr>
              <w:keepNext w:val="0"/>
              <w:keepLines w:val="0"/>
              <w:widowControl/>
              <w:suppressLineNumbers w:val="0"/>
              <w:spacing w:before="0" w:beforeAutospacing="0" w:after="0" w:afterAutospacing="0"/>
              <w:ind w:left="0" w:right="0"/>
              <w:jc w:val="center"/>
              <w:rPr>
                <w:rFonts w:hint="default" w:cs="Times New Roman"/>
                <w:highlight w:val="none"/>
              </w:rPr>
            </w:pPr>
          </w:p>
        </w:tc>
        <w:tc>
          <w:tcPr>
            <w:tcW w:w="684" w:type="dxa"/>
            <w:vMerge w:val="continue"/>
            <w:tcBorders>
              <w:tl2br w:val="nil"/>
              <w:tr2bl w:val="nil"/>
            </w:tcBorders>
            <w:vAlign w:val="center"/>
          </w:tcPr>
          <w:p w14:paraId="64810065">
            <w:pPr>
              <w:keepNext w:val="0"/>
              <w:keepLines w:val="0"/>
              <w:widowControl/>
              <w:suppressLineNumbers w:val="0"/>
              <w:spacing w:before="0" w:beforeAutospacing="0" w:after="0" w:afterAutospacing="0"/>
              <w:ind w:left="0" w:right="0"/>
              <w:jc w:val="center"/>
              <w:rPr>
                <w:rFonts w:hint="default" w:cs="Times New Roman"/>
                <w:highlight w:val="none"/>
              </w:rPr>
            </w:pPr>
          </w:p>
        </w:tc>
        <w:tc>
          <w:tcPr>
            <w:tcW w:w="2001" w:type="dxa"/>
            <w:vMerge w:val="continue"/>
            <w:tcBorders>
              <w:tl2br w:val="nil"/>
              <w:tr2bl w:val="nil"/>
            </w:tcBorders>
            <w:vAlign w:val="center"/>
          </w:tcPr>
          <w:p w14:paraId="2D44241C">
            <w:pPr>
              <w:pStyle w:val="38"/>
              <w:keepNext w:val="0"/>
              <w:keepLines w:val="0"/>
              <w:suppressLineNumbers w:val="0"/>
              <w:spacing w:before="0" w:beforeAutospacing="0" w:after="0" w:afterAutospacing="0"/>
              <w:ind w:left="0" w:right="0"/>
              <w:rPr>
                <w:rFonts w:hint="default"/>
                <w:szCs w:val="21"/>
                <w:highlight w:val="none"/>
              </w:rPr>
            </w:pPr>
          </w:p>
        </w:tc>
        <w:tc>
          <w:tcPr>
            <w:tcW w:w="2267" w:type="dxa"/>
            <w:tcBorders>
              <w:tl2br w:val="nil"/>
              <w:tr2bl w:val="nil"/>
            </w:tcBorders>
            <w:vAlign w:val="center"/>
          </w:tcPr>
          <w:p w14:paraId="2C089090">
            <w:pPr>
              <w:keepNext w:val="0"/>
              <w:keepLines w:val="0"/>
              <w:suppressLineNumbers w:val="0"/>
              <w:spacing w:before="0" w:beforeAutospacing="0" w:after="0" w:afterAutospacing="0"/>
              <w:ind w:left="0" w:right="0"/>
              <w:jc w:val="center"/>
              <w:rPr>
                <w:rFonts w:hint="default" w:cs="Times New Roman"/>
                <w:highlight w:val="none"/>
              </w:rPr>
            </w:pPr>
            <w:r>
              <w:rPr>
                <w:rFonts w:hint="default" w:cs="Times New Roman"/>
                <w:highlight w:val="none"/>
              </w:rPr>
              <w:t>密封电池正极合浆：袋式除尘器+15m高排气筒1根</w:t>
            </w:r>
          </w:p>
        </w:tc>
        <w:tc>
          <w:tcPr>
            <w:tcW w:w="1985" w:type="dxa"/>
            <w:tcBorders>
              <w:tl2br w:val="nil"/>
              <w:tr2bl w:val="nil"/>
            </w:tcBorders>
            <w:vAlign w:val="center"/>
          </w:tcPr>
          <w:p w14:paraId="022ADCDA">
            <w:pPr>
              <w:pStyle w:val="38"/>
              <w:keepNext w:val="0"/>
              <w:keepLines w:val="0"/>
              <w:suppressLineNumbers w:val="0"/>
              <w:spacing w:before="0" w:beforeAutospacing="0" w:after="0" w:afterAutospacing="0"/>
              <w:ind w:left="0" w:right="0"/>
              <w:rPr>
                <w:rFonts w:hint="default"/>
                <w:szCs w:val="21"/>
                <w:highlight w:val="none"/>
              </w:rPr>
            </w:pPr>
            <w:r>
              <w:rPr>
                <w:rFonts w:hint="default"/>
                <w:highlight w:val="none"/>
              </w:rPr>
              <w:t>密封电池正极合浆：</w:t>
            </w:r>
            <w:r>
              <w:rPr>
                <w:rFonts w:hint="default"/>
                <w:szCs w:val="21"/>
                <w:highlight w:val="none"/>
              </w:rPr>
              <w:t>袋式除尘器+15m高排气筒1根</w:t>
            </w:r>
          </w:p>
        </w:tc>
        <w:tc>
          <w:tcPr>
            <w:tcW w:w="1201" w:type="dxa"/>
            <w:vMerge w:val="restart"/>
            <w:tcBorders>
              <w:tl2br w:val="nil"/>
              <w:tr2bl w:val="nil"/>
            </w:tcBorders>
            <w:vAlign w:val="center"/>
          </w:tcPr>
          <w:p w14:paraId="3B180E7C">
            <w:pPr>
              <w:pStyle w:val="38"/>
              <w:keepNext w:val="0"/>
              <w:keepLines w:val="0"/>
              <w:suppressLineNumbers w:val="0"/>
              <w:spacing w:before="0" w:beforeAutospacing="0" w:after="0" w:afterAutospacing="0"/>
              <w:ind w:left="0" w:right="0"/>
              <w:rPr>
                <w:rFonts w:hint="default"/>
                <w:szCs w:val="21"/>
                <w:highlight w:val="yellow"/>
              </w:rPr>
            </w:pPr>
            <w:r>
              <w:rPr>
                <w:rFonts w:hint="eastAsia"/>
                <w:szCs w:val="21"/>
                <w:highlight w:val="none"/>
                <w:lang w:val="en-US" w:eastAsia="zh-CN"/>
              </w:rPr>
              <w:t>一期已建成验收</w:t>
            </w:r>
          </w:p>
        </w:tc>
      </w:tr>
      <w:tr w14:paraId="7BD4CFF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7" w:type="dxa"/>
            <w:vMerge w:val="continue"/>
            <w:tcBorders>
              <w:tl2br w:val="nil"/>
              <w:tr2bl w:val="nil"/>
            </w:tcBorders>
            <w:vAlign w:val="center"/>
          </w:tcPr>
          <w:p w14:paraId="50CB4034">
            <w:pPr>
              <w:keepNext w:val="0"/>
              <w:keepLines w:val="0"/>
              <w:widowControl/>
              <w:suppressLineNumbers w:val="0"/>
              <w:spacing w:before="0" w:beforeAutospacing="0" w:after="0" w:afterAutospacing="0"/>
              <w:ind w:left="0" w:right="0"/>
              <w:jc w:val="center"/>
              <w:rPr>
                <w:rFonts w:hint="default" w:cs="Times New Roman"/>
                <w:highlight w:val="none"/>
              </w:rPr>
            </w:pPr>
          </w:p>
        </w:tc>
        <w:tc>
          <w:tcPr>
            <w:tcW w:w="684" w:type="dxa"/>
            <w:vMerge w:val="continue"/>
            <w:tcBorders>
              <w:tl2br w:val="nil"/>
              <w:tr2bl w:val="nil"/>
            </w:tcBorders>
            <w:vAlign w:val="center"/>
          </w:tcPr>
          <w:p w14:paraId="704F4CF1">
            <w:pPr>
              <w:keepNext w:val="0"/>
              <w:keepLines w:val="0"/>
              <w:widowControl/>
              <w:suppressLineNumbers w:val="0"/>
              <w:spacing w:before="0" w:beforeAutospacing="0" w:after="0" w:afterAutospacing="0"/>
              <w:ind w:left="0" w:right="0"/>
              <w:jc w:val="center"/>
              <w:rPr>
                <w:rFonts w:hint="default" w:cs="Times New Roman"/>
                <w:highlight w:val="none"/>
              </w:rPr>
            </w:pPr>
          </w:p>
        </w:tc>
        <w:tc>
          <w:tcPr>
            <w:tcW w:w="2001" w:type="dxa"/>
            <w:vMerge w:val="continue"/>
            <w:tcBorders>
              <w:tl2br w:val="nil"/>
              <w:tr2bl w:val="nil"/>
            </w:tcBorders>
            <w:vAlign w:val="center"/>
          </w:tcPr>
          <w:p w14:paraId="04DD0984">
            <w:pPr>
              <w:pStyle w:val="38"/>
              <w:keepNext w:val="0"/>
              <w:keepLines w:val="0"/>
              <w:suppressLineNumbers w:val="0"/>
              <w:spacing w:before="0" w:beforeAutospacing="0" w:after="0" w:afterAutospacing="0"/>
              <w:ind w:left="0" w:right="0"/>
              <w:rPr>
                <w:rFonts w:hint="default"/>
                <w:szCs w:val="21"/>
                <w:highlight w:val="none"/>
              </w:rPr>
            </w:pPr>
          </w:p>
        </w:tc>
        <w:tc>
          <w:tcPr>
            <w:tcW w:w="2267" w:type="dxa"/>
            <w:tcBorders>
              <w:tl2br w:val="nil"/>
              <w:tr2bl w:val="nil"/>
            </w:tcBorders>
            <w:vAlign w:val="center"/>
          </w:tcPr>
          <w:p w14:paraId="3AA53BA4">
            <w:pPr>
              <w:pStyle w:val="38"/>
              <w:keepNext w:val="0"/>
              <w:keepLines w:val="0"/>
              <w:suppressLineNumbers w:val="0"/>
              <w:spacing w:before="0" w:beforeAutospacing="0" w:after="0" w:afterAutospacing="0"/>
              <w:ind w:left="0" w:right="0"/>
              <w:rPr>
                <w:rFonts w:hint="default"/>
                <w:szCs w:val="21"/>
                <w:highlight w:val="none"/>
              </w:rPr>
            </w:pPr>
            <w:r>
              <w:rPr>
                <w:rFonts w:hint="default"/>
                <w:szCs w:val="21"/>
                <w:highlight w:val="none"/>
              </w:rPr>
              <w:t>正极烘干：袋式除尘器+15m高排气筒</w:t>
            </w:r>
          </w:p>
        </w:tc>
        <w:tc>
          <w:tcPr>
            <w:tcW w:w="1985" w:type="dxa"/>
            <w:tcBorders>
              <w:tl2br w:val="nil"/>
              <w:tr2bl w:val="nil"/>
            </w:tcBorders>
            <w:vAlign w:val="center"/>
          </w:tcPr>
          <w:p w14:paraId="29E6316D">
            <w:pPr>
              <w:pStyle w:val="38"/>
              <w:keepNext w:val="0"/>
              <w:keepLines w:val="0"/>
              <w:suppressLineNumbers w:val="0"/>
              <w:spacing w:before="0" w:beforeAutospacing="0" w:after="0" w:afterAutospacing="0"/>
              <w:ind w:left="0" w:right="0"/>
              <w:rPr>
                <w:rFonts w:hint="default"/>
                <w:szCs w:val="21"/>
                <w:highlight w:val="none"/>
              </w:rPr>
            </w:pPr>
            <w:r>
              <w:rPr>
                <w:rFonts w:hint="default"/>
                <w:szCs w:val="21"/>
                <w:highlight w:val="none"/>
              </w:rPr>
              <w:t>正极烘干：袋式除尘器+15m高排气筒</w:t>
            </w:r>
          </w:p>
        </w:tc>
        <w:tc>
          <w:tcPr>
            <w:tcW w:w="1201" w:type="dxa"/>
            <w:vMerge w:val="continue"/>
            <w:tcBorders>
              <w:tl2br w:val="nil"/>
              <w:tr2bl w:val="nil"/>
            </w:tcBorders>
            <w:vAlign w:val="center"/>
          </w:tcPr>
          <w:p w14:paraId="3AE99513">
            <w:pPr>
              <w:pStyle w:val="38"/>
              <w:keepNext w:val="0"/>
              <w:keepLines w:val="0"/>
              <w:suppressLineNumbers w:val="0"/>
              <w:spacing w:before="0" w:beforeAutospacing="0" w:after="0" w:afterAutospacing="0"/>
              <w:ind w:left="0" w:right="0"/>
              <w:rPr>
                <w:rFonts w:hint="default"/>
                <w:szCs w:val="21"/>
                <w:highlight w:val="yellow"/>
              </w:rPr>
            </w:pPr>
          </w:p>
        </w:tc>
      </w:tr>
      <w:tr w14:paraId="6EAB53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7" w:type="dxa"/>
            <w:vMerge w:val="continue"/>
            <w:tcBorders>
              <w:tl2br w:val="nil"/>
              <w:tr2bl w:val="nil"/>
            </w:tcBorders>
            <w:vAlign w:val="center"/>
          </w:tcPr>
          <w:p w14:paraId="7A5924CB">
            <w:pPr>
              <w:keepNext w:val="0"/>
              <w:keepLines w:val="0"/>
              <w:widowControl/>
              <w:suppressLineNumbers w:val="0"/>
              <w:spacing w:before="0" w:beforeAutospacing="0" w:after="0" w:afterAutospacing="0"/>
              <w:ind w:left="0" w:right="0"/>
              <w:jc w:val="center"/>
              <w:rPr>
                <w:rFonts w:hint="default" w:cs="Times New Roman"/>
                <w:highlight w:val="none"/>
              </w:rPr>
            </w:pPr>
          </w:p>
        </w:tc>
        <w:tc>
          <w:tcPr>
            <w:tcW w:w="684" w:type="dxa"/>
            <w:vMerge w:val="continue"/>
            <w:tcBorders>
              <w:tl2br w:val="nil"/>
              <w:tr2bl w:val="nil"/>
            </w:tcBorders>
            <w:vAlign w:val="center"/>
          </w:tcPr>
          <w:p w14:paraId="08DE4601">
            <w:pPr>
              <w:keepNext w:val="0"/>
              <w:keepLines w:val="0"/>
              <w:widowControl/>
              <w:suppressLineNumbers w:val="0"/>
              <w:spacing w:before="0" w:beforeAutospacing="0" w:after="0" w:afterAutospacing="0"/>
              <w:ind w:left="0" w:right="0"/>
              <w:jc w:val="center"/>
              <w:rPr>
                <w:rFonts w:hint="default" w:cs="Times New Roman"/>
                <w:highlight w:val="none"/>
              </w:rPr>
            </w:pPr>
          </w:p>
        </w:tc>
        <w:tc>
          <w:tcPr>
            <w:tcW w:w="2001" w:type="dxa"/>
            <w:tcBorders>
              <w:tl2br w:val="nil"/>
              <w:tr2bl w:val="nil"/>
            </w:tcBorders>
            <w:vAlign w:val="center"/>
          </w:tcPr>
          <w:p w14:paraId="57143070">
            <w:pPr>
              <w:pStyle w:val="38"/>
              <w:keepNext w:val="0"/>
              <w:keepLines w:val="0"/>
              <w:suppressLineNumbers w:val="0"/>
              <w:spacing w:before="0" w:beforeAutospacing="0" w:after="0" w:afterAutospacing="0"/>
              <w:ind w:left="0" w:right="0"/>
              <w:rPr>
                <w:rFonts w:hint="default"/>
                <w:szCs w:val="21"/>
                <w:highlight w:val="none"/>
              </w:rPr>
            </w:pPr>
            <w:r>
              <w:rPr>
                <w:rFonts w:hint="default"/>
                <w:szCs w:val="21"/>
                <w:highlight w:val="none"/>
              </w:rPr>
              <w:t>噪声治理设施</w:t>
            </w:r>
          </w:p>
        </w:tc>
        <w:tc>
          <w:tcPr>
            <w:tcW w:w="2267" w:type="dxa"/>
            <w:tcBorders>
              <w:tl2br w:val="nil"/>
              <w:tr2bl w:val="nil"/>
            </w:tcBorders>
            <w:vAlign w:val="center"/>
          </w:tcPr>
          <w:p w14:paraId="3B700748">
            <w:pPr>
              <w:pStyle w:val="38"/>
              <w:keepNext w:val="0"/>
              <w:keepLines w:val="0"/>
              <w:suppressLineNumbers w:val="0"/>
              <w:spacing w:before="0" w:beforeAutospacing="0" w:after="0" w:afterAutospacing="0"/>
              <w:ind w:left="0" w:right="0"/>
              <w:rPr>
                <w:rFonts w:hint="default"/>
                <w:szCs w:val="21"/>
                <w:highlight w:val="none"/>
              </w:rPr>
            </w:pPr>
            <w:r>
              <w:rPr>
                <w:rFonts w:hint="default"/>
                <w:szCs w:val="21"/>
                <w:highlight w:val="none"/>
              </w:rPr>
              <w:t>设备减振、车间密闭隔音</w:t>
            </w:r>
          </w:p>
        </w:tc>
        <w:tc>
          <w:tcPr>
            <w:tcW w:w="1985" w:type="dxa"/>
            <w:tcBorders>
              <w:tl2br w:val="nil"/>
              <w:tr2bl w:val="nil"/>
            </w:tcBorders>
            <w:vAlign w:val="center"/>
          </w:tcPr>
          <w:p w14:paraId="00443311">
            <w:pPr>
              <w:pStyle w:val="38"/>
              <w:keepNext w:val="0"/>
              <w:keepLines w:val="0"/>
              <w:suppressLineNumbers w:val="0"/>
              <w:spacing w:before="0" w:beforeAutospacing="0" w:after="0" w:afterAutospacing="0"/>
              <w:ind w:left="0" w:right="0"/>
              <w:rPr>
                <w:rFonts w:hint="default"/>
                <w:szCs w:val="21"/>
                <w:highlight w:val="none"/>
              </w:rPr>
            </w:pPr>
            <w:r>
              <w:rPr>
                <w:rFonts w:hint="default"/>
                <w:szCs w:val="21"/>
                <w:highlight w:val="none"/>
              </w:rPr>
              <w:t>设备减振、车间密闭隔音</w:t>
            </w:r>
          </w:p>
        </w:tc>
        <w:tc>
          <w:tcPr>
            <w:tcW w:w="1201" w:type="dxa"/>
            <w:vMerge w:val="continue"/>
            <w:tcBorders>
              <w:tl2br w:val="nil"/>
              <w:tr2bl w:val="nil"/>
            </w:tcBorders>
            <w:vAlign w:val="center"/>
          </w:tcPr>
          <w:p w14:paraId="37B1CD82">
            <w:pPr>
              <w:pStyle w:val="38"/>
              <w:keepNext w:val="0"/>
              <w:keepLines w:val="0"/>
              <w:suppressLineNumbers w:val="0"/>
              <w:spacing w:before="0" w:beforeAutospacing="0" w:after="0" w:afterAutospacing="0"/>
              <w:ind w:left="0" w:right="0"/>
              <w:rPr>
                <w:rFonts w:hint="default"/>
                <w:szCs w:val="21"/>
                <w:highlight w:val="yellow"/>
              </w:rPr>
            </w:pPr>
          </w:p>
        </w:tc>
      </w:tr>
      <w:tr w14:paraId="504B275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7" w:type="dxa"/>
            <w:vMerge w:val="continue"/>
            <w:tcBorders>
              <w:tl2br w:val="nil"/>
              <w:tr2bl w:val="nil"/>
            </w:tcBorders>
            <w:vAlign w:val="center"/>
          </w:tcPr>
          <w:p w14:paraId="24EEB65E">
            <w:pPr>
              <w:keepNext w:val="0"/>
              <w:keepLines w:val="0"/>
              <w:widowControl/>
              <w:suppressLineNumbers w:val="0"/>
              <w:spacing w:before="0" w:beforeAutospacing="0" w:after="0" w:afterAutospacing="0"/>
              <w:ind w:left="0" w:right="0"/>
              <w:jc w:val="center"/>
              <w:rPr>
                <w:rFonts w:hint="default" w:cs="Times New Roman"/>
                <w:highlight w:val="none"/>
              </w:rPr>
            </w:pPr>
          </w:p>
        </w:tc>
        <w:tc>
          <w:tcPr>
            <w:tcW w:w="684" w:type="dxa"/>
            <w:vMerge w:val="continue"/>
            <w:tcBorders>
              <w:tl2br w:val="nil"/>
              <w:tr2bl w:val="nil"/>
            </w:tcBorders>
            <w:vAlign w:val="center"/>
          </w:tcPr>
          <w:p w14:paraId="51A7236C">
            <w:pPr>
              <w:keepNext w:val="0"/>
              <w:keepLines w:val="0"/>
              <w:widowControl/>
              <w:suppressLineNumbers w:val="0"/>
              <w:spacing w:before="0" w:beforeAutospacing="0" w:after="0" w:afterAutospacing="0"/>
              <w:ind w:left="0" w:right="0"/>
              <w:jc w:val="center"/>
              <w:rPr>
                <w:rFonts w:hint="default" w:cs="Times New Roman"/>
                <w:highlight w:val="none"/>
              </w:rPr>
            </w:pPr>
          </w:p>
        </w:tc>
        <w:tc>
          <w:tcPr>
            <w:tcW w:w="2001" w:type="dxa"/>
            <w:vMerge w:val="restart"/>
            <w:tcBorders>
              <w:tl2br w:val="nil"/>
              <w:tr2bl w:val="nil"/>
            </w:tcBorders>
            <w:vAlign w:val="center"/>
          </w:tcPr>
          <w:p w14:paraId="6D5B4C10">
            <w:pPr>
              <w:pStyle w:val="38"/>
              <w:keepNext w:val="0"/>
              <w:keepLines w:val="0"/>
              <w:suppressLineNumbers w:val="0"/>
              <w:spacing w:before="0" w:beforeAutospacing="0" w:after="0" w:afterAutospacing="0"/>
              <w:ind w:left="0" w:right="0"/>
              <w:rPr>
                <w:rFonts w:hint="default"/>
                <w:szCs w:val="21"/>
                <w:highlight w:val="none"/>
              </w:rPr>
            </w:pPr>
            <w:r>
              <w:rPr>
                <w:rFonts w:hint="default"/>
                <w:szCs w:val="21"/>
                <w:highlight w:val="none"/>
              </w:rPr>
              <w:t>固废治理设施</w:t>
            </w:r>
          </w:p>
        </w:tc>
        <w:tc>
          <w:tcPr>
            <w:tcW w:w="2267" w:type="dxa"/>
            <w:tcBorders>
              <w:tl2br w:val="nil"/>
              <w:tr2bl w:val="nil"/>
            </w:tcBorders>
            <w:vAlign w:val="center"/>
          </w:tcPr>
          <w:p w14:paraId="77C61EAD">
            <w:pPr>
              <w:pStyle w:val="40"/>
              <w:keepNext w:val="0"/>
              <w:keepLines w:val="0"/>
              <w:suppressLineNumbers w:val="0"/>
              <w:spacing w:before="0" w:beforeAutospacing="0" w:after="0" w:afterAutospacing="0"/>
              <w:ind w:left="0" w:right="0"/>
              <w:rPr>
                <w:rFonts w:hint="default"/>
                <w:highlight w:val="none"/>
              </w:rPr>
            </w:pPr>
            <w:r>
              <w:rPr>
                <w:rFonts w:hint="default"/>
                <w:highlight w:val="none"/>
              </w:rPr>
              <w:t>临时堆场50m</w:t>
            </w:r>
            <w:r>
              <w:rPr>
                <w:rFonts w:hint="default"/>
                <w:highlight w:val="none"/>
                <w:vertAlign w:val="superscript"/>
              </w:rPr>
              <w:t>2</w:t>
            </w:r>
            <w:r>
              <w:rPr>
                <w:rFonts w:hint="default"/>
                <w:highlight w:val="none"/>
              </w:rPr>
              <w:t>，地面硬化防渗、防风、抑尘措施</w:t>
            </w:r>
          </w:p>
        </w:tc>
        <w:tc>
          <w:tcPr>
            <w:tcW w:w="1985" w:type="dxa"/>
            <w:tcBorders>
              <w:tl2br w:val="nil"/>
              <w:tr2bl w:val="nil"/>
            </w:tcBorders>
            <w:vAlign w:val="center"/>
          </w:tcPr>
          <w:p w14:paraId="2BD449B1">
            <w:pPr>
              <w:pStyle w:val="40"/>
              <w:keepNext w:val="0"/>
              <w:keepLines w:val="0"/>
              <w:suppressLineNumbers w:val="0"/>
              <w:spacing w:before="0" w:beforeAutospacing="0" w:after="0" w:afterAutospacing="0"/>
              <w:ind w:left="0" w:right="0"/>
              <w:rPr>
                <w:rFonts w:hint="default"/>
                <w:highlight w:val="none"/>
              </w:rPr>
            </w:pPr>
            <w:r>
              <w:rPr>
                <w:rFonts w:hint="default"/>
                <w:highlight w:val="none"/>
              </w:rPr>
              <w:t>临时堆场50m</w:t>
            </w:r>
            <w:r>
              <w:rPr>
                <w:rFonts w:hint="default"/>
                <w:highlight w:val="none"/>
                <w:vertAlign w:val="superscript"/>
              </w:rPr>
              <w:t>2</w:t>
            </w:r>
            <w:r>
              <w:rPr>
                <w:rFonts w:hint="default"/>
                <w:highlight w:val="none"/>
              </w:rPr>
              <w:t>，地面硬化防渗、防风、抑尘措施</w:t>
            </w:r>
          </w:p>
        </w:tc>
        <w:tc>
          <w:tcPr>
            <w:tcW w:w="1201" w:type="dxa"/>
            <w:vMerge w:val="continue"/>
            <w:tcBorders>
              <w:tl2br w:val="nil"/>
              <w:tr2bl w:val="nil"/>
            </w:tcBorders>
            <w:vAlign w:val="center"/>
          </w:tcPr>
          <w:p w14:paraId="7D275DFF">
            <w:pPr>
              <w:pStyle w:val="38"/>
              <w:keepNext w:val="0"/>
              <w:keepLines w:val="0"/>
              <w:suppressLineNumbers w:val="0"/>
              <w:spacing w:before="0" w:beforeAutospacing="0" w:after="0" w:afterAutospacing="0"/>
              <w:ind w:left="0" w:right="0"/>
              <w:rPr>
                <w:rFonts w:hint="default"/>
                <w:szCs w:val="21"/>
                <w:highlight w:val="yellow"/>
              </w:rPr>
            </w:pPr>
          </w:p>
        </w:tc>
      </w:tr>
      <w:tr w14:paraId="6FA53CE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7" w:type="dxa"/>
            <w:vMerge w:val="continue"/>
            <w:tcBorders>
              <w:tl2br w:val="nil"/>
              <w:tr2bl w:val="nil"/>
            </w:tcBorders>
            <w:vAlign w:val="center"/>
          </w:tcPr>
          <w:p w14:paraId="2478F4A3">
            <w:pPr>
              <w:keepNext w:val="0"/>
              <w:keepLines w:val="0"/>
              <w:widowControl/>
              <w:suppressLineNumbers w:val="0"/>
              <w:spacing w:before="0" w:beforeAutospacing="0" w:after="0" w:afterAutospacing="0"/>
              <w:ind w:left="0" w:right="0"/>
              <w:jc w:val="center"/>
              <w:rPr>
                <w:rFonts w:hint="default" w:cs="Times New Roman"/>
                <w:highlight w:val="none"/>
              </w:rPr>
            </w:pPr>
          </w:p>
        </w:tc>
        <w:tc>
          <w:tcPr>
            <w:tcW w:w="684" w:type="dxa"/>
            <w:vMerge w:val="continue"/>
            <w:tcBorders>
              <w:tl2br w:val="nil"/>
              <w:tr2bl w:val="nil"/>
            </w:tcBorders>
            <w:vAlign w:val="center"/>
          </w:tcPr>
          <w:p w14:paraId="3CD0B424">
            <w:pPr>
              <w:keepNext w:val="0"/>
              <w:keepLines w:val="0"/>
              <w:widowControl/>
              <w:suppressLineNumbers w:val="0"/>
              <w:spacing w:before="0" w:beforeAutospacing="0" w:after="0" w:afterAutospacing="0"/>
              <w:ind w:left="0" w:right="0"/>
              <w:jc w:val="center"/>
              <w:rPr>
                <w:rFonts w:hint="default" w:cs="Times New Roman"/>
                <w:highlight w:val="none"/>
              </w:rPr>
            </w:pPr>
          </w:p>
        </w:tc>
        <w:tc>
          <w:tcPr>
            <w:tcW w:w="2001" w:type="dxa"/>
            <w:vMerge w:val="continue"/>
            <w:tcBorders>
              <w:tl2br w:val="nil"/>
              <w:tr2bl w:val="nil"/>
            </w:tcBorders>
            <w:vAlign w:val="center"/>
          </w:tcPr>
          <w:p w14:paraId="49DCFE3B">
            <w:pPr>
              <w:pStyle w:val="38"/>
              <w:keepNext w:val="0"/>
              <w:keepLines w:val="0"/>
              <w:suppressLineNumbers w:val="0"/>
              <w:spacing w:before="0" w:beforeAutospacing="0" w:after="0" w:afterAutospacing="0"/>
              <w:ind w:left="0" w:right="0"/>
              <w:rPr>
                <w:rFonts w:hint="default"/>
                <w:szCs w:val="21"/>
                <w:highlight w:val="none"/>
              </w:rPr>
            </w:pPr>
          </w:p>
        </w:tc>
        <w:tc>
          <w:tcPr>
            <w:tcW w:w="2267" w:type="dxa"/>
            <w:tcBorders>
              <w:tl2br w:val="nil"/>
              <w:tr2bl w:val="nil"/>
            </w:tcBorders>
            <w:vAlign w:val="center"/>
          </w:tcPr>
          <w:p w14:paraId="66F97FE7">
            <w:pPr>
              <w:pStyle w:val="40"/>
              <w:keepNext w:val="0"/>
              <w:keepLines w:val="0"/>
              <w:suppressLineNumbers w:val="0"/>
              <w:spacing w:before="0" w:beforeAutospacing="0" w:after="0" w:afterAutospacing="0"/>
              <w:ind w:left="0" w:right="0"/>
              <w:rPr>
                <w:rFonts w:hint="default"/>
                <w:highlight w:val="none"/>
              </w:rPr>
            </w:pPr>
            <w:r>
              <w:rPr>
                <w:rFonts w:hint="default"/>
                <w:highlight w:val="none"/>
              </w:rPr>
              <w:t>临时储存间20m</w:t>
            </w:r>
            <w:r>
              <w:rPr>
                <w:rFonts w:hint="default"/>
                <w:highlight w:val="none"/>
                <w:vertAlign w:val="superscript"/>
              </w:rPr>
              <w:t>2</w:t>
            </w:r>
            <w:r>
              <w:rPr>
                <w:rFonts w:hint="default"/>
                <w:highlight w:val="none"/>
              </w:rPr>
              <w:t>，地面硬化防渗、防风、防雨、防晒、设置围堰</w:t>
            </w:r>
          </w:p>
        </w:tc>
        <w:tc>
          <w:tcPr>
            <w:tcW w:w="1985" w:type="dxa"/>
            <w:tcBorders>
              <w:tl2br w:val="nil"/>
              <w:tr2bl w:val="nil"/>
            </w:tcBorders>
            <w:vAlign w:val="center"/>
          </w:tcPr>
          <w:p w14:paraId="0CFEEA61">
            <w:pPr>
              <w:pStyle w:val="40"/>
              <w:keepNext w:val="0"/>
              <w:keepLines w:val="0"/>
              <w:suppressLineNumbers w:val="0"/>
              <w:spacing w:before="0" w:beforeAutospacing="0" w:after="0" w:afterAutospacing="0"/>
              <w:ind w:left="0" w:right="0"/>
              <w:rPr>
                <w:rFonts w:hint="default"/>
                <w:highlight w:val="none"/>
              </w:rPr>
            </w:pPr>
            <w:r>
              <w:rPr>
                <w:rFonts w:hint="default"/>
                <w:highlight w:val="none"/>
              </w:rPr>
              <w:t>临时储存间20m</w:t>
            </w:r>
            <w:r>
              <w:rPr>
                <w:rFonts w:hint="default"/>
                <w:highlight w:val="none"/>
                <w:vertAlign w:val="superscript"/>
              </w:rPr>
              <w:t>2</w:t>
            </w:r>
            <w:r>
              <w:rPr>
                <w:rFonts w:hint="default"/>
                <w:highlight w:val="none"/>
              </w:rPr>
              <w:t>，地面硬化防渗、防风、防雨、防晒、设置围堰</w:t>
            </w:r>
          </w:p>
        </w:tc>
        <w:tc>
          <w:tcPr>
            <w:tcW w:w="1201" w:type="dxa"/>
            <w:vMerge w:val="continue"/>
            <w:tcBorders>
              <w:tl2br w:val="nil"/>
              <w:tr2bl w:val="nil"/>
            </w:tcBorders>
            <w:vAlign w:val="center"/>
          </w:tcPr>
          <w:p w14:paraId="5CC2D619">
            <w:pPr>
              <w:pStyle w:val="38"/>
              <w:keepNext w:val="0"/>
              <w:keepLines w:val="0"/>
              <w:suppressLineNumbers w:val="0"/>
              <w:spacing w:before="0" w:beforeAutospacing="0" w:after="0" w:afterAutospacing="0"/>
              <w:ind w:left="0" w:right="0"/>
              <w:rPr>
                <w:rFonts w:hint="default"/>
                <w:szCs w:val="21"/>
                <w:highlight w:val="yellow"/>
              </w:rPr>
            </w:pPr>
          </w:p>
        </w:tc>
      </w:tr>
    </w:tbl>
    <w:p w14:paraId="28BC2AC7">
      <w:pPr>
        <w:pStyle w:val="4"/>
        <w:spacing w:line="500" w:lineRule="exact"/>
        <w:ind w:firstLine="422" w:firstLineChars="150"/>
        <w:rPr>
          <w:rFonts w:cs="Times New Roman"/>
          <w:highlight w:val="yellow"/>
        </w:rPr>
      </w:pPr>
    </w:p>
    <w:p w14:paraId="6F20155F">
      <w:pPr>
        <w:pStyle w:val="4"/>
        <w:spacing w:line="500" w:lineRule="exact"/>
        <w:ind w:firstLine="422" w:firstLineChars="150"/>
        <w:rPr>
          <w:rFonts w:cs="Times New Roman"/>
          <w:highlight w:val="yellow"/>
        </w:rPr>
      </w:pPr>
    </w:p>
    <w:p w14:paraId="612F0482">
      <w:pPr>
        <w:pStyle w:val="4"/>
        <w:spacing w:line="500" w:lineRule="exact"/>
        <w:ind w:firstLine="422" w:firstLineChars="150"/>
        <w:rPr>
          <w:rFonts w:cs="Times New Roman"/>
          <w:highlight w:val="none"/>
        </w:rPr>
      </w:pPr>
      <w:r>
        <w:rPr>
          <w:rFonts w:cs="Times New Roman"/>
          <w:highlight w:val="none"/>
        </w:rPr>
        <w:t>3.2.3主要生产设备</w:t>
      </w:r>
    </w:p>
    <w:p w14:paraId="726B539A">
      <w:pPr>
        <w:pStyle w:val="59"/>
        <w:spacing w:line="520" w:lineRule="exact"/>
        <w:ind w:firstLine="480"/>
        <w:rPr>
          <w:rFonts w:hint="default" w:ascii="Times New Roman" w:hAnsi="Times New Roman" w:eastAsia="宋体" w:cs="Times New Roman"/>
          <w:szCs w:val="24"/>
          <w:highlight w:val="none"/>
          <w:lang w:val="en-US" w:eastAsia="zh-CN"/>
        </w:rPr>
      </w:pPr>
      <w:r>
        <w:rPr>
          <w:rFonts w:hint="eastAsia" w:ascii="Times New Roman" w:hAnsi="Times New Roman" w:eastAsia="宋体" w:cs="Times New Roman"/>
          <w:szCs w:val="24"/>
          <w:highlight w:val="none"/>
          <w:lang w:val="en-US" w:eastAsia="zh-CN"/>
        </w:rPr>
        <w:t>本项目</w:t>
      </w:r>
      <w:r>
        <w:rPr>
          <w:rFonts w:ascii="Times New Roman" w:hAnsi="Times New Roman" w:eastAsia="宋体" w:cs="Times New Roman"/>
          <w:szCs w:val="24"/>
          <w:highlight w:val="none"/>
        </w:rPr>
        <w:t>镍氢密封电池生产车间（含装配封口线）</w:t>
      </w:r>
      <w:r>
        <w:rPr>
          <w:rFonts w:hint="eastAsia" w:ascii="Times New Roman" w:hAnsi="Times New Roman" w:eastAsia="宋体" w:cs="Times New Roman"/>
          <w:szCs w:val="24"/>
          <w:highlight w:val="none"/>
          <w:lang w:eastAsia="zh-CN"/>
        </w:rPr>
        <w:t>、</w:t>
      </w:r>
      <w:r>
        <w:rPr>
          <w:rFonts w:ascii="Times New Roman" w:hAnsi="Times New Roman" w:eastAsia="宋体" w:cs="Times New Roman"/>
          <w:szCs w:val="24"/>
          <w:highlight w:val="none"/>
        </w:rPr>
        <w:t>镍氢袋式电池生产车间：镍氢高倍率袋式电池生产线（由进口设备生产）</w:t>
      </w:r>
      <w:r>
        <w:rPr>
          <w:rFonts w:hint="eastAsia" w:ascii="Times New Roman" w:hAnsi="Times New Roman" w:eastAsia="宋体" w:cs="Times New Roman"/>
          <w:szCs w:val="24"/>
          <w:highlight w:val="none"/>
          <w:lang w:eastAsia="zh-CN"/>
        </w:rPr>
        <w:t>、</w:t>
      </w:r>
      <w:r>
        <w:rPr>
          <w:rFonts w:ascii="Times New Roman" w:hAnsi="Times New Roman" w:eastAsia="宋体" w:cs="Times New Roman"/>
          <w:szCs w:val="24"/>
          <w:highlight w:val="none"/>
        </w:rPr>
        <w:t>镍氢袋式电池生产车间：镍氢中低倍率袋式电池生产线（由国产设备生产）</w:t>
      </w:r>
      <w:r>
        <w:rPr>
          <w:rFonts w:hint="eastAsia" w:ascii="Times New Roman" w:hAnsi="Times New Roman" w:eastAsia="宋体" w:cs="Times New Roman"/>
          <w:szCs w:val="24"/>
          <w:highlight w:val="none"/>
          <w:lang w:val="en-US" w:eastAsia="zh-CN"/>
        </w:rPr>
        <w:t>已完成验收，本次仅对共用设备1台2t/h燃气锅炉进行验收。</w:t>
      </w:r>
    </w:p>
    <w:p w14:paraId="1926E15C">
      <w:pPr>
        <w:pStyle w:val="59"/>
        <w:ind w:firstLine="480"/>
        <w:rPr>
          <w:highlight w:val="none"/>
        </w:rPr>
      </w:pPr>
      <w:r>
        <w:rPr>
          <w:highlight w:val="none"/>
        </w:rPr>
        <w:t>项目主要生产设备见下表。</w:t>
      </w:r>
    </w:p>
    <w:p w14:paraId="5C16043E">
      <w:pPr>
        <w:pStyle w:val="59"/>
        <w:spacing w:line="520" w:lineRule="exact"/>
        <w:ind w:firstLine="480"/>
        <w:rPr>
          <w:rFonts w:eastAsia="黑体"/>
          <w:szCs w:val="24"/>
          <w:highlight w:val="none"/>
        </w:rPr>
      </w:pPr>
      <w:r>
        <w:rPr>
          <w:rFonts w:eastAsia="黑体"/>
          <w:szCs w:val="24"/>
          <w:highlight w:val="none"/>
        </w:rPr>
        <w:t>表3-3                   项目设备一览表</w:t>
      </w:r>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6"/>
        <w:gridCol w:w="983"/>
        <w:gridCol w:w="1466"/>
        <w:gridCol w:w="1186"/>
        <w:gridCol w:w="1222"/>
        <w:gridCol w:w="973"/>
        <w:gridCol w:w="973"/>
        <w:gridCol w:w="1083"/>
      </w:tblGrid>
      <w:tr w14:paraId="5D5267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36" w:type="dxa"/>
            <w:vMerge w:val="restart"/>
            <w:tcBorders>
              <w:tl2br w:val="nil"/>
              <w:tr2bl w:val="nil"/>
            </w:tcBorders>
            <w:vAlign w:val="center"/>
          </w:tcPr>
          <w:p w14:paraId="2F1B927A">
            <w:pPr>
              <w:keepNext w:val="0"/>
              <w:keepLines w:val="0"/>
              <w:suppressLineNumbers w:val="0"/>
              <w:adjustRightInd w:val="0"/>
              <w:snapToGrid w:val="0"/>
              <w:spacing w:before="0" w:beforeAutospacing="0" w:after="0" w:afterAutospacing="0"/>
              <w:ind w:left="0" w:right="0"/>
              <w:jc w:val="center"/>
              <w:rPr>
                <w:rFonts w:hint="default" w:cs="Times New Roman"/>
                <w:b/>
                <w:bCs/>
                <w:highlight w:val="none"/>
              </w:rPr>
            </w:pPr>
            <w:r>
              <w:rPr>
                <w:rFonts w:hint="default" w:cs="Times New Roman"/>
                <w:b/>
                <w:bCs/>
                <w:highlight w:val="none"/>
              </w:rPr>
              <w:t>序号</w:t>
            </w:r>
          </w:p>
        </w:tc>
        <w:tc>
          <w:tcPr>
            <w:tcW w:w="983" w:type="dxa"/>
            <w:vMerge w:val="restart"/>
            <w:tcBorders>
              <w:tl2br w:val="nil"/>
              <w:tr2bl w:val="nil"/>
            </w:tcBorders>
            <w:vAlign w:val="center"/>
          </w:tcPr>
          <w:p w14:paraId="470F92E9">
            <w:pPr>
              <w:keepNext w:val="0"/>
              <w:keepLines w:val="0"/>
              <w:suppressLineNumbers w:val="0"/>
              <w:adjustRightInd w:val="0"/>
              <w:snapToGrid w:val="0"/>
              <w:spacing w:before="0" w:beforeAutospacing="0" w:after="0" w:afterAutospacing="0"/>
              <w:ind w:left="0" w:right="0"/>
              <w:jc w:val="center"/>
              <w:rPr>
                <w:rFonts w:hint="default" w:cs="Times New Roman"/>
                <w:b/>
                <w:bCs/>
                <w:highlight w:val="none"/>
              </w:rPr>
            </w:pPr>
            <w:r>
              <w:rPr>
                <w:rFonts w:hint="default" w:cs="Times New Roman"/>
                <w:b/>
                <w:bCs/>
                <w:highlight w:val="none"/>
              </w:rPr>
              <w:t>车间名称</w:t>
            </w:r>
          </w:p>
        </w:tc>
        <w:tc>
          <w:tcPr>
            <w:tcW w:w="1466" w:type="dxa"/>
            <w:vMerge w:val="restart"/>
            <w:tcBorders>
              <w:tl2br w:val="nil"/>
              <w:tr2bl w:val="nil"/>
            </w:tcBorders>
            <w:vAlign w:val="center"/>
          </w:tcPr>
          <w:p w14:paraId="1CF14FBC">
            <w:pPr>
              <w:keepNext w:val="0"/>
              <w:keepLines w:val="0"/>
              <w:suppressLineNumbers w:val="0"/>
              <w:adjustRightInd w:val="0"/>
              <w:snapToGrid w:val="0"/>
              <w:spacing w:before="0" w:beforeAutospacing="0" w:after="0" w:afterAutospacing="0"/>
              <w:ind w:left="0" w:right="0"/>
              <w:jc w:val="center"/>
              <w:rPr>
                <w:rFonts w:hint="default" w:cs="Times New Roman"/>
                <w:b/>
                <w:bCs/>
                <w:highlight w:val="none"/>
              </w:rPr>
            </w:pPr>
            <w:r>
              <w:rPr>
                <w:rFonts w:hint="default" w:cs="Times New Roman"/>
                <w:b/>
                <w:bCs/>
                <w:highlight w:val="none"/>
              </w:rPr>
              <w:t>设备名称</w:t>
            </w:r>
          </w:p>
        </w:tc>
        <w:tc>
          <w:tcPr>
            <w:tcW w:w="2408" w:type="dxa"/>
            <w:gridSpan w:val="2"/>
            <w:tcBorders>
              <w:tl2br w:val="nil"/>
              <w:tr2bl w:val="nil"/>
            </w:tcBorders>
            <w:vAlign w:val="center"/>
          </w:tcPr>
          <w:p w14:paraId="253BAB1B">
            <w:pPr>
              <w:keepNext w:val="0"/>
              <w:keepLines w:val="0"/>
              <w:suppressLineNumbers w:val="0"/>
              <w:adjustRightInd w:val="0"/>
              <w:snapToGrid w:val="0"/>
              <w:spacing w:before="0" w:beforeAutospacing="0" w:after="0" w:afterAutospacing="0"/>
              <w:ind w:left="0" w:right="0"/>
              <w:jc w:val="center"/>
              <w:rPr>
                <w:rFonts w:hint="default" w:cs="Times New Roman"/>
                <w:b/>
                <w:bCs/>
                <w:highlight w:val="none"/>
              </w:rPr>
            </w:pPr>
            <w:r>
              <w:rPr>
                <w:rFonts w:hint="default" w:cs="Times New Roman"/>
                <w:b/>
                <w:bCs/>
                <w:highlight w:val="none"/>
              </w:rPr>
              <w:t>环评批复</w:t>
            </w:r>
          </w:p>
        </w:tc>
        <w:tc>
          <w:tcPr>
            <w:tcW w:w="1946" w:type="dxa"/>
            <w:gridSpan w:val="2"/>
            <w:tcBorders>
              <w:tl2br w:val="nil"/>
              <w:tr2bl w:val="nil"/>
            </w:tcBorders>
            <w:vAlign w:val="center"/>
          </w:tcPr>
          <w:p w14:paraId="27B850B5">
            <w:pPr>
              <w:keepNext w:val="0"/>
              <w:keepLines w:val="0"/>
              <w:suppressLineNumbers w:val="0"/>
              <w:adjustRightInd w:val="0"/>
              <w:snapToGrid w:val="0"/>
              <w:spacing w:before="0" w:beforeAutospacing="0" w:after="0" w:afterAutospacing="0"/>
              <w:ind w:left="0" w:right="0"/>
              <w:jc w:val="center"/>
              <w:rPr>
                <w:rFonts w:hint="default" w:cs="Times New Roman"/>
                <w:b/>
                <w:bCs/>
                <w:highlight w:val="none"/>
              </w:rPr>
            </w:pPr>
            <w:r>
              <w:rPr>
                <w:rFonts w:hint="default" w:cs="Times New Roman"/>
                <w:b/>
                <w:bCs/>
                <w:highlight w:val="none"/>
              </w:rPr>
              <w:t>实际建设</w:t>
            </w:r>
          </w:p>
        </w:tc>
        <w:tc>
          <w:tcPr>
            <w:tcW w:w="1083" w:type="dxa"/>
            <w:vMerge w:val="restart"/>
            <w:tcBorders>
              <w:tl2br w:val="nil"/>
              <w:tr2bl w:val="nil"/>
            </w:tcBorders>
            <w:vAlign w:val="center"/>
          </w:tcPr>
          <w:p w14:paraId="6C7F8FE9">
            <w:pPr>
              <w:keepNext w:val="0"/>
              <w:keepLines w:val="0"/>
              <w:suppressLineNumbers w:val="0"/>
              <w:adjustRightInd w:val="0"/>
              <w:snapToGrid w:val="0"/>
              <w:spacing w:before="0" w:beforeAutospacing="0" w:after="0" w:afterAutospacing="0"/>
              <w:ind w:left="0" w:right="0"/>
              <w:jc w:val="center"/>
              <w:rPr>
                <w:rFonts w:hint="default" w:cs="Times New Roman"/>
                <w:b/>
                <w:bCs/>
                <w:highlight w:val="none"/>
              </w:rPr>
            </w:pPr>
            <w:r>
              <w:rPr>
                <w:rFonts w:hint="default" w:cs="Times New Roman"/>
                <w:b/>
                <w:bCs/>
                <w:highlight w:val="none"/>
              </w:rPr>
              <w:t>备注</w:t>
            </w:r>
          </w:p>
        </w:tc>
      </w:tr>
      <w:tr w14:paraId="06CA28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36" w:type="dxa"/>
            <w:vMerge w:val="continue"/>
            <w:tcBorders>
              <w:tl2br w:val="nil"/>
              <w:tr2bl w:val="nil"/>
            </w:tcBorders>
            <w:vAlign w:val="center"/>
          </w:tcPr>
          <w:p w14:paraId="31A4770A">
            <w:pPr>
              <w:keepNext w:val="0"/>
              <w:keepLines w:val="0"/>
              <w:suppressLineNumbers w:val="0"/>
              <w:spacing w:before="0" w:beforeAutospacing="0" w:after="0" w:afterAutospacing="0"/>
              <w:ind w:left="0" w:right="0"/>
              <w:jc w:val="center"/>
              <w:rPr>
                <w:rFonts w:hint="default" w:cs="Times New Roman"/>
                <w:b/>
                <w:bCs/>
                <w:highlight w:val="none"/>
              </w:rPr>
            </w:pPr>
          </w:p>
        </w:tc>
        <w:tc>
          <w:tcPr>
            <w:tcW w:w="983" w:type="dxa"/>
            <w:vMerge w:val="continue"/>
            <w:tcBorders>
              <w:tl2br w:val="nil"/>
              <w:tr2bl w:val="nil"/>
            </w:tcBorders>
            <w:vAlign w:val="center"/>
          </w:tcPr>
          <w:p w14:paraId="4D3F02A6">
            <w:pPr>
              <w:keepNext w:val="0"/>
              <w:keepLines w:val="0"/>
              <w:suppressLineNumbers w:val="0"/>
              <w:spacing w:before="0" w:beforeAutospacing="0" w:after="0" w:afterAutospacing="0"/>
              <w:ind w:left="0" w:right="0"/>
              <w:jc w:val="center"/>
              <w:rPr>
                <w:rFonts w:hint="default" w:cs="Times New Roman"/>
                <w:b/>
                <w:bCs/>
                <w:highlight w:val="none"/>
              </w:rPr>
            </w:pPr>
          </w:p>
        </w:tc>
        <w:tc>
          <w:tcPr>
            <w:tcW w:w="1466" w:type="dxa"/>
            <w:vMerge w:val="continue"/>
            <w:tcBorders>
              <w:tl2br w:val="nil"/>
              <w:tr2bl w:val="nil"/>
            </w:tcBorders>
            <w:vAlign w:val="center"/>
          </w:tcPr>
          <w:p w14:paraId="70DE102B">
            <w:pPr>
              <w:keepNext w:val="0"/>
              <w:keepLines w:val="0"/>
              <w:suppressLineNumbers w:val="0"/>
              <w:spacing w:before="0" w:beforeAutospacing="0" w:after="0" w:afterAutospacing="0"/>
              <w:ind w:left="0" w:right="0"/>
              <w:jc w:val="center"/>
              <w:rPr>
                <w:rFonts w:hint="default" w:cs="Times New Roman"/>
                <w:b/>
                <w:bCs/>
                <w:highlight w:val="none"/>
              </w:rPr>
            </w:pPr>
          </w:p>
        </w:tc>
        <w:tc>
          <w:tcPr>
            <w:tcW w:w="1186" w:type="dxa"/>
            <w:tcBorders>
              <w:tl2br w:val="nil"/>
              <w:tr2bl w:val="nil"/>
            </w:tcBorders>
            <w:vAlign w:val="center"/>
          </w:tcPr>
          <w:p w14:paraId="4B8841C7">
            <w:pPr>
              <w:keepNext w:val="0"/>
              <w:keepLines w:val="0"/>
              <w:suppressLineNumbers w:val="0"/>
              <w:adjustRightInd w:val="0"/>
              <w:snapToGrid w:val="0"/>
              <w:spacing w:before="0" w:beforeAutospacing="0" w:after="0" w:afterAutospacing="0"/>
              <w:ind w:left="0" w:right="0"/>
              <w:jc w:val="center"/>
              <w:rPr>
                <w:rFonts w:hint="default" w:cs="Times New Roman"/>
                <w:b/>
                <w:bCs/>
                <w:highlight w:val="none"/>
              </w:rPr>
            </w:pPr>
            <w:r>
              <w:rPr>
                <w:rFonts w:hint="default" w:cs="Times New Roman"/>
                <w:b/>
                <w:bCs/>
                <w:highlight w:val="none"/>
              </w:rPr>
              <w:t>型号/规格</w:t>
            </w:r>
          </w:p>
        </w:tc>
        <w:tc>
          <w:tcPr>
            <w:tcW w:w="1222" w:type="dxa"/>
            <w:tcBorders>
              <w:tl2br w:val="nil"/>
              <w:tr2bl w:val="nil"/>
            </w:tcBorders>
            <w:vAlign w:val="center"/>
          </w:tcPr>
          <w:p w14:paraId="50D302EE">
            <w:pPr>
              <w:keepNext w:val="0"/>
              <w:keepLines w:val="0"/>
              <w:suppressLineNumbers w:val="0"/>
              <w:adjustRightInd w:val="0"/>
              <w:snapToGrid w:val="0"/>
              <w:spacing w:before="0" w:beforeAutospacing="0" w:after="0" w:afterAutospacing="0"/>
              <w:ind w:left="0" w:right="0"/>
              <w:jc w:val="center"/>
              <w:rPr>
                <w:rFonts w:hint="default" w:cs="Times New Roman"/>
                <w:b/>
                <w:bCs/>
                <w:highlight w:val="none"/>
              </w:rPr>
            </w:pPr>
            <w:r>
              <w:rPr>
                <w:rFonts w:hint="default" w:cs="Times New Roman"/>
                <w:b/>
                <w:bCs/>
                <w:highlight w:val="none"/>
              </w:rPr>
              <w:t>数量（台）</w:t>
            </w:r>
          </w:p>
        </w:tc>
        <w:tc>
          <w:tcPr>
            <w:tcW w:w="973" w:type="dxa"/>
            <w:tcBorders>
              <w:tl2br w:val="nil"/>
              <w:tr2bl w:val="nil"/>
            </w:tcBorders>
            <w:vAlign w:val="center"/>
          </w:tcPr>
          <w:p w14:paraId="14615122">
            <w:pPr>
              <w:keepNext w:val="0"/>
              <w:keepLines w:val="0"/>
              <w:suppressLineNumbers w:val="0"/>
              <w:adjustRightInd w:val="0"/>
              <w:snapToGrid w:val="0"/>
              <w:spacing w:before="0" w:beforeAutospacing="0" w:after="0" w:afterAutospacing="0"/>
              <w:ind w:left="0" w:right="0"/>
              <w:jc w:val="center"/>
              <w:rPr>
                <w:rFonts w:hint="default" w:cs="Times New Roman"/>
                <w:b/>
                <w:bCs/>
                <w:highlight w:val="none"/>
              </w:rPr>
            </w:pPr>
            <w:r>
              <w:rPr>
                <w:rFonts w:hint="default" w:cs="Times New Roman"/>
                <w:b/>
                <w:bCs/>
                <w:highlight w:val="none"/>
              </w:rPr>
              <w:t>型号/规格</w:t>
            </w:r>
          </w:p>
        </w:tc>
        <w:tc>
          <w:tcPr>
            <w:tcW w:w="973" w:type="dxa"/>
            <w:tcBorders>
              <w:tl2br w:val="nil"/>
              <w:tr2bl w:val="nil"/>
            </w:tcBorders>
            <w:vAlign w:val="center"/>
          </w:tcPr>
          <w:p w14:paraId="6C11ADA9">
            <w:pPr>
              <w:keepNext w:val="0"/>
              <w:keepLines w:val="0"/>
              <w:suppressLineNumbers w:val="0"/>
              <w:adjustRightInd w:val="0"/>
              <w:snapToGrid w:val="0"/>
              <w:spacing w:before="0" w:beforeAutospacing="0" w:after="0" w:afterAutospacing="0"/>
              <w:ind w:left="0" w:right="0"/>
              <w:jc w:val="center"/>
              <w:rPr>
                <w:rFonts w:hint="default" w:cs="Times New Roman"/>
                <w:b/>
                <w:bCs/>
                <w:highlight w:val="none"/>
              </w:rPr>
            </w:pPr>
            <w:r>
              <w:rPr>
                <w:rFonts w:hint="default" w:cs="Times New Roman"/>
                <w:b/>
                <w:bCs/>
                <w:highlight w:val="none"/>
              </w:rPr>
              <w:t>数量（台）</w:t>
            </w:r>
          </w:p>
        </w:tc>
        <w:tc>
          <w:tcPr>
            <w:tcW w:w="1083" w:type="dxa"/>
            <w:vMerge w:val="continue"/>
            <w:tcBorders>
              <w:tl2br w:val="nil"/>
              <w:tr2bl w:val="nil"/>
            </w:tcBorders>
            <w:vAlign w:val="center"/>
          </w:tcPr>
          <w:p w14:paraId="47047592">
            <w:pPr>
              <w:keepNext w:val="0"/>
              <w:keepLines w:val="0"/>
              <w:suppressLineNumbers w:val="0"/>
              <w:spacing w:before="0" w:beforeAutospacing="0" w:after="0" w:afterAutospacing="0"/>
              <w:ind w:left="0" w:right="0"/>
              <w:jc w:val="center"/>
              <w:rPr>
                <w:rFonts w:hint="default" w:cs="Times New Roman"/>
                <w:b/>
                <w:bCs/>
                <w:highlight w:val="none"/>
              </w:rPr>
            </w:pPr>
          </w:p>
        </w:tc>
      </w:tr>
      <w:tr w14:paraId="63C653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36" w:type="dxa"/>
            <w:tcBorders>
              <w:tl2br w:val="nil"/>
              <w:tr2bl w:val="nil"/>
            </w:tcBorders>
            <w:vAlign w:val="center"/>
          </w:tcPr>
          <w:p w14:paraId="33FA1AE6">
            <w:pPr>
              <w:keepNext w:val="0"/>
              <w:keepLines w:val="0"/>
              <w:widowControl/>
              <w:suppressLineNumbers w:val="0"/>
              <w:spacing w:before="0" w:beforeAutospacing="0" w:after="0" w:afterAutospacing="0"/>
              <w:ind w:left="0" w:right="0"/>
              <w:jc w:val="center"/>
              <w:rPr>
                <w:rFonts w:hint="default" w:cs="Times New Roman"/>
                <w:bCs/>
                <w:kern w:val="0"/>
                <w:highlight w:val="none"/>
              </w:rPr>
            </w:pPr>
            <w:r>
              <w:rPr>
                <w:rFonts w:hint="default" w:cs="Times New Roman"/>
                <w:bCs/>
                <w:kern w:val="0"/>
                <w:highlight w:val="none"/>
              </w:rPr>
              <w:t>20</w:t>
            </w:r>
          </w:p>
        </w:tc>
        <w:tc>
          <w:tcPr>
            <w:tcW w:w="983" w:type="dxa"/>
            <w:tcBorders>
              <w:tl2br w:val="nil"/>
              <w:tr2bl w:val="nil"/>
            </w:tcBorders>
            <w:vAlign w:val="center"/>
          </w:tcPr>
          <w:p w14:paraId="00A9E1F9">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锅炉房</w:t>
            </w:r>
          </w:p>
        </w:tc>
        <w:tc>
          <w:tcPr>
            <w:tcW w:w="1466" w:type="dxa"/>
            <w:tcBorders>
              <w:tl2br w:val="nil"/>
              <w:tr2bl w:val="nil"/>
            </w:tcBorders>
            <w:vAlign w:val="center"/>
          </w:tcPr>
          <w:p w14:paraId="68F62BC0">
            <w:pPr>
              <w:keepNext w:val="0"/>
              <w:keepLines w:val="0"/>
              <w:widowControl/>
              <w:suppressLineNumbers w:val="0"/>
              <w:spacing w:before="0" w:beforeAutospacing="0" w:after="0" w:afterAutospacing="0"/>
              <w:ind w:left="0" w:right="0"/>
              <w:jc w:val="center"/>
              <w:rPr>
                <w:rFonts w:hint="default" w:cs="Times New Roman"/>
                <w:kern w:val="0"/>
                <w:highlight w:val="none"/>
              </w:rPr>
            </w:pPr>
            <w:r>
              <w:rPr>
                <w:rFonts w:hint="default" w:cs="Times New Roman"/>
                <w:kern w:val="0"/>
                <w:highlight w:val="none"/>
              </w:rPr>
              <w:t>2t/h燃气锅炉</w:t>
            </w:r>
          </w:p>
        </w:tc>
        <w:tc>
          <w:tcPr>
            <w:tcW w:w="1186" w:type="dxa"/>
            <w:tcBorders>
              <w:tl2br w:val="nil"/>
              <w:tr2bl w:val="nil"/>
            </w:tcBorders>
            <w:vAlign w:val="center"/>
          </w:tcPr>
          <w:p w14:paraId="548755DF">
            <w:pPr>
              <w:keepNext w:val="0"/>
              <w:keepLines w:val="0"/>
              <w:widowControl/>
              <w:suppressLineNumbers w:val="0"/>
              <w:spacing w:before="0" w:beforeAutospacing="0" w:after="0" w:afterAutospacing="0"/>
              <w:ind w:left="0" w:right="0"/>
              <w:jc w:val="center"/>
              <w:rPr>
                <w:rFonts w:hint="default" w:cs="Times New Roman"/>
                <w:kern w:val="0"/>
                <w:highlight w:val="none"/>
              </w:rPr>
            </w:pPr>
            <w:r>
              <w:rPr>
                <w:rFonts w:hint="default" w:cs="Times New Roman"/>
                <w:kern w:val="0"/>
                <w:highlight w:val="none"/>
              </w:rPr>
              <w:t>/</w:t>
            </w:r>
          </w:p>
        </w:tc>
        <w:tc>
          <w:tcPr>
            <w:tcW w:w="1222" w:type="dxa"/>
            <w:tcBorders>
              <w:tl2br w:val="nil"/>
              <w:tr2bl w:val="nil"/>
            </w:tcBorders>
            <w:vAlign w:val="center"/>
          </w:tcPr>
          <w:p w14:paraId="6EF56B01">
            <w:pPr>
              <w:keepNext w:val="0"/>
              <w:keepLines w:val="0"/>
              <w:widowControl/>
              <w:suppressLineNumbers w:val="0"/>
              <w:spacing w:before="0" w:beforeAutospacing="0" w:after="0" w:afterAutospacing="0"/>
              <w:ind w:left="0" w:right="0"/>
              <w:jc w:val="center"/>
              <w:rPr>
                <w:rFonts w:hint="default" w:cs="Times New Roman"/>
                <w:kern w:val="0"/>
                <w:highlight w:val="none"/>
              </w:rPr>
            </w:pPr>
            <w:r>
              <w:rPr>
                <w:rFonts w:hint="default" w:cs="Times New Roman"/>
                <w:kern w:val="0"/>
                <w:highlight w:val="none"/>
              </w:rPr>
              <w:t>1</w:t>
            </w:r>
          </w:p>
        </w:tc>
        <w:tc>
          <w:tcPr>
            <w:tcW w:w="973" w:type="dxa"/>
            <w:tcBorders>
              <w:tl2br w:val="nil"/>
              <w:tr2bl w:val="nil"/>
            </w:tcBorders>
            <w:vAlign w:val="center"/>
          </w:tcPr>
          <w:p w14:paraId="51939859">
            <w:pPr>
              <w:keepNext w:val="0"/>
              <w:keepLines w:val="0"/>
              <w:widowControl/>
              <w:suppressLineNumbers w:val="0"/>
              <w:spacing w:before="0" w:beforeAutospacing="0" w:after="0" w:afterAutospacing="0"/>
              <w:ind w:left="0" w:right="0"/>
              <w:jc w:val="center"/>
              <w:rPr>
                <w:rFonts w:hint="default" w:cs="Times New Roman"/>
                <w:kern w:val="0"/>
                <w:highlight w:val="none"/>
              </w:rPr>
            </w:pPr>
            <w:r>
              <w:rPr>
                <w:rFonts w:hint="default" w:cs="Times New Roman"/>
                <w:kern w:val="0"/>
                <w:highlight w:val="none"/>
              </w:rPr>
              <w:t>/</w:t>
            </w:r>
          </w:p>
        </w:tc>
        <w:tc>
          <w:tcPr>
            <w:tcW w:w="973" w:type="dxa"/>
            <w:tcBorders>
              <w:tl2br w:val="nil"/>
              <w:tr2bl w:val="nil"/>
            </w:tcBorders>
            <w:vAlign w:val="center"/>
          </w:tcPr>
          <w:p w14:paraId="52F11EBD">
            <w:pPr>
              <w:keepNext w:val="0"/>
              <w:keepLines w:val="0"/>
              <w:suppressLineNumbers w:val="0"/>
              <w:spacing w:before="0" w:beforeAutospacing="0" w:after="0" w:afterAutospacing="0"/>
              <w:ind w:left="0" w:right="0"/>
              <w:jc w:val="center"/>
              <w:rPr>
                <w:rFonts w:hint="eastAsia" w:eastAsia="宋体" w:cs="Times New Roman"/>
                <w:highlight w:val="none"/>
                <w:lang w:eastAsia="zh-CN"/>
              </w:rPr>
            </w:pPr>
            <w:r>
              <w:rPr>
                <w:rFonts w:hint="eastAsia" w:cs="Times New Roman"/>
                <w:highlight w:val="none"/>
                <w:lang w:val="en-US" w:eastAsia="zh-CN"/>
              </w:rPr>
              <w:t>1</w:t>
            </w:r>
          </w:p>
        </w:tc>
        <w:tc>
          <w:tcPr>
            <w:tcW w:w="1083" w:type="dxa"/>
            <w:tcBorders>
              <w:tl2br w:val="nil"/>
              <w:tr2bl w:val="nil"/>
            </w:tcBorders>
            <w:vAlign w:val="center"/>
          </w:tcPr>
          <w:p w14:paraId="612684EF">
            <w:pPr>
              <w:keepNext w:val="0"/>
              <w:keepLines w:val="0"/>
              <w:suppressLineNumbers w:val="0"/>
              <w:spacing w:before="0" w:beforeAutospacing="0" w:after="0" w:afterAutospacing="0"/>
              <w:ind w:left="0" w:right="0"/>
              <w:jc w:val="center"/>
              <w:rPr>
                <w:rFonts w:hint="default" w:cs="Times New Roman"/>
                <w:highlight w:val="none"/>
              </w:rPr>
            </w:pPr>
            <w:r>
              <w:rPr>
                <w:rFonts w:hint="eastAsia" w:cs="Times New Roman"/>
                <w:highlight w:val="none"/>
                <w:lang w:val="en-US" w:eastAsia="zh-CN"/>
              </w:rPr>
              <w:t>一致</w:t>
            </w:r>
          </w:p>
        </w:tc>
      </w:tr>
      <w:bookmarkEnd w:id="15"/>
      <w:bookmarkEnd w:id="16"/>
    </w:tbl>
    <w:p w14:paraId="6537B818">
      <w:pPr>
        <w:pStyle w:val="3"/>
        <w:spacing w:before="0" w:after="0" w:line="520" w:lineRule="exact"/>
        <w:rPr>
          <w:highlight w:val="none"/>
        </w:rPr>
      </w:pPr>
      <w:bookmarkStart w:id="17" w:name="_Toc501703528"/>
      <w:bookmarkStart w:id="18" w:name="_Toc504492817"/>
      <w:r>
        <w:rPr>
          <w:highlight w:val="none"/>
        </w:rPr>
        <w:t>3.3 主要原辅材料及燃料</w:t>
      </w:r>
      <w:bookmarkEnd w:id="17"/>
      <w:bookmarkEnd w:id="18"/>
    </w:p>
    <w:p w14:paraId="076BACB4">
      <w:pPr>
        <w:spacing w:line="520" w:lineRule="exact"/>
        <w:ind w:firstLine="480" w:firstLineChars="200"/>
        <w:rPr>
          <w:rFonts w:cs="Times New Roman"/>
          <w:highlight w:val="none"/>
        </w:rPr>
      </w:pPr>
      <w:r>
        <w:rPr>
          <w:rFonts w:cs="Times New Roman"/>
          <w:sz w:val="24"/>
          <w:szCs w:val="24"/>
          <w:highlight w:val="none"/>
        </w:rPr>
        <w:t>本项目原辅材料消耗量见下表。</w:t>
      </w:r>
    </w:p>
    <w:p w14:paraId="7177F40C">
      <w:pPr>
        <w:spacing w:line="520" w:lineRule="exact"/>
        <w:ind w:firstLine="480" w:firstLineChars="200"/>
        <w:rPr>
          <w:rFonts w:cs="Times New Roman"/>
          <w:highlight w:val="none"/>
        </w:rPr>
      </w:pPr>
      <w:r>
        <w:rPr>
          <w:rFonts w:eastAsia="黑体" w:cs="Times New Roman"/>
          <w:sz w:val="24"/>
          <w:szCs w:val="24"/>
          <w:highlight w:val="none"/>
          <w:lang w:val="pt-BR"/>
        </w:rPr>
        <w:t>表3-4                本项目原辅材料及资源能源消耗量</w:t>
      </w:r>
    </w:p>
    <w:tbl>
      <w:tblPr>
        <w:tblStyle w:val="29"/>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1431"/>
        <w:gridCol w:w="1603"/>
        <w:gridCol w:w="1782"/>
        <w:gridCol w:w="1465"/>
        <w:gridCol w:w="1380"/>
      </w:tblGrid>
      <w:tr w14:paraId="12B0CF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503" w:type="pct"/>
            <w:tcBorders>
              <w:tl2br w:val="nil"/>
              <w:tr2bl w:val="nil"/>
            </w:tcBorders>
            <w:vAlign w:val="center"/>
          </w:tcPr>
          <w:p w14:paraId="5F8983E4">
            <w:pPr>
              <w:pStyle w:val="40"/>
              <w:keepNext w:val="0"/>
              <w:keepLines w:val="0"/>
              <w:suppressLineNumbers w:val="0"/>
              <w:spacing w:before="0" w:beforeAutospacing="0" w:after="0" w:afterAutospacing="0"/>
              <w:ind w:left="0" w:right="0"/>
              <w:rPr>
                <w:rFonts w:hint="default"/>
                <w:b/>
                <w:highlight w:val="none"/>
              </w:rPr>
            </w:pPr>
            <w:bookmarkStart w:id="19" w:name="_Toc504492818"/>
            <w:bookmarkStart w:id="20" w:name="_Toc501703529"/>
            <w:r>
              <w:rPr>
                <w:rFonts w:hint="default"/>
                <w:b/>
                <w:highlight w:val="none"/>
              </w:rPr>
              <w:t>序 号</w:t>
            </w:r>
          </w:p>
        </w:tc>
        <w:tc>
          <w:tcPr>
            <w:tcW w:w="839" w:type="pct"/>
            <w:tcBorders>
              <w:tl2br w:val="nil"/>
              <w:tr2bl w:val="nil"/>
            </w:tcBorders>
            <w:vAlign w:val="center"/>
          </w:tcPr>
          <w:p w14:paraId="20A5EDEB">
            <w:pPr>
              <w:pStyle w:val="40"/>
              <w:keepNext w:val="0"/>
              <w:keepLines w:val="0"/>
              <w:suppressLineNumbers w:val="0"/>
              <w:spacing w:before="0" w:beforeAutospacing="0" w:after="0" w:afterAutospacing="0"/>
              <w:ind w:left="0" w:right="0"/>
              <w:rPr>
                <w:rFonts w:hint="default"/>
                <w:b/>
                <w:highlight w:val="none"/>
              </w:rPr>
            </w:pPr>
            <w:r>
              <w:rPr>
                <w:rFonts w:hint="default"/>
                <w:b/>
                <w:highlight w:val="none"/>
              </w:rPr>
              <w:t>原辅料名称</w:t>
            </w:r>
          </w:p>
        </w:tc>
        <w:tc>
          <w:tcPr>
            <w:tcW w:w="940" w:type="pct"/>
            <w:tcBorders>
              <w:tl2br w:val="nil"/>
              <w:tr2bl w:val="nil"/>
            </w:tcBorders>
            <w:vAlign w:val="center"/>
          </w:tcPr>
          <w:p w14:paraId="2A938F11">
            <w:pPr>
              <w:pStyle w:val="40"/>
              <w:keepNext w:val="0"/>
              <w:keepLines w:val="0"/>
              <w:suppressLineNumbers w:val="0"/>
              <w:spacing w:before="0" w:beforeAutospacing="0" w:after="0" w:afterAutospacing="0"/>
              <w:ind w:left="0" w:right="0"/>
              <w:rPr>
                <w:rFonts w:hint="default"/>
                <w:b/>
                <w:highlight w:val="none"/>
              </w:rPr>
            </w:pPr>
            <w:r>
              <w:rPr>
                <w:rFonts w:hint="default"/>
                <w:b/>
                <w:highlight w:val="none"/>
              </w:rPr>
              <w:t>用途</w:t>
            </w:r>
          </w:p>
        </w:tc>
        <w:tc>
          <w:tcPr>
            <w:tcW w:w="1045" w:type="pct"/>
            <w:tcBorders>
              <w:tl2br w:val="nil"/>
              <w:tr2bl w:val="nil"/>
            </w:tcBorders>
            <w:vAlign w:val="center"/>
          </w:tcPr>
          <w:p w14:paraId="355FCA92">
            <w:pPr>
              <w:pStyle w:val="40"/>
              <w:keepNext w:val="0"/>
              <w:keepLines w:val="0"/>
              <w:suppressLineNumbers w:val="0"/>
              <w:spacing w:before="0" w:beforeAutospacing="0" w:after="0" w:afterAutospacing="0"/>
              <w:ind w:left="0" w:right="0"/>
              <w:rPr>
                <w:rFonts w:hint="default"/>
                <w:b/>
                <w:highlight w:val="none"/>
              </w:rPr>
            </w:pPr>
            <w:r>
              <w:rPr>
                <w:rFonts w:hint="default"/>
                <w:b/>
                <w:highlight w:val="none"/>
              </w:rPr>
              <w:t>环评批复</w:t>
            </w:r>
          </w:p>
        </w:tc>
        <w:tc>
          <w:tcPr>
            <w:tcW w:w="859" w:type="pct"/>
            <w:tcBorders>
              <w:tl2br w:val="nil"/>
              <w:tr2bl w:val="nil"/>
            </w:tcBorders>
            <w:vAlign w:val="center"/>
          </w:tcPr>
          <w:p w14:paraId="1182F78F">
            <w:pPr>
              <w:pStyle w:val="40"/>
              <w:keepNext w:val="0"/>
              <w:keepLines w:val="0"/>
              <w:suppressLineNumbers w:val="0"/>
              <w:spacing w:before="0" w:beforeAutospacing="0" w:after="0" w:afterAutospacing="0"/>
              <w:ind w:left="0" w:right="0"/>
              <w:rPr>
                <w:rFonts w:hint="default"/>
                <w:b/>
                <w:highlight w:val="none"/>
              </w:rPr>
            </w:pPr>
            <w:r>
              <w:rPr>
                <w:rFonts w:hint="default"/>
                <w:b/>
                <w:highlight w:val="none"/>
              </w:rPr>
              <w:t>实际建设</w:t>
            </w:r>
          </w:p>
        </w:tc>
        <w:tc>
          <w:tcPr>
            <w:tcW w:w="809" w:type="pct"/>
            <w:tcBorders>
              <w:tl2br w:val="nil"/>
              <w:tr2bl w:val="nil"/>
            </w:tcBorders>
            <w:vAlign w:val="center"/>
          </w:tcPr>
          <w:p w14:paraId="5915ECEF">
            <w:pPr>
              <w:pStyle w:val="40"/>
              <w:keepNext w:val="0"/>
              <w:keepLines w:val="0"/>
              <w:suppressLineNumbers w:val="0"/>
              <w:spacing w:before="0" w:beforeAutospacing="0" w:after="0" w:afterAutospacing="0"/>
              <w:ind w:left="0" w:right="0"/>
              <w:rPr>
                <w:rFonts w:hint="eastAsia" w:eastAsia="宋体"/>
                <w:b/>
                <w:highlight w:val="none"/>
                <w:lang w:eastAsia="zh-CN"/>
              </w:rPr>
            </w:pPr>
            <w:r>
              <w:rPr>
                <w:rFonts w:hint="eastAsia"/>
                <w:b/>
                <w:highlight w:val="none"/>
                <w:lang w:val="en-US" w:eastAsia="zh-CN"/>
              </w:rPr>
              <w:t>备注</w:t>
            </w:r>
          </w:p>
        </w:tc>
      </w:tr>
      <w:tr w14:paraId="317830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3" w:type="pct"/>
            <w:tcBorders>
              <w:tl2br w:val="nil"/>
              <w:tr2bl w:val="nil"/>
            </w:tcBorders>
            <w:vAlign w:val="center"/>
          </w:tcPr>
          <w:p w14:paraId="679C69F5">
            <w:pPr>
              <w:pStyle w:val="40"/>
              <w:keepNext w:val="0"/>
              <w:keepLines w:val="0"/>
              <w:suppressLineNumbers w:val="0"/>
              <w:spacing w:before="0" w:beforeAutospacing="0" w:after="0" w:afterAutospacing="0"/>
              <w:ind w:left="0" w:right="0"/>
              <w:rPr>
                <w:rFonts w:hint="default"/>
                <w:highlight w:val="none"/>
              </w:rPr>
            </w:pPr>
            <w:r>
              <w:rPr>
                <w:rFonts w:hint="default"/>
                <w:highlight w:val="none"/>
              </w:rPr>
              <w:t>1</w:t>
            </w:r>
          </w:p>
        </w:tc>
        <w:tc>
          <w:tcPr>
            <w:tcW w:w="839" w:type="pct"/>
            <w:tcBorders>
              <w:tl2br w:val="nil"/>
              <w:tr2bl w:val="nil"/>
            </w:tcBorders>
            <w:vAlign w:val="center"/>
          </w:tcPr>
          <w:p w14:paraId="3394A7FD">
            <w:pPr>
              <w:pStyle w:val="40"/>
              <w:keepNext w:val="0"/>
              <w:keepLines w:val="0"/>
              <w:suppressLineNumbers w:val="0"/>
              <w:spacing w:before="0" w:beforeAutospacing="0" w:after="0" w:afterAutospacing="0"/>
              <w:ind w:left="0" w:right="0"/>
              <w:rPr>
                <w:rFonts w:hint="eastAsia" w:eastAsia="宋体"/>
                <w:highlight w:val="none"/>
                <w:lang w:val="en-US" w:eastAsia="zh-CN"/>
              </w:rPr>
            </w:pPr>
            <w:r>
              <w:rPr>
                <w:rFonts w:hint="eastAsia"/>
                <w:highlight w:val="none"/>
                <w:lang w:val="en-US" w:eastAsia="zh-CN"/>
              </w:rPr>
              <w:t>天然气</w:t>
            </w:r>
          </w:p>
        </w:tc>
        <w:tc>
          <w:tcPr>
            <w:tcW w:w="940" w:type="pct"/>
            <w:tcBorders>
              <w:tl2br w:val="nil"/>
              <w:tr2bl w:val="nil"/>
            </w:tcBorders>
            <w:vAlign w:val="center"/>
          </w:tcPr>
          <w:p w14:paraId="78E90D34">
            <w:pPr>
              <w:keepNext w:val="0"/>
              <w:keepLines w:val="0"/>
              <w:suppressLineNumbers w:val="0"/>
              <w:autoSpaceDN w:val="0"/>
              <w:spacing w:before="0" w:beforeAutospacing="0" w:after="0" w:afterAutospacing="0"/>
              <w:ind w:left="0" w:right="0"/>
              <w:jc w:val="center"/>
              <w:textAlignment w:val="center"/>
              <w:rPr>
                <w:rFonts w:hint="default" w:eastAsia="宋体" w:cs="Times New Roman"/>
                <w:highlight w:val="none"/>
                <w:lang w:val="en-US" w:eastAsia="zh-CN"/>
              </w:rPr>
            </w:pPr>
            <w:r>
              <w:rPr>
                <w:rFonts w:hint="eastAsia" w:cs="Times New Roman"/>
                <w:highlight w:val="none"/>
                <w:lang w:val="en-US" w:eastAsia="zh-CN"/>
              </w:rPr>
              <w:t>燃气锅炉</w:t>
            </w:r>
          </w:p>
        </w:tc>
        <w:tc>
          <w:tcPr>
            <w:tcW w:w="1045" w:type="pct"/>
            <w:tcBorders>
              <w:tl2br w:val="nil"/>
              <w:tr2bl w:val="nil"/>
            </w:tcBorders>
            <w:vAlign w:val="center"/>
          </w:tcPr>
          <w:p w14:paraId="7E8390FA">
            <w:pPr>
              <w:keepNext w:val="0"/>
              <w:keepLines w:val="0"/>
              <w:suppressLineNumbers w:val="0"/>
              <w:autoSpaceDN w:val="0"/>
              <w:spacing w:before="0" w:beforeAutospacing="0" w:after="0" w:afterAutospacing="0"/>
              <w:ind w:left="0" w:right="0"/>
              <w:jc w:val="center"/>
              <w:textAlignment w:val="center"/>
              <w:rPr>
                <w:rFonts w:hint="default" w:eastAsia="宋体" w:cs="Times New Roman"/>
                <w:highlight w:val="none"/>
                <w:lang w:val="en-US" w:eastAsia="zh-CN"/>
              </w:rPr>
            </w:pPr>
            <w:r>
              <w:rPr>
                <w:rFonts w:hint="eastAsia" w:cs="Times New Roman"/>
                <w:highlight w:val="none"/>
                <w:lang w:val="en-US" w:eastAsia="zh-CN"/>
              </w:rPr>
              <w:t>55.8万m</w:t>
            </w:r>
            <w:r>
              <w:rPr>
                <w:rFonts w:hint="eastAsia" w:cs="Times New Roman"/>
                <w:highlight w:val="none"/>
                <w:vertAlign w:val="superscript"/>
                <w:lang w:val="en-US" w:eastAsia="zh-CN"/>
              </w:rPr>
              <w:t>3</w:t>
            </w:r>
            <w:r>
              <w:rPr>
                <w:rFonts w:hint="eastAsia" w:cs="Times New Roman"/>
                <w:highlight w:val="none"/>
                <w:lang w:val="en-US" w:eastAsia="zh-CN"/>
              </w:rPr>
              <w:t>/a</w:t>
            </w:r>
          </w:p>
        </w:tc>
        <w:tc>
          <w:tcPr>
            <w:tcW w:w="859" w:type="pct"/>
            <w:tcBorders>
              <w:tl2br w:val="nil"/>
              <w:tr2bl w:val="nil"/>
            </w:tcBorders>
            <w:vAlign w:val="center"/>
          </w:tcPr>
          <w:p w14:paraId="756D199A">
            <w:pPr>
              <w:keepNext w:val="0"/>
              <w:keepLines w:val="0"/>
              <w:suppressLineNumbers w:val="0"/>
              <w:autoSpaceDN w:val="0"/>
              <w:spacing w:before="0" w:beforeAutospacing="0" w:after="0" w:afterAutospacing="0"/>
              <w:ind w:left="0" w:right="0"/>
              <w:jc w:val="center"/>
              <w:textAlignment w:val="center"/>
              <w:rPr>
                <w:rFonts w:hint="default" w:cs="Times New Roman"/>
                <w:highlight w:val="none"/>
              </w:rPr>
            </w:pPr>
            <w:r>
              <w:rPr>
                <w:rFonts w:hint="eastAsia" w:cs="Times New Roman"/>
                <w:highlight w:val="none"/>
                <w:lang w:val="en-US" w:eastAsia="zh-CN"/>
              </w:rPr>
              <w:t>55.8万m</w:t>
            </w:r>
            <w:r>
              <w:rPr>
                <w:rFonts w:hint="eastAsia" w:cs="Times New Roman"/>
                <w:highlight w:val="none"/>
                <w:vertAlign w:val="superscript"/>
                <w:lang w:val="en-US" w:eastAsia="zh-CN"/>
              </w:rPr>
              <w:t>3</w:t>
            </w:r>
            <w:r>
              <w:rPr>
                <w:rFonts w:hint="eastAsia" w:cs="Times New Roman"/>
                <w:highlight w:val="none"/>
                <w:lang w:val="en-US" w:eastAsia="zh-CN"/>
              </w:rPr>
              <w:t>/a</w:t>
            </w:r>
          </w:p>
        </w:tc>
        <w:tc>
          <w:tcPr>
            <w:tcW w:w="809" w:type="pct"/>
            <w:tcBorders>
              <w:tl2br w:val="nil"/>
              <w:tr2bl w:val="nil"/>
            </w:tcBorders>
            <w:vAlign w:val="center"/>
          </w:tcPr>
          <w:p w14:paraId="067BA3A0">
            <w:pPr>
              <w:keepNext w:val="0"/>
              <w:keepLines w:val="0"/>
              <w:suppressLineNumbers w:val="0"/>
              <w:autoSpaceDN w:val="0"/>
              <w:spacing w:before="0" w:beforeAutospacing="0" w:after="0" w:afterAutospacing="0"/>
              <w:ind w:left="0" w:right="0"/>
              <w:jc w:val="center"/>
              <w:textAlignment w:val="center"/>
              <w:rPr>
                <w:rFonts w:hint="eastAsia" w:eastAsia="宋体" w:cs="Times New Roman"/>
                <w:highlight w:val="none"/>
                <w:lang w:val="en-US" w:eastAsia="zh-CN"/>
              </w:rPr>
            </w:pPr>
            <w:r>
              <w:rPr>
                <w:rFonts w:hint="eastAsia" w:cs="Times New Roman"/>
                <w:highlight w:val="none"/>
                <w:lang w:val="en-US" w:eastAsia="zh-CN"/>
              </w:rPr>
              <w:t>一致</w:t>
            </w:r>
          </w:p>
        </w:tc>
      </w:tr>
      <w:bookmarkEnd w:id="19"/>
      <w:bookmarkEnd w:id="20"/>
    </w:tbl>
    <w:p w14:paraId="78E007AF">
      <w:pPr>
        <w:pStyle w:val="3"/>
        <w:spacing w:line="500" w:lineRule="exact"/>
        <w:rPr>
          <w:highlight w:val="none"/>
        </w:rPr>
      </w:pPr>
      <w:r>
        <w:rPr>
          <w:highlight w:val="none"/>
        </w:rPr>
        <w:t>3.5 生产工艺</w:t>
      </w:r>
    </w:p>
    <w:p w14:paraId="7B74DF3D">
      <w:pPr>
        <w:spacing w:line="520" w:lineRule="exact"/>
        <w:rPr>
          <w:rFonts w:hint="eastAsia" w:eastAsia="宋体" w:cs="Times New Roman"/>
          <w:sz w:val="24"/>
          <w:highlight w:val="none"/>
          <w:lang w:eastAsia="zh-CN"/>
        </w:rPr>
      </w:pPr>
      <w:r>
        <w:rPr>
          <w:rFonts w:cs="Times New Roman"/>
          <w:sz w:val="24"/>
          <w:highlight w:val="none"/>
        </w:rPr>
        <w:t xml:space="preserve"> </w:t>
      </w:r>
      <w:r>
        <w:rPr>
          <w:rFonts w:hint="eastAsia" w:cs="Times New Roman"/>
          <w:sz w:val="24"/>
          <w:highlight w:val="none"/>
          <w:lang w:val="en-US" w:eastAsia="zh-CN"/>
        </w:rPr>
        <w:t>本期验收不涉及产品生产线，仅对燃气锅炉进行验收，锅炉</w:t>
      </w:r>
      <w:r>
        <w:rPr>
          <w:rFonts w:cs="Times New Roman"/>
          <w:sz w:val="24"/>
          <w:highlight w:val="none"/>
        </w:rPr>
        <w:t>实际建设</w:t>
      </w:r>
      <w:r>
        <w:rPr>
          <w:rFonts w:cs="Times New Roman"/>
          <w:sz w:val="24"/>
          <w:szCs w:val="24"/>
          <w:highlight w:val="none"/>
        </w:rPr>
        <w:t>情况</w:t>
      </w:r>
      <w:r>
        <w:rPr>
          <w:rFonts w:cs="Times New Roman"/>
          <w:sz w:val="24"/>
          <w:highlight w:val="none"/>
        </w:rPr>
        <w:t>与环评及批复一致</w:t>
      </w:r>
      <w:r>
        <w:rPr>
          <w:rFonts w:hint="eastAsia" w:cs="Times New Roman"/>
          <w:sz w:val="24"/>
          <w:highlight w:val="none"/>
          <w:lang w:eastAsia="zh-CN"/>
        </w:rPr>
        <w:t>。</w:t>
      </w:r>
    </w:p>
    <w:p w14:paraId="3057A44C">
      <w:pPr>
        <w:pStyle w:val="3"/>
        <w:spacing w:before="0" w:after="0" w:line="520" w:lineRule="exact"/>
        <w:rPr>
          <w:highlight w:val="none"/>
        </w:rPr>
      </w:pPr>
      <w:r>
        <w:rPr>
          <w:highlight w:val="none"/>
        </w:rPr>
        <w:t>3.</w:t>
      </w:r>
      <w:bookmarkStart w:id="21" w:name="_Toc504492821"/>
      <w:bookmarkStart w:id="22" w:name="_Toc501703530"/>
      <w:r>
        <w:rPr>
          <w:rFonts w:hint="eastAsia"/>
          <w:highlight w:val="none"/>
          <w:lang w:val="en-US" w:eastAsia="zh-CN"/>
        </w:rPr>
        <w:t>6</w:t>
      </w:r>
      <w:r>
        <w:rPr>
          <w:highlight w:val="none"/>
        </w:rPr>
        <w:t>产污环节</w:t>
      </w:r>
      <w:bookmarkEnd w:id="21"/>
      <w:bookmarkEnd w:id="22"/>
    </w:p>
    <w:p w14:paraId="199C3F79">
      <w:pPr>
        <w:pStyle w:val="59"/>
        <w:spacing w:line="520" w:lineRule="exact"/>
        <w:ind w:firstLine="480"/>
        <w:rPr>
          <w:szCs w:val="24"/>
          <w:highlight w:val="none"/>
        </w:rPr>
      </w:pPr>
      <w:r>
        <w:rPr>
          <w:szCs w:val="24"/>
          <w:highlight w:val="none"/>
        </w:rPr>
        <w:t>项目产污环节见下表。</w:t>
      </w:r>
    </w:p>
    <w:p w14:paraId="005016A1">
      <w:pPr>
        <w:pStyle w:val="37"/>
        <w:spacing w:line="520" w:lineRule="exact"/>
        <w:ind w:firstLine="480"/>
        <w:rPr>
          <w:spacing w:val="0"/>
          <w:position w:val="0"/>
          <w:highlight w:val="none"/>
          <w:lang w:val="pt-BR"/>
        </w:rPr>
      </w:pPr>
      <w:r>
        <w:rPr>
          <w:spacing w:val="0"/>
          <w:position w:val="0"/>
          <w:highlight w:val="none"/>
          <w:lang w:val="pt-BR"/>
        </w:rPr>
        <w:t xml:space="preserve">表3-5               </w:t>
      </w:r>
      <w:r>
        <w:rPr>
          <w:rFonts w:hint="eastAsia"/>
          <w:spacing w:val="0"/>
          <w:position w:val="0"/>
          <w:highlight w:val="none"/>
          <w:lang w:val="en-US" w:eastAsia="zh-CN"/>
        </w:rPr>
        <w:t xml:space="preserve"> </w:t>
      </w:r>
      <w:r>
        <w:rPr>
          <w:spacing w:val="0"/>
          <w:position w:val="0"/>
          <w:highlight w:val="none"/>
          <w:lang w:val="pt-BR"/>
        </w:rPr>
        <w:t xml:space="preserve">  产污环节一览表</w:t>
      </w:r>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5"/>
        <w:gridCol w:w="2475"/>
        <w:gridCol w:w="2130"/>
        <w:gridCol w:w="2952"/>
      </w:tblGrid>
      <w:tr w14:paraId="6B6E7A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5" w:type="dxa"/>
            <w:tcBorders>
              <w:tl2br w:val="nil"/>
              <w:tr2bl w:val="nil"/>
            </w:tcBorders>
            <w:vAlign w:val="center"/>
          </w:tcPr>
          <w:p w14:paraId="1830A6FC">
            <w:pPr>
              <w:pStyle w:val="80"/>
              <w:keepNext w:val="0"/>
              <w:keepLines w:val="0"/>
              <w:suppressLineNumbers w:val="0"/>
              <w:snapToGrid w:val="0"/>
              <w:spacing w:before="0" w:beforeAutospacing="0" w:after="0" w:afterAutospacing="0"/>
              <w:ind w:left="0" w:right="0"/>
              <w:rPr>
                <w:rFonts w:hint="default"/>
                <w:b/>
                <w:szCs w:val="21"/>
                <w:highlight w:val="none"/>
              </w:rPr>
            </w:pPr>
            <w:bookmarkStart w:id="23" w:name="_Toc504492824"/>
            <w:r>
              <w:rPr>
                <w:rFonts w:hint="default"/>
                <w:b/>
                <w:szCs w:val="21"/>
                <w:highlight w:val="none"/>
              </w:rPr>
              <w:t>污染</w:t>
            </w:r>
          </w:p>
          <w:p w14:paraId="33BCDD19">
            <w:pPr>
              <w:pStyle w:val="80"/>
              <w:keepNext w:val="0"/>
              <w:keepLines w:val="0"/>
              <w:suppressLineNumbers w:val="0"/>
              <w:snapToGrid w:val="0"/>
              <w:spacing w:before="0" w:beforeAutospacing="0" w:after="0" w:afterAutospacing="0"/>
              <w:ind w:left="0" w:right="0"/>
              <w:rPr>
                <w:rFonts w:hint="default"/>
                <w:b/>
                <w:szCs w:val="21"/>
                <w:highlight w:val="none"/>
              </w:rPr>
            </w:pPr>
            <w:r>
              <w:rPr>
                <w:rFonts w:hint="default"/>
                <w:b/>
                <w:szCs w:val="21"/>
                <w:highlight w:val="none"/>
              </w:rPr>
              <w:t>因素</w:t>
            </w:r>
          </w:p>
        </w:tc>
        <w:tc>
          <w:tcPr>
            <w:tcW w:w="2475" w:type="dxa"/>
            <w:tcBorders>
              <w:tl2br w:val="nil"/>
              <w:tr2bl w:val="nil"/>
            </w:tcBorders>
            <w:vAlign w:val="center"/>
          </w:tcPr>
          <w:p w14:paraId="1AF3A70C">
            <w:pPr>
              <w:pStyle w:val="80"/>
              <w:keepNext w:val="0"/>
              <w:keepLines w:val="0"/>
              <w:suppressLineNumbers w:val="0"/>
              <w:snapToGrid w:val="0"/>
              <w:spacing w:before="0" w:beforeAutospacing="0" w:after="0" w:afterAutospacing="0"/>
              <w:ind w:left="0" w:right="0"/>
              <w:rPr>
                <w:rFonts w:hint="default"/>
                <w:b/>
                <w:szCs w:val="21"/>
                <w:highlight w:val="none"/>
              </w:rPr>
            </w:pPr>
            <w:r>
              <w:rPr>
                <w:rFonts w:hint="default"/>
                <w:b/>
                <w:szCs w:val="21"/>
                <w:highlight w:val="none"/>
              </w:rPr>
              <w:t>产污环节</w:t>
            </w:r>
          </w:p>
        </w:tc>
        <w:tc>
          <w:tcPr>
            <w:tcW w:w="2130" w:type="dxa"/>
            <w:tcBorders>
              <w:tl2br w:val="nil"/>
              <w:tr2bl w:val="nil"/>
            </w:tcBorders>
            <w:vAlign w:val="center"/>
          </w:tcPr>
          <w:p w14:paraId="3BD91434">
            <w:pPr>
              <w:pStyle w:val="80"/>
              <w:keepNext w:val="0"/>
              <w:keepLines w:val="0"/>
              <w:suppressLineNumbers w:val="0"/>
              <w:snapToGrid w:val="0"/>
              <w:spacing w:before="0" w:beforeAutospacing="0" w:after="0" w:afterAutospacing="0"/>
              <w:ind w:left="0" w:right="0"/>
              <w:rPr>
                <w:rFonts w:hint="default"/>
                <w:b/>
                <w:szCs w:val="21"/>
                <w:highlight w:val="none"/>
              </w:rPr>
            </w:pPr>
            <w:r>
              <w:rPr>
                <w:rFonts w:hint="default"/>
                <w:b/>
                <w:szCs w:val="21"/>
                <w:highlight w:val="none"/>
              </w:rPr>
              <w:t>污染物</w:t>
            </w:r>
          </w:p>
        </w:tc>
        <w:tc>
          <w:tcPr>
            <w:tcW w:w="2952" w:type="dxa"/>
            <w:tcBorders>
              <w:tl2br w:val="nil"/>
              <w:tr2bl w:val="nil"/>
            </w:tcBorders>
            <w:vAlign w:val="center"/>
          </w:tcPr>
          <w:p w14:paraId="6762C3F2">
            <w:pPr>
              <w:pStyle w:val="80"/>
              <w:keepNext w:val="0"/>
              <w:keepLines w:val="0"/>
              <w:suppressLineNumbers w:val="0"/>
              <w:snapToGrid w:val="0"/>
              <w:spacing w:before="0" w:beforeAutospacing="0" w:after="0" w:afterAutospacing="0"/>
              <w:ind w:left="0" w:right="0"/>
              <w:rPr>
                <w:rFonts w:hint="default"/>
                <w:b/>
                <w:szCs w:val="21"/>
                <w:highlight w:val="none"/>
              </w:rPr>
            </w:pPr>
            <w:r>
              <w:rPr>
                <w:rFonts w:hint="default"/>
                <w:b/>
                <w:szCs w:val="21"/>
                <w:highlight w:val="none"/>
              </w:rPr>
              <w:t>治理措施</w:t>
            </w:r>
          </w:p>
        </w:tc>
      </w:tr>
      <w:tr w14:paraId="348CC9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5" w:type="dxa"/>
            <w:tcBorders>
              <w:tl2br w:val="nil"/>
              <w:tr2bl w:val="nil"/>
            </w:tcBorders>
            <w:vAlign w:val="center"/>
          </w:tcPr>
          <w:p w14:paraId="6C23874F">
            <w:pPr>
              <w:pStyle w:val="80"/>
              <w:keepNext w:val="0"/>
              <w:keepLines w:val="0"/>
              <w:suppressLineNumbers w:val="0"/>
              <w:snapToGrid w:val="0"/>
              <w:spacing w:before="0" w:beforeAutospacing="0" w:after="0" w:afterAutospacing="0"/>
              <w:ind w:left="0" w:right="0"/>
              <w:rPr>
                <w:rFonts w:hint="default"/>
                <w:szCs w:val="21"/>
                <w:highlight w:val="none"/>
              </w:rPr>
            </w:pPr>
            <w:r>
              <w:rPr>
                <w:rFonts w:hint="default"/>
                <w:szCs w:val="21"/>
                <w:highlight w:val="none"/>
              </w:rPr>
              <w:t>废气</w:t>
            </w:r>
          </w:p>
        </w:tc>
        <w:tc>
          <w:tcPr>
            <w:tcW w:w="2475" w:type="dxa"/>
            <w:tcBorders>
              <w:tl2br w:val="nil"/>
              <w:tr2bl w:val="nil"/>
            </w:tcBorders>
            <w:vAlign w:val="center"/>
          </w:tcPr>
          <w:p w14:paraId="334AEDB6">
            <w:pPr>
              <w:pStyle w:val="80"/>
              <w:keepNext w:val="0"/>
              <w:keepLines w:val="0"/>
              <w:suppressLineNumbers w:val="0"/>
              <w:spacing w:before="0" w:beforeAutospacing="0" w:after="0" w:afterAutospacing="0"/>
              <w:ind w:left="0" w:right="0"/>
              <w:rPr>
                <w:rFonts w:hint="default" w:eastAsia="宋体"/>
                <w:szCs w:val="21"/>
                <w:highlight w:val="none"/>
                <w:lang w:val="en-US" w:eastAsia="zh-CN"/>
              </w:rPr>
            </w:pPr>
            <w:r>
              <w:rPr>
                <w:rFonts w:hint="eastAsia"/>
                <w:szCs w:val="21"/>
                <w:highlight w:val="none"/>
                <w:lang w:val="en-US" w:eastAsia="zh-CN"/>
              </w:rPr>
              <w:t>燃气锅炉</w:t>
            </w:r>
          </w:p>
        </w:tc>
        <w:tc>
          <w:tcPr>
            <w:tcW w:w="2130" w:type="dxa"/>
            <w:tcBorders>
              <w:tl2br w:val="nil"/>
              <w:tr2bl w:val="nil"/>
            </w:tcBorders>
            <w:vAlign w:val="center"/>
          </w:tcPr>
          <w:p w14:paraId="27464093">
            <w:pPr>
              <w:pStyle w:val="80"/>
              <w:keepNext w:val="0"/>
              <w:keepLines w:val="0"/>
              <w:suppressLineNumbers w:val="0"/>
              <w:spacing w:before="0" w:beforeAutospacing="0" w:after="0" w:afterAutospacing="0"/>
              <w:ind w:left="0" w:right="0"/>
              <w:rPr>
                <w:rFonts w:hint="default" w:eastAsia="宋体"/>
                <w:szCs w:val="21"/>
                <w:highlight w:val="none"/>
                <w:lang w:val="en-US" w:eastAsia="zh-CN"/>
              </w:rPr>
            </w:pPr>
            <w:r>
              <w:rPr>
                <w:rFonts w:hint="eastAsia"/>
                <w:szCs w:val="21"/>
                <w:highlight w:val="none"/>
                <w:lang w:val="en-US" w:eastAsia="zh-CN"/>
              </w:rPr>
              <w:t>颗粒物、SO</w:t>
            </w:r>
            <w:r>
              <w:rPr>
                <w:rFonts w:hint="eastAsia"/>
                <w:szCs w:val="21"/>
                <w:highlight w:val="none"/>
                <w:vertAlign w:val="subscript"/>
                <w:lang w:val="en-US" w:eastAsia="zh-CN"/>
              </w:rPr>
              <w:t>2</w:t>
            </w:r>
            <w:r>
              <w:rPr>
                <w:rFonts w:hint="eastAsia"/>
                <w:szCs w:val="21"/>
                <w:highlight w:val="none"/>
                <w:lang w:val="en-US" w:eastAsia="zh-CN"/>
              </w:rPr>
              <w:t>、NO</w:t>
            </w:r>
            <w:r>
              <w:rPr>
                <w:rFonts w:hint="eastAsia"/>
                <w:szCs w:val="21"/>
                <w:highlight w:val="none"/>
                <w:vertAlign w:val="subscript"/>
                <w:lang w:val="en-US" w:eastAsia="zh-CN"/>
              </w:rPr>
              <w:t>X</w:t>
            </w:r>
          </w:p>
        </w:tc>
        <w:tc>
          <w:tcPr>
            <w:tcW w:w="2952" w:type="dxa"/>
            <w:tcBorders>
              <w:tl2br w:val="nil"/>
              <w:tr2bl w:val="nil"/>
            </w:tcBorders>
            <w:vAlign w:val="center"/>
          </w:tcPr>
          <w:p w14:paraId="075B5445">
            <w:pPr>
              <w:pStyle w:val="80"/>
              <w:keepNext w:val="0"/>
              <w:keepLines w:val="0"/>
              <w:suppressLineNumbers w:val="0"/>
              <w:snapToGrid w:val="0"/>
              <w:spacing w:before="0" w:beforeAutospacing="0" w:after="0" w:afterAutospacing="0"/>
              <w:ind w:left="0" w:right="0"/>
              <w:rPr>
                <w:rFonts w:hint="default"/>
                <w:szCs w:val="21"/>
                <w:highlight w:val="none"/>
              </w:rPr>
            </w:pPr>
            <w:r>
              <w:rPr>
                <w:rFonts w:hint="eastAsia"/>
                <w:szCs w:val="21"/>
                <w:highlight w:val="none"/>
                <w:lang w:val="en-US" w:eastAsia="zh-CN"/>
              </w:rPr>
              <w:t>采取低氮燃烧技术后尾气由</w:t>
            </w:r>
            <w:r>
              <w:rPr>
                <w:rFonts w:hint="default"/>
                <w:szCs w:val="21"/>
                <w:highlight w:val="none"/>
              </w:rPr>
              <w:t>一根15m高排气筒排放</w:t>
            </w:r>
          </w:p>
        </w:tc>
      </w:tr>
    </w:tbl>
    <w:p w14:paraId="47CEE795">
      <w:pPr>
        <w:pStyle w:val="26"/>
        <w:spacing w:line="460" w:lineRule="exact"/>
        <w:rPr>
          <w:highlight w:val="none"/>
        </w:rPr>
      </w:pPr>
      <w:r>
        <w:rPr>
          <w:highlight w:val="none"/>
        </w:rPr>
        <w:t>4、环境保护设施</w:t>
      </w:r>
      <w:bookmarkEnd w:id="23"/>
    </w:p>
    <w:p w14:paraId="41A2DBEE">
      <w:pPr>
        <w:pStyle w:val="3"/>
        <w:spacing w:line="460" w:lineRule="exact"/>
        <w:rPr>
          <w:highlight w:val="none"/>
        </w:rPr>
      </w:pPr>
      <w:bookmarkStart w:id="24" w:name="_Toc501703532"/>
      <w:bookmarkStart w:id="25" w:name="_Toc504492825"/>
      <w:r>
        <w:rPr>
          <w:highlight w:val="none"/>
        </w:rPr>
        <w:t>4.1 污染物治理/处置设施</w:t>
      </w:r>
      <w:bookmarkEnd w:id="24"/>
      <w:bookmarkEnd w:id="25"/>
    </w:p>
    <w:p w14:paraId="0CCB7BC7">
      <w:pPr>
        <w:pStyle w:val="4"/>
        <w:spacing w:line="460" w:lineRule="exact"/>
        <w:rPr>
          <w:rFonts w:cs="Times New Roman"/>
          <w:highlight w:val="none"/>
        </w:rPr>
      </w:pPr>
      <w:bookmarkStart w:id="26" w:name="_Toc504492826"/>
      <w:bookmarkStart w:id="27" w:name="_Toc501703533"/>
      <w:r>
        <w:rPr>
          <w:rFonts w:cs="Times New Roman"/>
          <w:highlight w:val="none"/>
        </w:rPr>
        <w:t>4.1.1废水</w:t>
      </w:r>
      <w:bookmarkEnd w:id="26"/>
      <w:bookmarkEnd w:id="27"/>
    </w:p>
    <w:p w14:paraId="21CEC4AC">
      <w:pPr>
        <w:pStyle w:val="59"/>
        <w:spacing w:line="460" w:lineRule="exact"/>
        <w:ind w:firstLine="480"/>
        <w:rPr>
          <w:rFonts w:hint="default"/>
          <w:highlight w:val="none"/>
          <w:lang w:val="en-US" w:eastAsia="zh-CN"/>
        </w:rPr>
      </w:pPr>
      <w:r>
        <w:rPr>
          <w:rFonts w:hint="eastAsia"/>
          <w:highlight w:val="none"/>
          <w:lang w:val="en-US" w:eastAsia="zh-CN"/>
        </w:rPr>
        <w:t>本期验收不涉及废水。</w:t>
      </w:r>
    </w:p>
    <w:p w14:paraId="219863EC">
      <w:pPr>
        <w:pStyle w:val="4"/>
        <w:spacing w:line="520" w:lineRule="exact"/>
        <w:rPr>
          <w:rFonts w:cs="Times New Roman"/>
          <w:highlight w:val="none"/>
        </w:rPr>
      </w:pPr>
      <w:bookmarkStart w:id="28" w:name="_Toc504492827"/>
      <w:bookmarkStart w:id="29" w:name="_Toc501703534"/>
      <w:r>
        <w:rPr>
          <w:rFonts w:cs="Times New Roman"/>
          <w:highlight w:val="none"/>
        </w:rPr>
        <w:t>4.1.2废气</w:t>
      </w:r>
      <w:bookmarkEnd w:id="28"/>
      <w:bookmarkEnd w:id="29"/>
    </w:p>
    <w:p w14:paraId="3997C963">
      <w:pPr>
        <w:pStyle w:val="59"/>
        <w:spacing w:line="520" w:lineRule="exact"/>
        <w:ind w:firstLine="480"/>
        <w:rPr>
          <w:szCs w:val="24"/>
          <w:highlight w:val="none"/>
        </w:rPr>
      </w:pPr>
      <w:r>
        <w:rPr>
          <w:szCs w:val="24"/>
          <w:highlight w:val="none"/>
        </w:rPr>
        <w:t>项目</w:t>
      </w:r>
      <w:r>
        <w:rPr>
          <w:rFonts w:hint="eastAsia"/>
          <w:szCs w:val="24"/>
          <w:highlight w:val="none"/>
          <w:lang w:val="en-US" w:eastAsia="zh-CN"/>
        </w:rPr>
        <w:t>燃气锅炉采取低氮燃烧技术后，尾气经1根</w:t>
      </w:r>
      <w:r>
        <w:rPr>
          <w:szCs w:val="24"/>
          <w:highlight w:val="none"/>
        </w:rPr>
        <w:t>15m高排气筒达标排放。</w:t>
      </w:r>
    </w:p>
    <w:p w14:paraId="696F10D2">
      <w:pPr>
        <w:pStyle w:val="4"/>
        <w:spacing w:before="0" w:after="0" w:line="520" w:lineRule="exact"/>
        <w:rPr>
          <w:rFonts w:cs="Times New Roman"/>
          <w:highlight w:val="none"/>
        </w:rPr>
      </w:pPr>
      <w:bookmarkStart w:id="30" w:name="_Toc504492828"/>
      <w:bookmarkStart w:id="31" w:name="_Toc501703535"/>
      <w:r>
        <w:rPr>
          <w:rFonts w:cs="Times New Roman"/>
          <w:highlight w:val="none"/>
        </w:rPr>
        <w:t>4.1.3噪声</w:t>
      </w:r>
      <w:bookmarkEnd w:id="30"/>
      <w:bookmarkEnd w:id="31"/>
    </w:p>
    <w:p w14:paraId="73CF7125">
      <w:pPr>
        <w:pStyle w:val="59"/>
        <w:spacing w:line="520" w:lineRule="exact"/>
        <w:ind w:firstLine="480"/>
        <w:rPr>
          <w:szCs w:val="24"/>
          <w:highlight w:val="none"/>
        </w:rPr>
      </w:pPr>
      <w:r>
        <w:rPr>
          <w:highlight w:val="none"/>
        </w:rPr>
        <w:t>工程主要噪声源为</w:t>
      </w:r>
      <w:r>
        <w:rPr>
          <w:rFonts w:hint="eastAsia"/>
          <w:highlight w:val="none"/>
          <w:lang w:val="en-US" w:eastAsia="zh-CN"/>
        </w:rPr>
        <w:t>燃气锅炉</w:t>
      </w:r>
      <w:r>
        <w:rPr>
          <w:rFonts w:hint="eastAsia"/>
          <w:szCs w:val="24"/>
          <w:highlight w:val="none"/>
          <w:lang w:val="en-US" w:eastAsia="zh-CN"/>
        </w:rPr>
        <w:t>运行产生的</w:t>
      </w:r>
      <w:r>
        <w:rPr>
          <w:szCs w:val="24"/>
          <w:highlight w:val="none"/>
        </w:rPr>
        <w:t>噪声。</w:t>
      </w:r>
      <w:r>
        <w:rPr>
          <w:highlight w:val="none"/>
        </w:rPr>
        <w:t>工程对高噪声设备采取减振、隔音及距离衰减等降噪措施。</w:t>
      </w:r>
      <w:r>
        <w:rPr>
          <w:bCs/>
          <w:highlight w:val="none"/>
        </w:rPr>
        <w:t>可以满足《工业企业厂界环境噪声排放标准》（GB12348-2008）2类标准。</w:t>
      </w:r>
    </w:p>
    <w:p w14:paraId="2629C199">
      <w:pPr>
        <w:pStyle w:val="4"/>
        <w:spacing w:before="0" w:after="0" w:line="520" w:lineRule="exact"/>
        <w:rPr>
          <w:rFonts w:cs="Times New Roman"/>
          <w:highlight w:val="none"/>
        </w:rPr>
      </w:pPr>
      <w:bookmarkStart w:id="32" w:name="_Toc501703536"/>
      <w:bookmarkStart w:id="33" w:name="_Toc504492829"/>
      <w:r>
        <w:rPr>
          <w:rFonts w:cs="Times New Roman"/>
          <w:highlight w:val="none"/>
        </w:rPr>
        <w:t>4.1.4固废</w:t>
      </w:r>
      <w:bookmarkEnd w:id="32"/>
      <w:bookmarkEnd w:id="33"/>
    </w:p>
    <w:p w14:paraId="2B0E48D3">
      <w:pPr>
        <w:spacing w:line="520" w:lineRule="exact"/>
        <w:ind w:firstLine="480" w:firstLineChars="200"/>
        <w:rPr>
          <w:rFonts w:cs="Times New Roman"/>
          <w:sz w:val="24"/>
          <w:szCs w:val="24"/>
          <w:highlight w:val="none"/>
        </w:rPr>
      </w:pPr>
      <w:r>
        <w:rPr>
          <w:rFonts w:hint="eastAsia" w:cs="Times New Roman"/>
          <w:bCs/>
          <w:sz w:val="24"/>
          <w:szCs w:val="24"/>
          <w:highlight w:val="none"/>
          <w:lang w:val="en-US" w:eastAsia="zh-CN"/>
        </w:rPr>
        <w:t>本期验收不涉及固废</w:t>
      </w:r>
      <w:r>
        <w:rPr>
          <w:rFonts w:cs="Times New Roman"/>
          <w:bCs/>
          <w:sz w:val="24"/>
          <w:szCs w:val="24"/>
          <w:highlight w:val="none"/>
        </w:rPr>
        <w:t>。</w:t>
      </w:r>
    </w:p>
    <w:p w14:paraId="2A8AD864">
      <w:pPr>
        <w:pStyle w:val="3"/>
        <w:spacing w:line="460" w:lineRule="exact"/>
        <w:rPr>
          <w:highlight w:val="none"/>
        </w:rPr>
      </w:pPr>
      <w:bookmarkStart w:id="34" w:name="_Toc501703537"/>
      <w:bookmarkStart w:id="35" w:name="_Toc504492830"/>
      <w:r>
        <w:rPr>
          <w:szCs w:val="30"/>
          <w:highlight w:val="none"/>
        </w:rPr>
        <w:t>4.2</w:t>
      </w:r>
      <w:r>
        <w:rPr>
          <w:highlight w:val="none"/>
        </w:rPr>
        <w:t>环保设施投资及“三同时”落实情况</w:t>
      </w:r>
      <w:bookmarkEnd w:id="34"/>
      <w:bookmarkEnd w:id="35"/>
    </w:p>
    <w:p w14:paraId="1C77A547">
      <w:pPr>
        <w:adjustRightInd w:val="0"/>
        <w:snapToGrid w:val="0"/>
        <w:spacing w:line="500" w:lineRule="exact"/>
        <w:ind w:firstLine="600" w:firstLineChars="250"/>
        <w:rPr>
          <w:rFonts w:cs="Times New Roman"/>
          <w:sz w:val="24"/>
          <w:szCs w:val="24"/>
          <w:highlight w:val="none"/>
        </w:rPr>
      </w:pPr>
      <w:r>
        <w:rPr>
          <w:rFonts w:cs="Times New Roman"/>
          <w:sz w:val="24"/>
          <w:highlight w:val="none"/>
        </w:rPr>
        <w:t>本项目实际总投资</w:t>
      </w:r>
      <w:r>
        <w:rPr>
          <w:rFonts w:hint="eastAsia" w:cs="Times New Roman"/>
          <w:sz w:val="24"/>
          <w:highlight w:val="none"/>
          <w:lang w:val="en-US" w:eastAsia="zh-CN"/>
        </w:rPr>
        <w:t>3</w:t>
      </w:r>
      <w:r>
        <w:rPr>
          <w:rFonts w:cs="Times New Roman"/>
          <w:sz w:val="24"/>
          <w:highlight w:val="none"/>
        </w:rPr>
        <w:t>00万元，实际环保投资为</w:t>
      </w:r>
      <w:r>
        <w:rPr>
          <w:rFonts w:hint="eastAsia" w:cs="Times New Roman"/>
          <w:sz w:val="24"/>
          <w:highlight w:val="none"/>
          <w:lang w:val="en-US" w:eastAsia="zh-CN"/>
        </w:rPr>
        <w:t>20</w:t>
      </w:r>
      <w:r>
        <w:rPr>
          <w:rFonts w:cs="Times New Roman"/>
          <w:sz w:val="24"/>
          <w:highlight w:val="none"/>
        </w:rPr>
        <w:t>万元，</w:t>
      </w:r>
      <w:r>
        <w:rPr>
          <w:rFonts w:cs="Times New Roman"/>
          <w:sz w:val="24"/>
          <w:szCs w:val="24"/>
          <w:highlight w:val="none"/>
        </w:rPr>
        <w:t>环保投资占项目总投资的</w:t>
      </w:r>
      <w:r>
        <w:rPr>
          <w:rFonts w:hint="eastAsia" w:cs="Times New Roman"/>
          <w:sz w:val="24"/>
          <w:szCs w:val="24"/>
          <w:highlight w:val="none"/>
          <w:lang w:val="en-US" w:eastAsia="zh-CN"/>
        </w:rPr>
        <w:t>6</w:t>
      </w:r>
      <w:r>
        <w:rPr>
          <w:rFonts w:cs="Times New Roman"/>
          <w:sz w:val="24"/>
          <w:szCs w:val="24"/>
          <w:highlight w:val="none"/>
        </w:rPr>
        <w:t>.7%。</w:t>
      </w:r>
    </w:p>
    <w:p w14:paraId="587FD790">
      <w:pPr>
        <w:adjustRightInd w:val="0"/>
        <w:snapToGrid w:val="0"/>
        <w:spacing w:line="500" w:lineRule="exact"/>
        <w:ind w:firstLine="600" w:firstLineChars="250"/>
        <w:rPr>
          <w:rFonts w:cs="Times New Roman"/>
          <w:sz w:val="24"/>
          <w:highlight w:val="none"/>
        </w:rPr>
      </w:pPr>
      <w:r>
        <w:rPr>
          <w:rFonts w:cs="Times New Roman"/>
          <w:sz w:val="24"/>
          <w:highlight w:val="none"/>
        </w:rPr>
        <w:t>本项目严格按照环评及批复要求建设了相应的环保治理设施，详见下表。</w:t>
      </w:r>
    </w:p>
    <w:p w14:paraId="4764F316">
      <w:pPr>
        <w:spacing w:line="440" w:lineRule="exact"/>
        <w:ind w:firstLine="600" w:firstLineChars="250"/>
        <w:textAlignment w:val="baseline"/>
        <w:rPr>
          <w:rFonts w:eastAsia="黑体" w:cs="Times New Roman"/>
          <w:sz w:val="24"/>
          <w:highlight w:val="none"/>
        </w:rPr>
      </w:pPr>
      <w:r>
        <w:rPr>
          <w:rFonts w:eastAsia="黑体" w:cs="Times New Roman"/>
          <w:sz w:val="24"/>
          <w:highlight w:val="none"/>
        </w:rPr>
        <w:t>表4-2               项目环保治理设施一览表</w:t>
      </w:r>
    </w:p>
    <w:tbl>
      <w:tblPr>
        <w:tblStyle w:val="29"/>
        <w:tblW w:w="503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28"/>
        <w:gridCol w:w="1004"/>
        <w:gridCol w:w="1149"/>
        <w:gridCol w:w="1682"/>
        <w:gridCol w:w="849"/>
        <w:gridCol w:w="1846"/>
        <w:gridCol w:w="1025"/>
      </w:tblGrid>
      <w:tr w14:paraId="7875F4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6" w:type="dxa"/>
            <w:tcBorders>
              <w:tl2br w:val="nil"/>
              <w:tr2bl w:val="nil"/>
            </w:tcBorders>
            <w:vAlign w:val="center"/>
          </w:tcPr>
          <w:p w14:paraId="1CC1B7E5">
            <w:pPr>
              <w:keepNext w:val="0"/>
              <w:keepLines w:val="0"/>
              <w:suppressLineNumbers w:val="0"/>
              <w:spacing w:before="0" w:beforeAutospacing="0" w:after="0" w:afterAutospacing="0"/>
              <w:ind w:left="0" w:right="0"/>
              <w:jc w:val="center"/>
              <w:rPr>
                <w:rFonts w:hint="default" w:cs="Times New Roman"/>
                <w:b/>
                <w:highlight w:val="none"/>
              </w:rPr>
            </w:pPr>
            <w:r>
              <w:rPr>
                <w:rFonts w:hint="default" w:cs="Times New Roman"/>
                <w:b/>
                <w:highlight w:val="none"/>
              </w:rPr>
              <w:t>污染</w:t>
            </w:r>
          </w:p>
          <w:p w14:paraId="15F48BFD">
            <w:pPr>
              <w:keepNext w:val="0"/>
              <w:keepLines w:val="0"/>
              <w:suppressLineNumbers w:val="0"/>
              <w:spacing w:before="0" w:beforeAutospacing="0" w:after="0" w:afterAutospacing="0"/>
              <w:ind w:left="0" w:right="0"/>
              <w:jc w:val="center"/>
              <w:rPr>
                <w:rFonts w:hint="default" w:cs="Times New Roman"/>
                <w:b/>
                <w:highlight w:val="none"/>
              </w:rPr>
            </w:pPr>
            <w:r>
              <w:rPr>
                <w:rFonts w:hint="default" w:cs="Times New Roman"/>
                <w:b/>
                <w:highlight w:val="none"/>
              </w:rPr>
              <w:t>因素</w:t>
            </w:r>
          </w:p>
        </w:tc>
        <w:tc>
          <w:tcPr>
            <w:tcW w:w="1002" w:type="dxa"/>
            <w:tcBorders>
              <w:tl2br w:val="nil"/>
              <w:tr2bl w:val="nil"/>
            </w:tcBorders>
            <w:vAlign w:val="center"/>
          </w:tcPr>
          <w:p w14:paraId="3DEEBC54">
            <w:pPr>
              <w:keepNext w:val="0"/>
              <w:keepLines w:val="0"/>
              <w:suppressLineNumbers w:val="0"/>
              <w:spacing w:before="0" w:beforeAutospacing="0" w:after="0" w:afterAutospacing="0"/>
              <w:ind w:left="0" w:right="0"/>
              <w:jc w:val="center"/>
              <w:rPr>
                <w:rFonts w:hint="default" w:cs="Times New Roman"/>
                <w:b/>
                <w:highlight w:val="none"/>
              </w:rPr>
            </w:pPr>
            <w:r>
              <w:rPr>
                <w:rFonts w:hint="default" w:cs="Times New Roman"/>
                <w:b/>
                <w:highlight w:val="none"/>
              </w:rPr>
              <w:t>产污环节</w:t>
            </w:r>
          </w:p>
        </w:tc>
        <w:tc>
          <w:tcPr>
            <w:tcW w:w="1146" w:type="dxa"/>
            <w:tcBorders>
              <w:tl2br w:val="nil"/>
              <w:tr2bl w:val="nil"/>
            </w:tcBorders>
            <w:vAlign w:val="center"/>
          </w:tcPr>
          <w:p w14:paraId="260B6CCE">
            <w:pPr>
              <w:keepNext w:val="0"/>
              <w:keepLines w:val="0"/>
              <w:suppressLineNumbers w:val="0"/>
              <w:spacing w:before="0" w:beforeAutospacing="0" w:after="0" w:afterAutospacing="0"/>
              <w:ind w:left="0" w:right="0"/>
              <w:jc w:val="center"/>
              <w:rPr>
                <w:rFonts w:hint="default" w:cs="Times New Roman"/>
                <w:b/>
                <w:highlight w:val="none"/>
              </w:rPr>
            </w:pPr>
            <w:r>
              <w:rPr>
                <w:rFonts w:hint="default" w:cs="Times New Roman"/>
                <w:b/>
                <w:highlight w:val="none"/>
              </w:rPr>
              <w:t>污染物</w:t>
            </w:r>
          </w:p>
        </w:tc>
        <w:tc>
          <w:tcPr>
            <w:tcW w:w="1678" w:type="dxa"/>
            <w:tcBorders>
              <w:tl2br w:val="nil"/>
              <w:tr2bl w:val="nil"/>
            </w:tcBorders>
            <w:vAlign w:val="center"/>
          </w:tcPr>
          <w:p w14:paraId="368CC513">
            <w:pPr>
              <w:keepNext w:val="0"/>
              <w:keepLines w:val="0"/>
              <w:suppressLineNumbers w:val="0"/>
              <w:spacing w:before="0" w:beforeAutospacing="0" w:after="0" w:afterAutospacing="0"/>
              <w:ind w:left="0" w:right="0"/>
              <w:jc w:val="center"/>
              <w:rPr>
                <w:rFonts w:hint="default" w:cs="Times New Roman"/>
                <w:b/>
                <w:highlight w:val="none"/>
              </w:rPr>
            </w:pPr>
            <w:r>
              <w:rPr>
                <w:rFonts w:hint="default" w:cs="Times New Roman"/>
                <w:b/>
                <w:highlight w:val="none"/>
              </w:rPr>
              <w:t>环评批复治理措施设备</w:t>
            </w:r>
          </w:p>
        </w:tc>
        <w:tc>
          <w:tcPr>
            <w:tcW w:w="847" w:type="dxa"/>
            <w:tcBorders>
              <w:tl2br w:val="nil"/>
              <w:tr2bl w:val="nil"/>
            </w:tcBorders>
            <w:vAlign w:val="center"/>
          </w:tcPr>
          <w:p w14:paraId="692F9D5E">
            <w:pPr>
              <w:keepNext w:val="0"/>
              <w:keepLines w:val="0"/>
              <w:suppressLineNumbers w:val="0"/>
              <w:spacing w:before="0" w:beforeAutospacing="0" w:after="0" w:afterAutospacing="0"/>
              <w:ind w:left="0" w:right="0"/>
              <w:jc w:val="center"/>
              <w:rPr>
                <w:rFonts w:hint="default" w:cs="Times New Roman"/>
                <w:b/>
                <w:highlight w:val="none"/>
              </w:rPr>
            </w:pPr>
            <w:r>
              <w:rPr>
                <w:rFonts w:hint="default" w:cs="Times New Roman"/>
                <w:b/>
                <w:highlight w:val="none"/>
              </w:rPr>
              <w:t>投资（万元）</w:t>
            </w:r>
          </w:p>
        </w:tc>
        <w:tc>
          <w:tcPr>
            <w:tcW w:w="1842" w:type="dxa"/>
            <w:tcBorders>
              <w:tl2br w:val="nil"/>
              <w:tr2bl w:val="nil"/>
            </w:tcBorders>
            <w:vAlign w:val="center"/>
          </w:tcPr>
          <w:p w14:paraId="46F84823">
            <w:pPr>
              <w:keepNext w:val="0"/>
              <w:keepLines w:val="0"/>
              <w:suppressLineNumbers w:val="0"/>
              <w:spacing w:before="0" w:beforeAutospacing="0" w:after="0" w:afterAutospacing="0"/>
              <w:ind w:left="0" w:right="0"/>
              <w:jc w:val="center"/>
              <w:rPr>
                <w:rFonts w:hint="default" w:cs="Times New Roman"/>
                <w:b/>
                <w:highlight w:val="none"/>
              </w:rPr>
            </w:pPr>
            <w:r>
              <w:rPr>
                <w:rFonts w:hint="default" w:cs="Times New Roman"/>
                <w:b/>
                <w:highlight w:val="none"/>
              </w:rPr>
              <w:t>实际建设治理措施设备</w:t>
            </w:r>
          </w:p>
        </w:tc>
        <w:tc>
          <w:tcPr>
            <w:tcW w:w="1023" w:type="dxa"/>
            <w:tcBorders>
              <w:tl2br w:val="nil"/>
              <w:tr2bl w:val="nil"/>
            </w:tcBorders>
            <w:vAlign w:val="center"/>
          </w:tcPr>
          <w:p w14:paraId="16A52ED9">
            <w:pPr>
              <w:keepNext w:val="0"/>
              <w:keepLines w:val="0"/>
              <w:suppressLineNumbers w:val="0"/>
              <w:spacing w:before="0" w:beforeAutospacing="0" w:after="0" w:afterAutospacing="0"/>
              <w:ind w:left="0" w:right="0"/>
              <w:jc w:val="center"/>
              <w:rPr>
                <w:rFonts w:hint="default" w:cs="Times New Roman"/>
                <w:b/>
                <w:highlight w:val="none"/>
              </w:rPr>
            </w:pPr>
            <w:r>
              <w:rPr>
                <w:rFonts w:hint="default" w:cs="Times New Roman"/>
                <w:b/>
                <w:highlight w:val="none"/>
              </w:rPr>
              <w:t>实际投资（万元）</w:t>
            </w:r>
          </w:p>
        </w:tc>
      </w:tr>
      <w:tr w14:paraId="45D57D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6" w:type="dxa"/>
            <w:tcBorders>
              <w:tl2br w:val="nil"/>
              <w:tr2bl w:val="nil"/>
            </w:tcBorders>
            <w:vAlign w:val="center"/>
          </w:tcPr>
          <w:p w14:paraId="64445667">
            <w:pPr>
              <w:keepNext w:val="0"/>
              <w:keepLines w:val="0"/>
              <w:suppressLineNumbers w:val="0"/>
              <w:spacing w:before="0" w:beforeAutospacing="0" w:after="0" w:afterAutospacing="0"/>
              <w:ind w:left="0" w:right="0"/>
              <w:jc w:val="center"/>
              <w:rPr>
                <w:rFonts w:hint="default" w:cs="Times New Roman"/>
                <w:highlight w:val="none"/>
              </w:rPr>
            </w:pPr>
            <w:r>
              <w:rPr>
                <w:rFonts w:hint="default" w:cs="Times New Roman"/>
                <w:highlight w:val="none"/>
              </w:rPr>
              <w:t>废 气</w:t>
            </w:r>
          </w:p>
        </w:tc>
        <w:tc>
          <w:tcPr>
            <w:tcW w:w="1002" w:type="dxa"/>
            <w:tcBorders>
              <w:tl2br w:val="nil"/>
              <w:tr2bl w:val="nil"/>
            </w:tcBorders>
            <w:vAlign w:val="center"/>
          </w:tcPr>
          <w:p w14:paraId="07A5DAC6">
            <w:pPr>
              <w:keepNext w:val="0"/>
              <w:keepLines w:val="0"/>
              <w:suppressLineNumbers w:val="0"/>
              <w:spacing w:before="0" w:beforeAutospacing="0" w:after="0" w:afterAutospacing="0"/>
              <w:ind w:left="0" w:right="0"/>
              <w:jc w:val="center"/>
              <w:rPr>
                <w:rFonts w:hint="default" w:cs="Times New Roman"/>
                <w:highlight w:val="none"/>
              </w:rPr>
            </w:pPr>
            <w:r>
              <w:rPr>
                <w:rFonts w:hint="default" w:cs="Times New Roman"/>
                <w:highlight w:val="none"/>
              </w:rPr>
              <w:t>燃气锅炉</w:t>
            </w:r>
          </w:p>
        </w:tc>
        <w:tc>
          <w:tcPr>
            <w:tcW w:w="1146" w:type="dxa"/>
            <w:tcBorders>
              <w:tl2br w:val="nil"/>
              <w:tr2bl w:val="nil"/>
            </w:tcBorders>
            <w:vAlign w:val="center"/>
          </w:tcPr>
          <w:p w14:paraId="45FFD03A">
            <w:pPr>
              <w:keepNext w:val="0"/>
              <w:keepLines w:val="0"/>
              <w:suppressLineNumbers w:val="0"/>
              <w:spacing w:before="0" w:beforeAutospacing="0" w:after="0" w:afterAutospacing="0"/>
              <w:ind w:left="0" w:right="0"/>
              <w:jc w:val="center"/>
              <w:rPr>
                <w:rFonts w:hint="default" w:cs="Times New Roman"/>
                <w:highlight w:val="none"/>
              </w:rPr>
            </w:pPr>
            <w:r>
              <w:rPr>
                <w:rFonts w:hint="default" w:cs="Times New Roman"/>
                <w:highlight w:val="none"/>
              </w:rPr>
              <w:t>SO</w:t>
            </w:r>
            <w:r>
              <w:rPr>
                <w:rFonts w:hint="default" w:cs="Times New Roman"/>
                <w:highlight w:val="none"/>
                <w:vertAlign w:val="subscript"/>
              </w:rPr>
              <w:t>2</w:t>
            </w:r>
            <w:r>
              <w:rPr>
                <w:rFonts w:hint="default" w:cs="Times New Roman"/>
                <w:highlight w:val="none"/>
              </w:rPr>
              <w:t>、NO</w:t>
            </w:r>
            <w:r>
              <w:rPr>
                <w:rFonts w:hint="default" w:cs="Times New Roman"/>
                <w:highlight w:val="none"/>
                <w:vertAlign w:val="subscript"/>
              </w:rPr>
              <w:t>X</w:t>
            </w:r>
          </w:p>
        </w:tc>
        <w:tc>
          <w:tcPr>
            <w:tcW w:w="1678" w:type="dxa"/>
            <w:tcBorders>
              <w:tl2br w:val="nil"/>
              <w:tr2bl w:val="nil"/>
            </w:tcBorders>
            <w:vAlign w:val="center"/>
          </w:tcPr>
          <w:p w14:paraId="136B342A">
            <w:pPr>
              <w:keepNext w:val="0"/>
              <w:keepLines w:val="0"/>
              <w:suppressLineNumbers w:val="0"/>
              <w:spacing w:before="0" w:beforeAutospacing="0" w:after="0" w:afterAutospacing="0"/>
              <w:ind w:left="0" w:right="0"/>
              <w:jc w:val="center"/>
              <w:rPr>
                <w:rFonts w:hint="default" w:cs="Times New Roman"/>
                <w:highlight w:val="none"/>
              </w:rPr>
            </w:pPr>
            <w:r>
              <w:rPr>
                <w:rFonts w:hint="default" w:cs="Times New Roman"/>
                <w:highlight w:val="none"/>
              </w:rPr>
              <w:t>8m高烟囱1一根</w:t>
            </w:r>
          </w:p>
        </w:tc>
        <w:tc>
          <w:tcPr>
            <w:tcW w:w="847" w:type="dxa"/>
            <w:tcBorders>
              <w:tl2br w:val="nil"/>
              <w:tr2bl w:val="nil"/>
            </w:tcBorders>
            <w:vAlign w:val="center"/>
          </w:tcPr>
          <w:p w14:paraId="0CD2B33A">
            <w:pPr>
              <w:keepNext w:val="0"/>
              <w:keepLines w:val="0"/>
              <w:suppressLineNumbers w:val="0"/>
              <w:spacing w:before="0" w:beforeAutospacing="0" w:after="0" w:afterAutospacing="0"/>
              <w:ind w:left="0" w:right="0"/>
              <w:jc w:val="center"/>
              <w:rPr>
                <w:rFonts w:hint="default" w:cs="Times New Roman"/>
                <w:highlight w:val="none"/>
              </w:rPr>
            </w:pPr>
            <w:r>
              <w:rPr>
                <w:rFonts w:hint="eastAsia" w:cs="Times New Roman"/>
                <w:highlight w:val="none"/>
              </w:rPr>
              <w:t>0.5</w:t>
            </w:r>
          </w:p>
        </w:tc>
        <w:tc>
          <w:tcPr>
            <w:tcW w:w="1842" w:type="dxa"/>
            <w:tcBorders>
              <w:tl2br w:val="nil"/>
              <w:tr2bl w:val="nil"/>
            </w:tcBorders>
            <w:vAlign w:val="center"/>
          </w:tcPr>
          <w:p w14:paraId="0FFB39F7">
            <w:pPr>
              <w:keepNext w:val="0"/>
              <w:keepLines w:val="0"/>
              <w:suppressLineNumbers w:val="0"/>
              <w:spacing w:before="0" w:beforeAutospacing="0" w:after="0" w:afterAutospacing="0"/>
              <w:ind w:left="0" w:right="0"/>
              <w:jc w:val="center"/>
              <w:rPr>
                <w:rFonts w:hint="default" w:cs="Times New Roman"/>
                <w:highlight w:val="none"/>
              </w:rPr>
            </w:pPr>
            <w:r>
              <w:rPr>
                <w:rFonts w:hint="eastAsia" w:cs="Times New Roman"/>
                <w:highlight w:val="none"/>
                <w:lang w:val="en-US" w:eastAsia="zh-CN"/>
              </w:rPr>
              <w:t>低氮燃烧技术+15</w:t>
            </w:r>
            <w:r>
              <w:rPr>
                <w:rFonts w:hint="default" w:cs="Times New Roman"/>
                <w:highlight w:val="none"/>
              </w:rPr>
              <w:t>m高烟囱1一根</w:t>
            </w:r>
          </w:p>
        </w:tc>
        <w:tc>
          <w:tcPr>
            <w:tcW w:w="1023" w:type="dxa"/>
            <w:tcBorders>
              <w:tl2br w:val="nil"/>
              <w:tr2bl w:val="nil"/>
            </w:tcBorders>
            <w:vAlign w:val="center"/>
          </w:tcPr>
          <w:p w14:paraId="3C4D72F8">
            <w:pPr>
              <w:keepNext w:val="0"/>
              <w:keepLines w:val="0"/>
              <w:suppressLineNumbers w:val="0"/>
              <w:spacing w:before="0" w:beforeAutospacing="0" w:after="0" w:afterAutospacing="0"/>
              <w:ind w:left="0" w:right="0"/>
              <w:jc w:val="center"/>
              <w:rPr>
                <w:rFonts w:hint="default" w:eastAsia="宋体" w:cs="Times New Roman"/>
                <w:highlight w:val="none"/>
                <w:lang w:val="en-US" w:eastAsia="zh-CN"/>
              </w:rPr>
            </w:pPr>
            <w:r>
              <w:rPr>
                <w:rFonts w:hint="eastAsia" w:cs="Times New Roman"/>
                <w:highlight w:val="none"/>
                <w:lang w:val="en-US" w:eastAsia="zh-CN"/>
              </w:rPr>
              <w:t>10</w:t>
            </w:r>
          </w:p>
        </w:tc>
      </w:tr>
      <w:tr w14:paraId="796F97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6" w:type="dxa"/>
            <w:tcBorders>
              <w:tl2br w:val="nil"/>
              <w:tr2bl w:val="nil"/>
            </w:tcBorders>
            <w:vAlign w:val="center"/>
          </w:tcPr>
          <w:p w14:paraId="6CCCA845">
            <w:pPr>
              <w:keepNext w:val="0"/>
              <w:keepLines w:val="0"/>
              <w:suppressLineNumbers w:val="0"/>
              <w:spacing w:before="0" w:beforeAutospacing="0" w:after="0" w:afterAutospacing="0"/>
              <w:ind w:left="0" w:right="0"/>
              <w:jc w:val="center"/>
              <w:rPr>
                <w:rFonts w:hint="default" w:cs="Times New Roman"/>
                <w:highlight w:val="none"/>
              </w:rPr>
            </w:pPr>
            <w:r>
              <w:rPr>
                <w:rFonts w:hint="default" w:cs="Times New Roman"/>
                <w:highlight w:val="none"/>
              </w:rPr>
              <w:t>噪 声</w:t>
            </w:r>
          </w:p>
        </w:tc>
        <w:tc>
          <w:tcPr>
            <w:tcW w:w="1002" w:type="dxa"/>
            <w:tcBorders>
              <w:tl2br w:val="nil"/>
              <w:tr2bl w:val="nil"/>
            </w:tcBorders>
            <w:vAlign w:val="center"/>
          </w:tcPr>
          <w:p w14:paraId="4440FA0F">
            <w:pPr>
              <w:keepNext w:val="0"/>
              <w:keepLines w:val="0"/>
              <w:suppressLineNumbers w:val="0"/>
              <w:spacing w:before="0" w:beforeAutospacing="0" w:after="0" w:afterAutospacing="0"/>
              <w:ind w:left="0" w:right="0"/>
              <w:jc w:val="center"/>
              <w:rPr>
                <w:rFonts w:hint="default" w:cs="Times New Roman"/>
                <w:highlight w:val="none"/>
              </w:rPr>
            </w:pPr>
            <w:r>
              <w:rPr>
                <w:rFonts w:hint="eastAsia" w:cs="Times New Roman"/>
                <w:highlight w:val="none"/>
                <w:lang w:val="en-US" w:eastAsia="zh-CN"/>
              </w:rPr>
              <w:t>燃气锅炉</w:t>
            </w:r>
            <w:r>
              <w:rPr>
                <w:rFonts w:hint="default" w:cs="Times New Roman"/>
                <w:highlight w:val="none"/>
              </w:rPr>
              <w:t>、</w:t>
            </w:r>
          </w:p>
          <w:p w14:paraId="1683C9FD">
            <w:pPr>
              <w:keepNext w:val="0"/>
              <w:keepLines w:val="0"/>
              <w:suppressLineNumbers w:val="0"/>
              <w:spacing w:before="0" w:beforeAutospacing="0" w:after="0" w:afterAutospacing="0"/>
              <w:ind w:left="0" w:right="0"/>
              <w:jc w:val="center"/>
              <w:rPr>
                <w:rFonts w:hint="default" w:cs="Times New Roman"/>
                <w:highlight w:val="none"/>
              </w:rPr>
            </w:pPr>
            <w:r>
              <w:rPr>
                <w:rFonts w:hint="default" w:cs="Times New Roman"/>
                <w:highlight w:val="none"/>
              </w:rPr>
              <w:t>泵类等</w:t>
            </w:r>
          </w:p>
        </w:tc>
        <w:tc>
          <w:tcPr>
            <w:tcW w:w="1146" w:type="dxa"/>
            <w:tcBorders>
              <w:tl2br w:val="nil"/>
              <w:tr2bl w:val="nil"/>
            </w:tcBorders>
            <w:vAlign w:val="center"/>
          </w:tcPr>
          <w:p w14:paraId="48643701">
            <w:pPr>
              <w:keepNext w:val="0"/>
              <w:keepLines w:val="0"/>
              <w:suppressLineNumbers w:val="0"/>
              <w:spacing w:before="0" w:beforeAutospacing="0" w:after="0" w:afterAutospacing="0"/>
              <w:ind w:left="0" w:right="0"/>
              <w:jc w:val="center"/>
              <w:rPr>
                <w:rFonts w:hint="default" w:cs="Times New Roman"/>
                <w:highlight w:val="none"/>
              </w:rPr>
            </w:pPr>
            <w:r>
              <w:rPr>
                <w:rFonts w:hint="default" w:cs="Times New Roman"/>
                <w:highlight w:val="none"/>
              </w:rPr>
              <w:t>设备噪声</w:t>
            </w:r>
          </w:p>
        </w:tc>
        <w:tc>
          <w:tcPr>
            <w:tcW w:w="1678" w:type="dxa"/>
            <w:tcBorders>
              <w:tl2br w:val="nil"/>
              <w:tr2bl w:val="nil"/>
            </w:tcBorders>
            <w:vAlign w:val="center"/>
          </w:tcPr>
          <w:p w14:paraId="32A52069">
            <w:pPr>
              <w:keepNext w:val="0"/>
              <w:keepLines w:val="0"/>
              <w:suppressLineNumbers w:val="0"/>
              <w:spacing w:before="0" w:beforeAutospacing="0" w:after="0" w:afterAutospacing="0"/>
              <w:ind w:left="0" w:right="0"/>
              <w:jc w:val="center"/>
              <w:rPr>
                <w:rFonts w:hint="default" w:cs="Times New Roman"/>
                <w:highlight w:val="none"/>
              </w:rPr>
            </w:pPr>
            <w:r>
              <w:rPr>
                <w:rFonts w:hint="default" w:cs="Times New Roman"/>
                <w:highlight w:val="none"/>
              </w:rPr>
              <w:t>减振、隔音、距离衰减</w:t>
            </w:r>
          </w:p>
        </w:tc>
        <w:tc>
          <w:tcPr>
            <w:tcW w:w="847" w:type="dxa"/>
            <w:tcBorders>
              <w:tl2br w:val="nil"/>
              <w:tr2bl w:val="nil"/>
            </w:tcBorders>
            <w:vAlign w:val="center"/>
          </w:tcPr>
          <w:p w14:paraId="3075304F">
            <w:pPr>
              <w:keepNext w:val="0"/>
              <w:keepLines w:val="0"/>
              <w:suppressLineNumbers w:val="0"/>
              <w:spacing w:before="0" w:beforeAutospacing="0" w:after="0" w:afterAutospacing="0"/>
              <w:ind w:left="0" w:right="0"/>
              <w:jc w:val="center"/>
              <w:rPr>
                <w:rFonts w:hint="default" w:cs="Times New Roman"/>
                <w:highlight w:val="none"/>
              </w:rPr>
            </w:pPr>
            <w:r>
              <w:rPr>
                <w:rFonts w:hint="eastAsia" w:cs="Times New Roman"/>
                <w:highlight w:val="none"/>
              </w:rPr>
              <w:t>10</w:t>
            </w:r>
          </w:p>
        </w:tc>
        <w:tc>
          <w:tcPr>
            <w:tcW w:w="1842" w:type="dxa"/>
            <w:tcBorders>
              <w:tl2br w:val="nil"/>
              <w:tr2bl w:val="nil"/>
            </w:tcBorders>
            <w:vAlign w:val="center"/>
          </w:tcPr>
          <w:p w14:paraId="03CBB5C0">
            <w:pPr>
              <w:keepNext w:val="0"/>
              <w:keepLines w:val="0"/>
              <w:suppressLineNumbers w:val="0"/>
              <w:spacing w:before="0" w:beforeAutospacing="0" w:after="0" w:afterAutospacing="0"/>
              <w:ind w:left="0" w:right="0"/>
              <w:jc w:val="center"/>
              <w:rPr>
                <w:rFonts w:hint="default" w:cs="Times New Roman"/>
                <w:highlight w:val="none"/>
              </w:rPr>
            </w:pPr>
            <w:r>
              <w:rPr>
                <w:rFonts w:hint="default" w:cs="Times New Roman"/>
                <w:highlight w:val="none"/>
              </w:rPr>
              <w:t>减振、隔音、距离衰减</w:t>
            </w:r>
          </w:p>
        </w:tc>
        <w:tc>
          <w:tcPr>
            <w:tcW w:w="1023" w:type="dxa"/>
            <w:tcBorders>
              <w:tl2br w:val="nil"/>
              <w:tr2bl w:val="nil"/>
            </w:tcBorders>
            <w:vAlign w:val="center"/>
          </w:tcPr>
          <w:p w14:paraId="01D7EC0E">
            <w:pPr>
              <w:keepNext w:val="0"/>
              <w:keepLines w:val="0"/>
              <w:suppressLineNumbers w:val="0"/>
              <w:spacing w:before="0" w:beforeAutospacing="0" w:after="0" w:afterAutospacing="0"/>
              <w:ind w:left="0" w:right="0"/>
              <w:jc w:val="center"/>
              <w:rPr>
                <w:rFonts w:hint="default" w:cs="Times New Roman"/>
                <w:highlight w:val="none"/>
              </w:rPr>
            </w:pPr>
            <w:r>
              <w:rPr>
                <w:rFonts w:hint="default" w:cs="Times New Roman"/>
                <w:highlight w:val="none"/>
              </w:rPr>
              <w:t>10</w:t>
            </w:r>
          </w:p>
        </w:tc>
      </w:tr>
      <w:tr w14:paraId="4A9EF3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974" w:type="dxa"/>
            <w:gridSpan w:val="3"/>
            <w:tcBorders>
              <w:tl2br w:val="nil"/>
              <w:tr2bl w:val="nil"/>
            </w:tcBorders>
            <w:vAlign w:val="center"/>
          </w:tcPr>
          <w:p w14:paraId="37DF7363">
            <w:pPr>
              <w:keepNext w:val="0"/>
              <w:keepLines w:val="0"/>
              <w:suppressLineNumbers w:val="0"/>
              <w:spacing w:before="0" w:beforeAutospacing="0" w:after="0" w:afterAutospacing="0"/>
              <w:ind w:left="0" w:right="0"/>
              <w:jc w:val="center"/>
              <w:rPr>
                <w:rFonts w:hint="eastAsia" w:eastAsia="宋体" w:cs="Times New Roman"/>
                <w:highlight w:val="none"/>
                <w:lang w:val="en-US" w:eastAsia="zh-CN"/>
              </w:rPr>
            </w:pPr>
            <w:r>
              <w:rPr>
                <w:rFonts w:hint="eastAsia" w:cs="Times New Roman"/>
                <w:highlight w:val="none"/>
                <w:lang w:val="en-US" w:eastAsia="zh-CN"/>
              </w:rPr>
              <w:t>合计</w:t>
            </w:r>
          </w:p>
        </w:tc>
        <w:tc>
          <w:tcPr>
            <w:tcW w:w="1678" w:type="dxa"/>
            <w:tcBorders>
              <w:tl2br w:val="nil"/>
              <w:tr2bl w:val="nil"/>
            </w:tcBorders>
            <w:vAlign w:val="center"/>
          </w:tcPr>
          <w:p w14:paraId="4FC7A383">
            <w:pPr>
              <w:keepNext w:val="0"/>
              <w:keepLines w:val="0"/>
              <w:suppressLineNumbers w:val="0"/>
              <w:spacing w:before="0" w:beforeAutospacing="0" w:after="0" w:afterAutospacing="0"/>
              <w:ind w:left="0" w:right="0"/>
              <w:jc w:val="center"/>
              <w:rPr>
                <w:rFonts w:hint="eastAsia" w:eastAsia="宋体" w:cs="Times New Roman"/>
                <w:highlight w:val="none"/>
                <w:lang w:val="en-US" w:eastAsia="zh-CN"/>
              </w:rPr>
            </w:pPr>
            <w:r>
              <w:rPr>
                <w:rFonts w:hint="eastAsia" w:cs="Times New Roman"/>
                <w:highlight w:val="none"/>
                <w:lang w:val="en-US" w:eastAsia="zh-CN"/>
              </w:rPr>
              <w:t>/</w:t>
            </w:r>
          </w:p>
        </w:tc>
        <w:tc>
          <w:tcPr>
            <w:tcW w:w="847" w:type="dxa"/>
            <w:tcBorders>
              <w:tl2br w:val="nil"/>
              <w:tr2bl w:val="nil"/>
            </w:tcBorders>
            <w:vAlign w:val="center"/>
          </w:tcPr>
          <w:p w14:paraId="704D77ED">
            <w:pPr>
              <w:keepNext w:val="0"/>
              <w:keepLines w:val="0"/>
              <w:suppressLineNumbers w:val="0"/>
              <w:spacing w:before="0" w:beforeAutospacing="0" w:after="0" w:afterAutospacing="0"/>
              <w:ind w:left="0" w:right="0"/>
              <w:jc w:val="center"/>
              <w:rPr>
                <w:rFonts w:hint="default" w:eastAsia="宋体" w:cs="Times New Roman"/>
                <w:highlight w:val="none"/>
                <w:lang w:val="en-US" w:eastAsia="zh-CN"/>
              </w:rPr>
            </w:pPr>
            <w:r>
              <w:rPr>
                <w:rFonts w:hint="eastAsia" w:cs="Times New Roman"/>
                <w:highlight w:val="none"/>
                <w:lang w:val="en-US" w:eastAsia="zh-CN"/>
              </w:rPr>
              <w:t>10.5</w:t>
            </w:r>
          </w:p>
        </w:tc>
        <w:tc>
          <w:tcPr>
            <w:tcW w:w="1842" w:type="dxa"/>
            <w:tcBorders>
              <w:tl2br w:val="nil"/>
              <w:tr2bl w:val="nil"/>
            </w:tcBorders>
            <w:vAlign w:val="center"/>
          </w:tcPr>
          <w:p w14:paraId="6EB370CC">
            <w:pPr>
              <w:keepNext w:val="0"/>
              <w:keepLines w:val="0"/>
              <w:suppressLineNumbers w:val="0"/>
              <w:spacing w:before="0" w:beforeAutospacing="0" w:after="0" w:afterAutospacing="0"/>
              <w:ind w:left="0" w:right="0"/>
              <w:jc w:val="center"/>
              <w:rPr>
                <w:rFonts w:hint="eastAsia" w:eastAsia="宋体" w:cs="Times New Roman"/>
                <w:highlight w:val="none"/>
                <w:lang w:val="en-US" w:eastAsia="zh-CN"/>
              </w:rPr>
            </w:pPr>
            <w:r>
              <w:rPr>
                <w:rFonts w:hint="eastAsia" w:cs="Times New Roman"/>
                <w:highlight w:val="none"/>
                <w:lang w:val="en-US" w:eastAsia="zh-CN"/>
              </w:rPr>
              <w:t>/</w:t>
            </w:r>
          </w:p>
        </w:tc>
        <w:tc>
          <w:tcPr>
            <w:tcW w:w="1023" w:type="dxa"/>
            <w:tcBorders>
              <w:tl2br w:val="nil"/>
              <w:tr2bl w:val="nil"/>
            </w:tcBorders>
            <w:vAlign w:val="center"/>
          </w:tcPr>
          <w:p w14:paraId="50C3D488">
            <w:pPr>
              <w:keepNext w:val="0"/>
              <w:keepLines w:val="0"/>
              <w:suppressLineNumbers w:val="0"/>
              <w:spacing w:before="0" w:beforeAutospacing="0" w:after="0" w:afterAutospacing="0"/>
              <w:ind w:left="0" w:right="0"/>
              <w:jc w:val="center"/>
              <w:rPr>
                <w:rFonts w:hint="default" w:eastAsia="宋体" w:cs="Times New Roman"/>
                <w:highlight w:val="none"/>
                <w:lang w:val="en-US" w:eastAsia="zh-CN"/>
              </w:rPr>
            </w:pPr>
            <w:r>
              <w:rPr>
                <w:rFonts w:hint="eastAsia" w:cs="Times New Roman"/>
                <w:highlight w:val="none"/>
                <w:lang w:val="en-US" w:eastAsia="zh-CN"/>
              </w:rPr>
              <w:t>20</w:t>
            </w:r>
          </w:p>
        </w:tc>
      </w:tr>
    </w:tbl>
    <w:p w14:paraId="21AC5D27">
      <w:pPr>
        <w:spacing w:line="440" w:lineRule="exact"/>
        <w:ind w:firstLine="600" w:firstLineChars="250"/>
        <w:textAlignment w:val="baseline"/>
        <w:rPr>
          <w:rFonts w:eastAsia="黑体" w:cs="Times New Roman"/>
          <w:sz w:val="24"/>
          <w:highlight w:val="yellow"/>
        </w:rPr>
      </w:pPr>
    </w:p>
    <w:p w14:paraId="12168DAF">
      <w:pPr>
        <w:spacing w:line="440" w:lineRule="exact"/>
        <w:ind w:firstLine="600" w:firstLineChars="250"/>
        <w:textAlignment w:val="baseline"/>
        <w:rPr>
          <w:rFonts w:eastAsia="黑体" w:cs="Times New Roman"/>
          <w:sz w:val="24"/>
          <w:highlight w:val="yellow"/>
        </w:rPr>
      </w:pPr>
    </w:p>
    <w:p w14:paraId="6943FA41">
      <w:pPr>
        <w:pStyle w:val="26"/>
        <w:spacing w:line="500" w:lineRule="exact"/>
        <w:rPr>
          <w:highlight w:val="none"/>
        </w:rPr>
      </w:pPr>
      <w:bookmarkStart w:id="36" w:name="_Toc504492831"/>
      <w:bookmarkStart w:id="37" w:name="_Toc501703538"/>
      <w:r>
        <w:rPr>
          <w:highlight w:val="none"/>
        </w:rPr>
        <w:t>5、环境影响报告书主要结论与建议及其审批部门审批决定</w:t>
      </w:r>
      <w:bookmarkEnd w:id="36"/>
      <w:bookmarkEnd w:id="37"/>
    </w:p>
    <w:p w14:paraId="7F38BEED">
      <w:pPr>
        <w:pStyle w:val="3"/>
        <w:spacing w:line="500" w:lineRule="exact"/>
        <w:rPr>
          <w:highlight w:val="none"/>
        </w:rPr>
      </w:pPr>
      <w:bookmarkStart w:id="38" w:name="_Toc501703539"/>
      <w:bookmarkStart w:id="39" w:name="_Toc504492832"/>
      <w:r>
        <w:rPr>
          <w:highlight w:val="none"/>
        </w:rPr>
        <w:t>5.1环境影响报告书主要结论与建议</w:t>
      </w:r>
      <w:bookmarkEnd w:id="38"/>
      <w:bookmarkEnd w:id="39"/>
    </w:p>
    <w:p w14:paraId="100568F2">
      <w:pPr>
        <w:spacing w:line="520" w:lineRule="atLeast"/>
        <w:ind w:firstLine="482" w:firstLineChars="200"/>
        <w:rPr>
          <w:rFonts w:cs="Times New Roman"/>
          <w:b/>
          <w:bCs/>
          <w:sz w:val="24"/>
          <w:szCs w:val="24"/>
          <w:highlight w:val="none"/>
        </w:rPr>
      </w:pPr>
      <w:bookmarkStart w:id="40" w:name="_Toc504492838"/>
      <w:bookmarkStart w:id="41" w:name="_Toc501703540"/>
      <w:r>
        <w:rPr>
          <w:rFonts w:cs="Times New Roman"/>
          <w:b/>
          <w:bCs/>
          <w:sz w:val="24"/>
          <w:szCs w:val="24"/>
          <w:highlight w:val="none"/>
        </w:rPr>
        <w:t>1、 废气</w:t>
      </w:r>
    </w:p>
    <w:p w14:paraId="0CD83E8F">
      <w:pPr>
        <w:spacing w:line="520" w:lineRule="atLeast"/>
        <w:ind w:firstLine="480" w:firstLineChars="200"/>
        <w:rPr>
          <w:rFonts w:cs="Times New Roman"/>
          <w:bCs/>
          <w:sz w:val="24"/>
          <w:szCs w:val="24"/>
          <w:highlight w:val="none"/>
        </w:rPr>
      </w:pPr>
      <w:r>
        <w:rPr>
          <w:rFonts w:cs="Times New Roman"/>
          <w:sz w:val="24"/>
          <w:szCs w:val="24"/>
          <w:highlight w:val="none"/>
        </w:rPr>
        <w:t>（1）密封电池正极配料、投料废气</w:t>
      </w:r>
    </w:p>
    <w:p w14:paraId="0CD31B9D">
      <w:pPr>
        <w:tabs>
          <w:tab w:val="left" w:pos="360"/>
        </w:tabs>
        <w:spacing w:line="520" w:lineRule="atLeast"/>
        <w:ind w:firstLine="480" w:firstLineChars="200"/>
        <w:rPr>
          <w:rFonts w:cs="Times New Roman"/>
          <w:sz w:val="24"/>
          <w:szCs w:val="24"/>
          <w:highlight w:val="none"/>
        </w:rPr>
      </w:pPr>
      <w:r>
        <w:rPr>
          <w:rFonts w:cs="Times New Roman"/>
          <w:sz w:val="24"/>
          <w:szCs w:val="24"/>
          <w:highlight w:val="none"/>
        </w:rPr>
        <w:t>①有组织排放的废气：</w:t>
      </w:r>
    </w:p>
    <w:p w14:paraId="736027F5">
      <w:pPr>
        <w:tabs>
          <w:tab w:val="left" w:pos="360"/>
        </w:tabs>
        <w:spacing w:line="520" w:lineRule="atLeast"/>
        <w:ind w:firstLine="480" w:firstLineChars="200"/>
        <w:rPr>
          <w:rFonts w:cs="Times New Roman"/>
          <w:sz w:val="24"/>
          <w:szCs w:val="24"/>
          <w:highlight w:val="none"/>
        </w:rPr>
      </w:pPr>
      <w:r>
        <w:rPr>
          <w:rFonts w:cs="Times New Roman"/>
          <w:sz w:val="24"/>
          <w:szCs w:val="24"/>
          <w:highlight w:val="none"/>
        </w:rPr>
        <w:t>根据企业提供的镍粉用量和该工段年有效工作时间，通过类比计算得，含镍粉尘的产生速率为0.26kg/h、产生浓度为104mg/m</w:t>
      </w:r>
      <w:r>
        <w:rPr>
          <w:rFonts w:cs="Times New Roman"/>
          <w:sz w:val="24"/>
          <w:szCs w:val="24"/>
          <w:highlight w:val="none"/>
          <w:vertAlign w:val="superscript"/>
        </w:rPr>
        <w:t>3</w:t>
      </w:r>
      <w:r>
        <w:rPr>
          <w:rFonts w:cs="Times New Roman"/>
          <w:sz w:val="24"/>
          <w:szCs w:val="24"/>
          <w:highlight w:val="none"/>
        </w:rPr>
        <w:t>、产生量为0.156t/a，公司设计采用袋式除尘器治理该工段含镍粉尘，治理后废气经15m高排气筒排放，排放浓度1.04mg/m</w:t>
      </w:r>
      <w:r>
        <w:rPr>
          <w:rFonts w:cs="Times New Roman"/>
          <w:sz w:val="24"/>
          <w:szCs w:val="24"/>
          <w:highlight w:val="none"/>
          <w:vertAlign w:val="superscript"/>
        </w:rPr>
        <w:t>3</w:t>
      </w:r>
      <w:r>
        <w:rPr>
          <w:rFonts w:cs="Times New Roman"/>
          <w:sz w:val="24"/>
          <w:szCs w:val="24"/>
          <w:highlight w:val="none"/>
        </w:rPr>
        <w:t>，排放浓度能够达到《电池工业污染物排放标准》（GB30484-2013）表5中最高允许排放浓度：镍及其化合物1.5mg/m</w:t>
      </w:r>
      <w:r>
        <w:rPr>
          <w:rFonts w:cs="Times New Roman"/>
          <w:sz w:val="24"/>
          <w:szCs w:val="24"/>
          <w:highlight w:val="none"/>
          <w:vertAlign w:val="superscript"/>
        </w:rPr>
        <w:t>3</w:t>
      </w:r>
      <w:r>
        <w:rPr>
          <w:rFonts w:cs="Times New Roman"/>
          <w:sz w:val="24"/>
          <w:szCs w:val="24"/>
          <w:highlight w:val="none"/>
        </w:rPr>
        <w:t>的要求。</w:t>
      </w:r>
    </w:p>
    <w:p w14:paraId="31F0F70F">
      <w:pPr>
        <w:tabs>
          <w:tab w:val="left" w:pos="360"/>
        </w:tabs>
        <w:spacing w:line="520" w:lineRule="atLeast"/>
        <w:ind w:firstLine="480" w:firstLineChars="200"/>
        <w:rPr>
          <w:rFonts w:cs="Times New Roman"/>
          <w:sz w:val="24"/>
          <w:szCs w:val="24"/>
          <w:highlight w:val="none"/>
        </w:rPr>
      </w:pPr>
      <w:r>
        <w:rPr>
          <w:rFonts w:cs="Times New Roman"/>
          <w:sz w:val="24"/>
          <w:szCs w:val="24"/>
          <w:highlight w:val="none"/>
        </w:rPr>
        <w:t>②无组织排放的废气：</w:t>
      </w:r>
    </w:p>
    <w:p w14:paraId="5A4D0770">
      <w:pPr>
        <w:tabs>
          <w:tab w:val="left" w:pos="360"/>
        </w:tabs>
        <w:spacing w:line="520" w:lineRule="atLeast"/>
        <w:ind w:firstLine="480" w:firstLineChars="200"/>
        <w:rPr>
          <w:rFonts w:cs="Times New Roman"/>
          <w:sz w:val="24"/>
          <w:szCs w:val="24"/>
          <w:highlight w:val="none"/>
        </w:rPr>
      </w:pPr>
      <w:r>
        <w:rPr>
          <w:rFonts w:cs="Times New Roman"/>
          <w:sz w:val="24"/>
          <w:szCs w:val="24"/>
          <w:highlight w:val="none"/>
        </w:rPr>
        <w:t>在配料、投料过程中会产生无组织散失的含镍粉尘，经类比同类企业和查阅资料，含镍粉尘的产生量为0.024t/a。</w:t>
      </w:r>
    </w:p>
    <w:p w14:paraId="20F451F4">
      <w:pPr>
        <w:tabs>
          <w:tab w:val="left" w:pos="360"/>
        </w:tabs>
        <w:spacing w:line="520" w:lineRule="atLeast"/>
        <w:ind w:firstLine="480" w:firstLineChars="200"/>
        <w:rPr>
          <w:rFonts w:cs="Times New Roman"/>
          <w:sz w:val="24"/>
          <w:szCs w:val="24"/>
          <w:highlight w:val="none"/>
        </w:rPr>
      </w:pPr>
      <w:r>
        <w:rPr>
          <w:rFonts w:cs="Times New Roman"/>
          <w:sz w:val="24"/>
          <w:szCs w:val="24"/>
          <w:highlight w:val="none"/>
        </w:rPr>
        <w:t>经预测，本工程粉尘无组织排放对各厂界地面浓度的贡献值能够满足《电池工业污染物排放标准》（GB30484-2013）规定的厂界浓度限值：镍及其化合物0.02mg/m</w:t>
      </w:r>
      <w:r>
        <w:rPr>
          <w:rFonts w:cs="Times New Roman"/>
          <w:sz w:val="24"/>
          <w:szCs w:val="24"/>
          <w:highlight w:val="none"/>
          <w:vertAlign w:val="superscript"/>
        </w:rPr>
        <w:t>3</w:t>
      </w:r>
      <w:r>
        <w:rPr>
          <w:rFonts w:cs="Times New Roman"/>
          <w:sz w:val="24"/>
          <w:szCs w:val="24"/>
          <w:highlight w:val="none"/>
        </w:rPr>
        <w:t>的标准要求。</w:t>
      </w:r>
    </w:p>
    <w:p w14:paraId="2D149E44">
      <w:pPr>
        <w:tabs>
          <w:tab w:val="left" w:pos="360"/>
        </w:tabs>
        <w:spacing w:line="520" w:lineRule="atLeast"/>
        <w:ind w:firstLine="480" w:firstLineChars="200"/>
        <w:rPr>
          <w:rFonts w:cs="Times New Roman"/>
          <w:sz w:val="24"/>
          <w:szCs w:val="24"/>
          <w:highlight w:val="none"/>
        </w:rPr>
      </w:pPr>
      <w:r>
        <w:rPr>
          <w:rFonts w:cs="Times New Roman"/>
          <w:sz w:val="24"/>
          <w:szCs w:val="24"/>
          <w:highlight w:val="none"/>
        </w:rPr>
        <w:t>对于无组织排放的含镍粉尘，评价提出：车间内操作工人须佩戴符合卫生防护要求的防尘口罩；生产过程中应该缓慢进行配料、投料过程；加强车间通风，加速粉尘扩散。</w:t>
      </w:r>
    </w:p>
    <w:p w14:paraId="355739EF">
      <w:pPr>
        <w:tabs>
          <w:tab w:val="left" w:pos="360"/>
        </w:tabs>
        <w:spacing w:line="520" w:lineRule="atLeast"/>
        <w:ind w:firstLine="200"/>
        <w:rPr>
          <w:rFonts w:cs="Times New Roman"/>
          <w:sz w:val="24"/>
          <w:szCs w:val="24"/>
          <w:highlight w:val="none"/>
        </w:rPr>
      </w:pPr>
      <w:r>
        <w:rPr>
          <w:rFonts w:cs="Times New Roman"/>
          <w:sz w:val="24"/>
          <w:szCs w:val="24"/>
          <w:highlight w:val="none"/>
        </w:rPr>
        <w:t xml:space="preserve"> （2）密封电池正极烘干废气</w:t>
      </w:r>
    </w:p>
    <w:p w14:paraId="52A9B977">
      <w:pPr>
        <w:spacing w:line="520" w:lineRule="atLeast"/>
        <w:ind w:firstLine="480" w:firstLineChars="200"/>
        <w:rPr>
          <w:rFonts w:cs="Times New Roman"/>
          <w:bCs/>
          <w:sz w:val="24"/>
          <w:szCs w:val="24"/>
          <w:highlight w:val="none"/>
        </w:rPr>
      </w:pPr>
      <w:r>
        <w:rPr>
          <w:rFonts w:cs="Times New Roman"/>
          <w:bCs/>
          <w:sz w:val="24"/>
          <w:szCs w:val="24"/>
          <w:highlight w:val="none"/>
        </w:rPr>
        <w:t>密封电池正极板经刷洗后要进行烘干，烘干工段产生烘干废气，主要成分为含粉尘、含镍及其化合物和含少量醇类的水蒸气。通过类比和查阅相关资料，确定烘干废气中颗粒物排放浓度为20 mg/m</w:t>
      </w:r>
      <w:r>
        <w:rPr>
          <w:rFonts w:cs="Times New Roman"/>
          <w:bCs/>
          <w:sz w:val="24"/>
          <w:szCs w:val="24"/>
          <w:highlight w:val="none"/>
          <w:vertAlign w:val="superscript"/>
        </w:rPr>
        <w:t>3</w:t>
      </w:r>
      <w:r>
        <w:rPr>
          <w:rFonts w:cs="Times New Roman"/>
          <w:bCs/>
          <w:sz w:val="24"/>
          <w:szCs w:val="24"/>
          <w:highlight w:val="none"/>
        </w:rPr>
        <w:t>、排放速率为0.05 kg/h、排放量为0.18t/a；镍及其化合物的排放浓度为0.8mg/m</w:t>
      </w:r>
      <w:r>
        <w:rPr>
          <w:rFonts w:cs="Times New Roman"/>
          <w:bCs/>
          <w:sz w:val="24"/>
          <w:szCs w:val="24"/>
          <w:highlight w:val="none"/>
          <w:vertAlign w:val="superscript"/>
        </w:rPr>
        <w:t>3</w:t>
      </w:r>
      <w:r>
        <w:rPr>
          <w:rFonts w:cs="Times New Roman"/>
          <w:bCs/>
          <w:sz w:val="24"/>
          <w:szCs w:val="24"/>
          <w:highlight w:val="none"/>
        </w:rPr>
        <w:t>、排放速率为0.002 kg/h、排放量为0.0072t/a，烘干废气由一根15m高排气筒排放，排放浓度能够达到《电池工业污染物排放标准》（GB30484-2013）表5中最高允许排放浓度：颗粒物30mg/m</w:t>
      </w:r>
      <w:r>
        <w:rPr>
          <w:rFonts w:cs="Times New Roman"/>
          <w:bCs/>
          <w:sz w:val="24"/>
          <w:szCs w:val="24"/>
          <w:highlight w:val="none"/>
          <w:vertAlign w:val="superscript"/>
        </w:rPr>
        <w:t>3</w:t>
      </w:r>
      <w:r>
        <w:rPr>
          <w:rFonts w:cs="Times New Roman"/>
          <w:bCs/>
          <w:sz w:val="24"/>
          <w:szCs w:val="24"/>
          <w:highlight w:val="none"/>
        </w:rPr>
        <w:t>、镍及其化合物1.5mg/m</w:t>
      </w:r>
      <w:r>
        <w:rPr>
          <w:rFonts w:cs="Times New Roman"/>
          <w:bCs/>
          <w:sz w:val="24"/>
          <w:szCs w:val="24"/>
          <w:highlight w:val="none"/>
          <w:vertAlign w:val="superscript"/>
        </w:rPr>
        <w:t>3</w:t>
      </w:r>
      <w:r>
        <w:rPr>
          <w:rFonts w:cs="Times New Roman"/>
          <w:bCs/>
          <w:sz w:val="24"/>
          <w:szCs w:val="24"/>
          <w:highlight w:val="none"/>
        </w:rPr>
        <w:t>、排气筒高度15m的标准要求。</w:t>
      </w:r>
    </w:p>
    <w:p w14:paraId="28108840">
      <w:pPr>
        <w:spacing w:line="520" w:lineRule="atLeast"/>
        <w:ind w:firstLine="480" w:firstLineChars="200"/>
        <w:rPr>
          <w:rFonts w:cs="Times New Roman"/>
          <w:bCs/>
          <w:sz w:val="24"/>
          <w:szCs w:val="24"/>
          <w:highlight w:val="none"/>
        </w:rPr>
      </w:pPr>
      <w:r>
        <w:rPr>
          <w:rFonts w:cs="Times New Roman"/>
          <w:bCs/>
          <w:sz w:val="24"/>
          <w:szCs w:val="24"/>
          <w:highlight w:val="none"/>
        </w:rPr>
        <w:t>（3）燃气锅炉废气</w:t>
      </w:r>
    </w:p>
    <w:p w14:paraId="07B029BC">
      <w:pPr>
        <w:spacing w:line="520" w:lineRule="atLeast"/>
        <w:ind w:firstLine="480" w:firstLineChars="200"/>
        <w:rPr>
          <w:rFonts w:cs="Times New Roman"/>
          <w:bCs/>
          <w:sz w:val="24"/>
          <w:szCs w:val="24"/>
          <w:highlight w:val="none"/>
        </w:rPr>
      </w:pPr>
      <w:r>
        <w:rPr>
          <w:rFonts w:cs="Times New Roman"/>
          <w:bCs/>
          <w:sz w:val="24"/>
          <w:szCs w:val="24"/>
          <w:highlight w:val="none"/>
        </w:rPr>
        <w:t>项目需使用一台2t/h的燃气锅炉对全厂提供热源，经计算分析，锅炉燃气废气的排放情况如下：废气排放量 760.3万Nm</w:t>
      </w:r>
      <w:r>
        <w:rPr>
          <w:rFonts w:cs="Times New Roman"/>
          <w:bCs/>
          <w:sz w:val="24"/>
          <w:szCs w:val="24"/>
          <w:highlight w:val="none"/>
          <w:vertAlign w:val="superscript"/>
        </w:rPr>
        <w:t>3</w:t>
      </w:r>
      <w:r>
        <w:rPr>
          <w:rFonts w:cs="Times New Roman"/>
          <w:bCs/>
          <w:sz w:val="24"/>
          <w:szCs w:val="24"/>
          <w:highlight w:val="none"/>
        </w:rPr>
        <w:t>/a，烟尘的排放浓度和排放量分别为17.6mg/m</w:t>
      </w:r>
      <w:r>
        <w:rPr>
          <w:rFonts w:cs="Times New Roman"/>
          <w:bCs/>
          <w:sz w:val="24"/>
          <w:szCs w:val="24"/>
          <w:highlight w:val="none"/>
          <w:vertAlign w:val="superscript"/>
        </w:rPr>
        <w:t>3</w:t>
      </w:r>
      <w:r>
        <w:rPr>
          <w:rFonts w:cs="Times New Roman"/>
          <w:bCs/>
          <w:sz w:val="24"/>
          <w:szCs w:val="24"/>
          <w:highlight w:val="none"/>
        </w:rPr>
        <w:t>和0.134t/a，SO</w:t>
      </w:r>
      <w:r>
        <w:rPr>
          <w:rFonts w:cs="Times New Roman"/>
          <w:bCs/>
          <w:sz w:val="24"/>
          <w:szCs w:val="24"/>
          <w:highlight w:val="none"/>
          <w:vertAlign w:val="subscript"/>
        </w:rPr>
        <w:t>2</w:t>
      </w:r>
      <w:r>
        <w:rPr>
          <w:rFonts w:cs="Times New Roman"/>
          <w:bCs/>
          <w:sz w:val="24"/>
          <w:szCs w:val="24"/>
          <w:highlight w:val="none"/>
        </w:rPr>
        <w:t xml:space="preserve"> 的排放浓度和排放量分别为 14.7mg/m</w:t>
      </w:r>
      <w:r>
        <w:rPr>
          <w:rFonts w:cs="Times New Roman"/>
          <w:bCs/>
          <w:sz w:val="24"/>
          <w:szCs w:val="24"/>
          <w:highlight w:val="none"/>
          <w:vertAlign w:val="superscript"/>
        </w:rPr>
        <w:t>3</w:t>
      </w:r>
      <w:r>
        <w:rPr>
          <w:rFonts w:cs="Times New Roman"/>
          <w:bCs/>
          <w:sz w:val="24"/>
          <w:szCs w:val="24"/>
          <w:highlight w:val="none"/>
        </w:rPr>
        <w:t>和0.112t/a，NO</w:t>
      </w:r>
      <w:r>
        <w:rPr>
          <w:rFonts w:cs="Times New Roman"/>
          <w:bCs/>
          <w:sz w:val="24"/>
          <w:szCs w:val="24"/>
          <w:highlight w:val="none"/>
          <w:vertAlign w:val="subscript"/>
        </w:rPr>
        <w:t>X</w:t>
      </w:r>
      <w:r>
        <w:rPr>
          <w:rFonts w:cs="Times New Roman"/>
          <w:bCs/>
          <w:sz w:val="24"/>
          <w:szCs w:val="24"/>
          <w:highlight w:val="none"/>
        </w:rPr>
        <w:t>的排放浓度和排放量分别为 137.3mg/m</w:t>
      </w:r>
      <w:r>
        <w:rPr>
          <w:rFonts w:cs="Times New Roman"/>
          <w:bCs/>
          <w:sz w:val="24"/>
          <w:szCs w:val="24"/>
          <w:highlight w:val="none"/>
          <w:vertAlign w:val="superscript"/>
        </w:rPr>
        <w:t>3</w:t>
      </w:r>
      <w:r>
        <w:rPr>
          <w:rFonts w:cs="Times New Roman"/>
          <w:bCs/>
          <w:sz w:val="24"/>
          <w:szCs w:val="24"/>
          <w:highlight w:val="none"/>
        </w:rPr>
        <w:t>和1.044t/a。燃气废气拟经8m高的烟囱排放，各污染因子的排放浓度均能满足《锅炉大气污染物排放标准》（GB13271-2014）中 烟尘 20mg/m</w:t>
      </w:r>
      <w:r>
        <w:rPr>
          <w:rFonts w:cs="Times New Roman"/>
          <w:bCs/>
          <w:sz w:val="24"/>
          <w:szCs w:val="24"/>
          <w:highlight w:val="none"/>
          <w:vertAlign w:val="superscript"/>
        </w:rPr>
        <w:t>3</w:t>
      </w:r>
      <w:r>
        <w:rPr>
          <w:rFonts w:cs="Times New Roman"/>
          <w:bCs/>
          <w:sz w:val="24"/>
          <w:szCs w:val="24"/>
          <w:highlight w:val="none"/>
        </w:rPr>
        <w:t>、NO</w:t>
      </w:r>
      <w:r>
        <w:rPr>
          <w:rFonts w:cs="Times New Roman"/>
          <w:bCs/>
          <w:sz w:val="24"/>
          <w:szCs w:val="24"/>
          <w:highlight w:val="none"/>
          <w:vertAlign w:val="subscript"/>
        </w:rPr>
        <w:t xml:space="preserve">X </w:t>
      </w:r>
      <w:r>
        <w:rPr>
          <w:rFonts w:cs="Times New Roman"/>
          <w:bCs/>
          <w:sz w:val="24"/>
          <w:szCs w:val="24"/>
          <w:highlight w:val="none"/>
        </w:rPr>
        <w:t>200mg/m</w:t>
      </w:r>
      <w:r>
        <w:rPr>
          <w:rFonts w:cs="Times New Roman"/>
          <w:bCs/>
          <w:sz w:val="24"/>
          <w:szCs w:val="24"/>
          <w:highlight w:val="none"/>
          <w:vertAlign w:val="superscript"/>
        </w:rPr>
        <w:t>3</w:t>
      </w:r>
      <w:r>
        <w:rPr>
          <w:rFonts w:cs="Times New Roman"/>
          <w:bCs/>
          <w:sz w:val="24"/>
          <w:szCs w:val="24"/>
          <w:highlight w:val="none"/>
        </w:rPr>
        <w:t>、SO</w:t>
      </w:r>
      <w:r>
        <w:rPr>
          <w:rFonts w:cs="Times New Roman"/>
          <w:bCs/>
          <w:sz w:val="24"/>
          <w:szCs w:val="24"/>
          <w:highlight w:val="none"/>
          <w:vertAlign w:val="subscript"/>
        </w:rPr>
        <w:t xml:space="preserve">2 </w:t>
      </w:r>
      <w:r>
        <w:rPr>
          <w:rFonts w:cs="Times New Roman"/>
          <w:bCs/>
          <w:sz w:val="24"/>
          <w:szCs w:val="24"/>
          <w:highlight w:val="none"/>
        </w:rPr>
        <w:t>50mg/m</w:t>
      </w:r>
      <w:r>
        <w:rPr>
          <w:rFonts w:cs="Times New Roman"/>
          <w:bCs/>
          <w:sz w:val="24"/>
          <w:szCs w:val="24"/>
          <w:highlight w:val="none"/>
          <w:vertAlign w:val="superscript"/>
        </w:rPr>
        <w:t>3</w:t>
      </w:r>
      <w:r>
        <w:rPr>
          <w:rFonts w:cs="Times New Roman"/>
          <w:bCs/>
          <w:sz w:val="24"/>
          <w:szCs w:val="24"/>
          <w:highlight w:val="none"/>
        </w:rPr>
        <w:t>的限值要</w:t>
      </w:r>
    </w:p>
    <w:p w14:paraId="19FC8943">
      <w:pPr>
        <w:spacing w:line="520" w:lineRule="atLeast"/>
        <w:rPr>
          <w:rFonts w:cs="Times New Roman"/>
          <w:bCs/>
          <w:sz w:val="24"/>
          <w:szCs w:val="24"/>
          <w:highlight w:val="none"/>
        </w:rPr>
      </w:pPr>
      <w:r>
        <w:rPr>
          <w:rFonts w:cs="Times New Roman"/>
          <w:b/>
          <w:sz w:val="24"/>
          <w:szCs w:val="24"/>
          <w:highlight w:val="none"/>
        </w:rPr>
        <w:t xml:space="preserve">    2、废水</w:t>
      </w:r>
    </w:p>
    <w:p w14:paraId="6ECC7C52">
      <w:pPr>
        <w:spacing w:line="520" w:lineRule="atLeast"/>
        <w:ind w:firstLine="480" w:firstLineChars="200"/>
        <w:rPr>
          <w:rFonts w:cs="Times New Roman"/>
          <w:sz w:val="24"/>
          <w:szCs w:val="24"/>
          <w:highlight w:val="none"/>
        </w:rPr>
      </w:pPr>
      <w:r>
        <w:rPr>
          <w:rFonts w:cs="Times New Roman"/>
          <w:sz w:val="24"/>
          <w:szCs w:val="24"/>
          <w:highlight w:val="none"/>
        </w:rPr>
        <w:t>该项目生产废水、生活污水分别经处理后，由总排口排入小尚庄污水处理厂，最终进入卫河，外排废水各项指标均能够满足《电池工业污染物排放标准》（GB30484-2013）的要求。</w:t>
      </w:r>
    </w:p>
    <w:p w14:paraId="6C29D8B5">
      <w:pPr>
        <w:spacing w:line="520" w:lineRule="atLeast"/>
        <w:rPr>
          <w:rFonts w:cs="Times New Roman"/>
          <w:b/>
          <w:sz w:val="24"/>
          <w:szCs w:val="24"/>
          <w:highlight w:val="none"/>
        </w:rPr>
      </w:pPr>
      <w:r>
        <w:rPr>
          <w:rFonts w:cs="Times New Roman"/>
          <w:b/>
          <w:sz w:val="24"/>
          <w:szCs w:val="24"/>
          <w:highlight w:val="none"/>
        </w:rPr>
        <w:t xml:space="preserve">    3、噪声</w:t>
      </w:r>
    </w:p>
    <w:p w14:paraId="1864EF18">
      <w:pPr>
        <w:spacing w:line="520" w:lineRule="atLeast"/>
        <w:ind w:firstLine="480" w:firstLineChars="200"/>
        <w:rPr>
          <w:rFonts w:cs="Times New Roman"/>
          <w:bCs/>
          <w:sz w:val="24"/>
          <w:szCs w:val="24"/>
          <w:highlight w:val="none"/>
        </w:rPr>
      </w:pPr>
      <w:r>
        <w:rPr>
          <w:rFonts w:cs="Times New Roman"/>
          <w:sz w:val="24"/>
          <w:szCs w:val="24"/>
          <w:highlight w:val="none"/>
        </w:rPr>
        <w:t>工程将对高噪声设备将采取消音、减震、隔声措施，厂界可以满足《工业企业厂界环境噪声排放标准》（GB12348-2008）2类标准的要求。</w:t>
      </w:r>
    </w:p>
    <w:p w14:paraId="53E2CB6C">
      <w:pPr>
        <w:spacing w:line="520" w:lineRule="atLeast"/>
        <w:ind w:firstLine="482" w:firstLineChars="200"/>
        <w:rPr>
          <w:rFonts w:cs="Times New Roman"/>
          <w:b/>
          <w:sz w:val="24"/>
          <w:szCs w:val="24"/>
          <w:highlight w:val="none"/>
        </w:rPr>
      </w:pPr>
      <w:r>
        <w:rPr>
          <w:rFonts w:cs="Times New Roman"/>
          <w:b/>
          <w:sz w:val="24"/>
          <w:szCs w:val="24"/>
          <w:highlight w:val="none"/>
        </w:rPr>
        <w:t>4、固废</w:t>
      </w:r>
    </w:p>
    <w:p w14:paraId="69D02693">
      <w:pPr>
        <w:spacing w:line="520" w:lineRule="atLeast"/>
        <w:ind w:firstLine="480" w:firstLineChars="200"/>
        <w:rPr>
          <w:rFonts w:cs="Times New Roman"/>
          <w:bCs/>
          <w:sz w:val="24"/>
          <w:szCs w:val="24"/>
          <w:highlight w:val="none"/>
        </w:rPr>
      </w:pPr>
      <w:r>
        <w:rPr>
          <w:rFonts w:cs="Times New Roman"/>
          <w:sz w:val="24"/>
          <w:szCs w:val="24"/>
          <w:highlight w:val="none"/>
        </w:rPr>
        <w:t>本项目固体废弃物均采取了相应的处置方式，对外环境的影响较小。</w:t>
      </w:r>
    </w:p>
    <w:p w14:paraId="21C9637D">
      <w:pPr>
        <w:spacing w:line="520" w:lineRule="atLeast"/>
        <w:ind w:firstLine="482" w:firstLineChars="200"/>
        <w:rPr>
          <w:rFonts w:ascii="Times New Roman" w:hAnsi="Times New Roman" w:eastAsia="宋体" w:cs="Times New Roman"/>
          <w:b/>
          <w:sz w:val="24"/>
          <w:szCs w:val="24"/>
          <w:highlight w:val="none"/>
        </w:rPr>
      </w:pPr>
      <w:r>
        <w:rPr>
          <w:rFonts w:ascii="Times New Roman" w:hAnsi="Times New Roman" w:eastAsia="宋体" w:cs="Times New Roman"/>
          <w:b/>
          <w:sz w:val="24"/>
          <w:szCs w:val="24"/>
          <w:highlight w:val="none"/>
        </w:rPr>
        <w:t>5、项目建设符合清洁生产的要求</w:t>
      </w:r>
    </w:p>
    <w:p w14:paraId="4C5DE2CF">
      <w:pPr>
        <w:spacing w:line="520" w:lineRule="atLeast"/>
        <w:ind w:firstLine="480" w:firstLineChars="200"/>
        <w:rPr>
          <w:rFonts w:cs="Times New Roman"/>
          <w:bCs/>
          <w:sz w:val="24"/>
          <w:szCs w:val="24"/>
          <w:highlight w:val="none"/>
        </w:rPr>
      </w:pPr>
      <w:r>
        <w:rPr>
          <w:rFonts w:cs="Times New Roman"/>
          <w:bCs/>
          <w:sz w:val="24"/>
          <w:szCs w:val="24"/>
          <w:highlight w:val="none"/>
        </w:rPr>
        <w:t>本项目在工艺、设备选型、过程控制等各方面均符合清洁生产的要求，项目的清洁生产水平可以达到国内先进水平。</w:t>
      </w:r>
    </w:p>
    <w:p w14:paraId="324DD96D">
      <w:pPr>
        <w:spacing w:line="520" w:lineRule="atLeast"/>
        <w:ind w:firstLine="482" w:firstLineChars="200"/>
        <w:rPr>
          <w:rFonts w:ascii="Times New Roman" w:hAnsi="Times New Roman" w:eastAsia="宋体" w:cs="Times New Roman"/>
          <w:b/>
          <w:sz w:val="24"/>
          <w:szCs w:val="24"/>
          <w:highlight w:val="none"/>
        </w:rPr>
      </w:pPr>
      <w:r>
        <w:rPr>
          <w:rFonts w:hint="eastAsia" w:ascii="Times New Roman" w:hAnsi="Times New Roman" w:eastAsia="宋体" w:cs="Times New Roman"/>
          <w:b/>
          <w:sz w:val="24"/>
          <w:szCs w:val="24"/>
          <w:highlight w:val="none"/>
          <w:lang w:val="en-US" w:eastAsia="zh-CN"/>
        </w:rPr>
        <w:t>6、</w:t>
      </w:r>
      <w:r>
        <w:rPr>
          <w:rFonts w:ascii="Times New Roman" w:hAnsi="Times New Roman" w:eastAsia="宋体" w:cs="Times New Roman"/>
          <w:b/>
          <w:sz w:val="24"/>
          <w:szCs w:val="24"/>
          <w:highlight w:val="none"/>
        </w:rPr>
        <w:t>大气环境防护距离和卫生防护距离</w:t>
      </w:r>
    </w:p>
    <w:p w14:paraId="2055B2C2">
      <w:pPr>
        <w:spacing w:line="520" w:lineRule="atLeast"/>
        <w:ind w:firstLine="480" w:firstLineChars="200"/>
        <w:rPr>
          <w:rFonts w:cs="Times New Roman"/>
          <w:bCs/>
          <w:sz w:val="24"/>
          <w:szCs w:val="24"/>
          <w:highlight w:val="none"/>
        </w:rPr>
      </w:pPr>
      <w:r>
        <w:rPr>
          <w:rFonts w:cs="Times New Roman"/>
          <w:bCs/>
          <w:sz w:val="24"/>
          <w:szCs w:val="24"/>
          <w:highlight w:val="none"/>
        </w:rPr>
        <w:t>根据计算，大气环境防护距离无超标点、卫生防护距离为200m，确定本项目防护距离为200m（东厂界外 115m、西厂界外 191m、南厂界外 118m、北厂界外172m范围）。根据调查，本项目厂界周围200m范围内无居民等环境敏感点，满足卫生防护距离要求。评价提出卫生防护距离内不允许再新建和审批居民、学校和医院等环境敏感点。</w:t>
      </w:r>
    </w:p>
    <w:p w14:paraId="5BEFACFE">
      <w:pPr>
        <w:spacing w:line="520" w:lineRule="atLeast"/>
        <w:ind w:firstLine="482" w:firstLineChars="200"/>
        <w:rPr>
          <w:rFonts w:hint="eastAsia"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7、在认真落实评价提出的防范应急措施的情况下，发生事故后环境风险能够达到可接受水平</w:t>
      </w:r>
    </w:p>
    <w:p w14:paraId="08CF78AB">
      <w:pPr>
        <w:spacing w:line="520" w:lineRule="atLeast"/>
        <w:ind w:firstLine="480" w:firstLineChars="200"/>
        <w:rPr>
          <w:rFonts w:cs="Times New Roman"/>
          <w:bCs/>
          <w:sz w:val="24"/>
          <w:szCs w:val="24"/>
          <w:highlight w:val="none"/>
        </w:rPr>
      </w:pPr>
      <w:r>
        <w:rPr>
          <w:rFonts w:cs="Times New Roman"/>
          <w:bCs/>
          <w:sz w:val="24"/>
          <w:szCs w:val="24"/>
          <w:highlight w:val="none"/>
        </w:rPr>
        <w:t>项目生产工艺使用了乙醇、液氨和乙炔等有害化学品，其生产、贮存过程中存在一定泄漏污染及中毒风险，风险事故发生概率比较低，发生事故对周围敏感目标的危害后果较小，在采取风险防范措施后，项目的风险水平是可接受。</w:t>
      </w:r>
    </w:p>
    <w:p w14:paraId="13BDF5C2">
      <w:pPr>
        <w:spacing w:line="520" w:lineRule="atLeast"/>
        <w:ind w:firstLine="482" w:firstLineChars="200"/>
        <w:rPr>
          <w:rFonts w:hint="eastAsia"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8、工程有一定的经济效益、环境效益和社会效益</w:t>
      </w:r>
    </w:p>
    <w:p w14:paraId="7B8E4E09">
      <w:pPr>
        <w:spacing w:line="520" w:lineRule="atLeast"/>
        <w:ind w:firstLine="480" w:firstLineChars="200"/>
        <w:rPr>
          <w:rFonts w:cs="Times New Roman"/>
          <w:bCs/>
          <w:sz w:val="24"/>
          <w:szCs w:val="24"/>
          <w:highlight w:val="none"/>
        </w:rPr>
      </w:pPr>
      <w:r>
        <w:rPr>
          <w:rFonts w:cs="Times New Roman"/>
          <w:bCs/>
          <w:sz w:val="24"/>
          <w:szCs w:val="24"/>
          <w:highlight w:val="none"/>
        </w:rPr>
        <w:t>由环境经济效益分析可知，工程产生的污染物有一定程度的削减，具有的一定的环境效益。同时工程建设将促进当地经济发展和增加就业机会，具有较好的经济效益、社会效益。</w:t>
      </w:r>
    </w:p>
    <w:p w14:paraId="269BF1D4">
      <w:pPr>
        <w:spacing w:line="520" w:lineRule="atLeast"/>
        <w:ind w:firstLine="482" w:firstLineChars="200"/>
        <w:rPr>
          <w:rFonts w:hint="eastAsia"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9、公众参与调查结果表明公众普遍支持该项目的建设</w:t>
      </w:r>
    </w:p>
    <w:p w14:paraId="76CACFD9">
      <w:pPr>
        <w:spacing w:line="520" w:lineRule="atLeast"/>
        <w:ind w:firstLine="480" w:firstLineChars="200"/>
        <w:rPr>
          <w:rFonts w:cs="Times New Roman"/>
          <w:bCs/>
          <w:sz w:val="24"/>
          <w:szCs w:val="24"/>
          <w:highlight w:val="none"/>
        </w:rPr>
      </w:pPr>
      <w:r>
        <w:rPr>
          <w:rFonts w:cs="Times New Roman"/>
          <w:bCs/>
          <w:sz w:val="24"/>
          <w:szCs w:val="24"/>
          <w:highlight w:val="none"/>
        </w:rPr>
        <w:t>公众参与调查结果显示，100％的公众支持该项目的建设，公众认为该项目能推动当地经济发展，有利于增加就业机会。当地政府及相关部门也表示支持该企业建设。</w:t>
      </w:r>
    </w:p>
    <w:p w14:paraId="531D3E07">
      <w:pPr>
        <w:spacing w:line="520" w:lineRule="atLeast"/>
        <w:ind w:firstLine="482" w:firstLineChars="200"/>
        <w:rPr>
          <w:rFonts w:hint="eastAsia"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 xml:space="preserve">10、总量控制指标 </w:t>
      </w:r>
    </w:p>
    <w:p w14:paraId="2691BD43">
      <w:pPr>
        <w:spacing w:line="520" w:lineRule="atLeast"/>
        <w:ind w:firstLine="480" w:firstLineChars="200"/>
        <w:rPr>
          <w:rFonts w:cs="Times New Roman"/>
          <w:bCs/>
          <w:sz w:val="24"/>
          <w:szCs w:val="24"/>
          <w:highlight w:val="none"/>
        </w:rPr>
      </w:pPr>
      <w:r>
        <w:rPr>
          <w:rFonts w:cs="Times New Roman"/>
          <w:bCs/>
          <w:sz w:val="24"/>
          <w:szCs w:val="24"/>
          <w:highlight w:val="none"/>
        </w:rPr>
        <w:t xml:space="preserve">评价建议以项目完成后全厂污染物的排放量作为总量控制指标： </w:t>
      </w:r>
    </w:p>
    <w:p w14:paraId="6781B483">
      <w:pPr>
        <w:spacing w:line="520" w:lineRule="atLeast"/>
        <w:ind w:firstLine="480" w:firstLineChars="200"/>
        <w:rPr>
          <w:rFonts w:cs="Times New Roman"/>
          <w:bCs/>
          <w:sz w:val="24"/>
          <w:szCs w:val="24"/>
          <w:highlight w:val="none"/>
          <w:lang w:val="de-DE"/>
        </w:rPr>
      </w:pPr>
      <w:r>
        <w:rPr>
          <w:rFonts w:cs="Times New Roman"/>
          <w:bCs/>
          <w:sz w:val="24"/>
          <w:szCs w:val="24"/>
          <w:highlight w:val="none"/>
          <w:lang w:val="de-DE"/>
        </w:rPr>
        <w:t>COD 0.061t/a</w:t>
      </w:r>
      <w:r>
        <w:rPr>
          <w:rFonts w:cs="Times New Roman"/>
          <w:bCs/>
          <w:sz w:val="24"/>
          <w:szCs w:val="24"/>
          <w:highlight w:val="none"/>
        </w:rPr>
        <w:t>、氨氮</w:t>
      </w:r>
      <w:r>
        <w:rPr>
          <w:rFonts w:cs="Times New Roman"/>
          <w:bCs/>
          <w:sz w:val="24"/>
          <w:szCs w:val="24"/>
          <w:highlight w:val="none"/>
          <w:lang w:val="de-DE"/>
        </w:rPr>
        <w:t>0.005t/a</w:t>
      </w:r>
      <w:r>
        <w:rPr>
          <w:rFonts w:hint="eastAsia" w:cs="Times New Roman"/>
          <w:bCs/>
          <w:sz w:val="24"/>
          <w:szCs w:val="24"/>
          <w:highlight w:val="none"/>
          <w:lang w:val="de-DE" w:eastAsia="zh-CN"/>
        </w:rPr>
        <w:t>、</w:t>
      </w:r>
      <w:r>
        <w:rPr>
          <w:rFonts w:cs="Times New Roman"/>
          <w:bCs/>
          <w:sz w:val="24"/>
          <w:szCs w:val="24"/>
          <w:highlight w:val="none"/>
          <w:lang w:val="de-DE"/>
        </w:rPr>
        <w:t>SO</w:t>
      </w:r>
      <w:r>
        <w:rPr>
          <w:rFonts w:cs="Times New Roman"/>
          <w:bCs/>
          <w:sz w:val="24"/>
          <w:szCs w:val="24"/>
          <w:highlight w:val="none"/>
          <w:vertAlign w:val="subscript"/>
          <w:lang w:val="de-DE"/>
        </w:rPr>
        <w:t>2</w:t>
      </w:r>
      <w:r>
        <w:rPr>
          <w:rFonts w:cs="Times New Roman"/>
          <w:bCs/>
          <w:sz w:val="24"/>
          <w:szCs w:val="24"/>
          <w:highlight w:val="none"/>
          <w:lang w:val="de-DE"/>
        </w:rPr>
        <w:t>0.112 t/a、NO</w:t>
      </w:r>
      <w:r>
        <w:rPr>
          <w:rFonts w:cs="Times New Roman"/>
          <w:bCs/>
          <w:sz w:val="24"/>
          <w:szCs w:val="24"/>
          <w:highlight w:val="none"/>
          <w:vertAlign w:val="subscript"/>
          <w:lang w:val="de-DE"/>
        </w:rPr>
        <w:t>X</w:t>
      </w:r>
      <w:r>
        <w:rPr>
          <w:rFonts w:cs="Times New Roman"/>
          <w:bCs/>
          <w:sz w:val="24"/>
          <w:szCs w:val="24"/>
          <w:highlight w:val="none"/>
          <w:lang w:val="de-DE"/>
        </w:rPr>
        <w:t>1.044 t/a。</w:t>
      </w:r>
    </w:p>
    <w:p w14:paraId="1DB82C60">
      <w:pPr>
        <w:tabs>
          <w:tab w:val="left" w:pos="400"/>
        </w:tabs>
        <w:spacing w:line="520" w:lineRule="atLeast"/>
        <w:ind w:firstLine="482" w:firstLineChars="200"/>
        <w:rPr>
          <w:rFonts w:hint="eastAsia" w:ascii="Times New Roman" w:hAnsi="Times New Roman" w:eastAsia="宋体" w:cs="Times New Roman"/>
          <w:b/>
          <w:sz w:val="24"/>
          <w:szCs w:val="24"/>
          <w:highlight w:val="none"/>
          <w:lang w:val="en-US" w:eastAsia="zh-CN"/>
        </w:rPr>
      </w:pPr>
      <w:r>
        <w:rPr>
          <w:rFonts w:hint="eastAsia" w:ascii="Times New Roman" w:hAnsi="Times New Roman" w:eastAsia="宋体" w:cs="Times New Roman"/>
          <w:b/>
          <w:sz w:val="24"/>
          <w:szCs w:val="24"/>
          <w:highlight w:val="none"/>
          <w:lang w:val="en-US" w:eastAsia="zh-CN"/>
        </w:rPr>
        <w:t>11、环保投资</w:t>
      </w:r>
    </w:p>
    <w:p w14:paraId="7691D0DC">
      <w:pPr>
        <w:spacing w:line="520" w:lineRule="atLeast"/>
        <w:ind w:firstLine="480" w:firstLineChars="200"/>
        <w:rPr>
          <w:rFonts w:cs="Times New Roman"/>
          <w:bCs/>
          <w:sz w:val="24"/>
          <w:szCs w:val="24"/>
          <w:highlight w:val="none"/>
        </w:rPr>
      </w:pPr>
      <w:r>
        <w:rPr>
          <w:rFonts w:cs="Times New Roman"/>
          <w:bCs/>
          <w:sz w:val="24"/>
          <w:szCs w:val="24"/>
          <w:highlight w:val="none"/>
        </w:rPr>
        <w:t>本次工程所需环保投资约 87万元，占总投资的0.7%。其中废水治理25万元，废气治理8万元，噪声治理10万元，固废5万元，风险事故防范14万元，监测仪器5万元，绿化20万元。</w:t>
      </w:r>
    </w:p>
    <w:p w14:paraId="4C703CA3">
      <w:pPr>
        <w:spacing w:line="520" w:lineRule="atLeast"/>
        <w:ind w:firstLine="480" w:firstLineChars="200"/>
        <w:rPr>
          <w:rFonts w:cs="Times New Roman"/>
          <w:bCs/>
          <w:sz w:val="24"/>
          <w:szCs w:val="24"/>
          <w:highlight w:val="yellow"/>
        </w:rPr>
      </w:pPr>
    </w:p>
    <w:p w14:paraId="45537544">
      <w:pPr>
        <w:spacing w:line="520" w:lineRule="atLeast"/>
        <w:ind w:firstLine="480" w:firstLineChars="200"/>
        <w:rPr>
          <w:rFonts w:cs="Times New Roman"/>
          <w:bCs/>
          <w:sz w:val="24"/>
          <w:szCs w:val="24"/>
          <w:highlight w:val="yellow"/>
        </w:rPr>
      </w:pPr>
    </w:p>
    <w:p w14:paraId="2557143D">
      <w:pPr>
        <w:spacing w:line="520" w:lineRule="atLeast"/>
        <w:ind w:firstLine="480" w:firstLineChars="200"/>
        <w:rPr>
          <w:rFonts w:cs="Times New Roman"/>
          <w:bCs/>
          <w:sz w:val="24"/>
          <w:szCs w:val="24"/>
          <w:highlight w:val="yellow"/>
        </w:rPr>
      </w:pPr>
    </w:p>
    <w:p w14:paraId="76FDCEB9">
      <w:pPr>
        <w:spacing w:line="520" w:lineRule="atLeast"/>
        <w:ind w:firstLine="480" w:firstLineChars="200"/>
        <w:rPr>
          <w:rFonts w:cs="Times New Roman"/>
          <w:bCs/>
          <w:sz w:val="24"/>
          <w:szCs w:val="24"/>
          <w:highlight w:val="yellow"/>
        </w:rPr>
      </w:pPr>
    </w:p>
    <w:p w14:paraId="4D963457">
      <w:pPr>
        <w:pStyle w:val="4"/>
        <w:spacing w:before="240" w:after="240" w:line="440" w:lineRule="exact"/>
        <w:rPr>
          <w:rFonts w:cs="Times New Roman"/>
          <w:sz w:val="30"/>
          <w:szCs w:val="30"/>
          <w:highlight w:val="none"/>
        </w:rPr>
      </w:pPr>
    </w:p>
    <w:p w14:paraId="205E166A">
      <w:pPr>
        <w:pStyle w:val="4"/>
        <w:spacing w:before="240" w:after="240" w:line="440" w:lineRule="exact"/>
        <w:rPr>
          <w:rFonts w:cs="Times New Roman"/>
          <w:sz w:val="30"/>
          <w:szCs w:val="30"/>
          <w:highlight w:val="none"/>
        </w:rPr>
      </w:pPr>
      <w:r>
        <w:rPr>
          <w:rFonts w:cs="Times New Roman"/>
          <w:sz w:val="30"/>
          <w:szCs w:val="30"/>
          <w:highlight w:val="none"/>
        </w:rPr>
        <w:t>5.2 审批部门审批决定</w:t>
      </w:r>
      <w:bookmarkEnd w:id="40"/>
      <w:bookmarkEnd w:id="41"/>
    </w:p>
    <w:p w14:paraId="38705A9B">
      <w:pPr>
        <w:spacing w:line="520" w:lineRule="exact"/>
        <w:ind w:firstLine="480" w:firstLineChars="200"/>
        <w:jc w:val="center"/>
        <w:rPr>
          <w:rFonts w:cs="Times New Roman"/>
          <w:sz w:val="24"/>
          <w:szCs w:val="24"/>
          <w:highlight w:val="none"/>
        </w:rPr>
      </w:pPr>
      <w:r>
        <w:rPr>
          <w:rFonts w:cs="Times New Roman"/>
          <w:sz w:val="24"/>
          <w:szCs w:val="24"/>
          <w:highlight w:val="none"/>
        </w:rPr>
        <w:t>关于《河南省恒明新能源有限公司年产3000万安时镍氢动力电池项目</w:t>
      </w:r>
    </w:p>
    <w:p w14:paraId="75D3D1C2">
      <w:pPr>
        <w:spacing w:line="520" w:lineRule="exact"/>
        <w:ind w:firstLine="480" w:firstLineChars="200"/>
        <w:jc w:val="center"/>
        <w:rPr>
          <w:rFonts w:cs="Times New Roman"/>
          <w:sz w:val="24"/>
          <w:szCs w:val="24"/>
          <w:highlight w:val="none"/>
        </w:rPr>
      </w:pPr>
      <w:r>
        <w:rPr>
          <w:rFonts w:cs="Times New Roman"/>
          <w:sz w:val="24"/>
          <w:szCs w:val="24"/>
          <w:highlight w:val="none"/>
        </w:rPr>
        <w:t>环境影响报告书》的批复</w:t>
      </w:r>
    </w:p>
    <w:p w14:paraId="4778987D">
      <w:pPr>
        <w:spacing w:line="500" w:lineRule="exact"/>
        <w:ind w:firstLine="480" w:firstLineChars="200"/>
        <w:rPr>
          <w:rFonts w:cs="Times New Roman"/>
          <w:sz w:val="24"/>
          <w:szCs w:val="24"/>
          <w:highlight w:val="none"/>
        </w:rPr>
      </w:pPr>
      <w:r>
        <w:rPr>
          <w:rFonts w:cs="Times New Roman"/>
          <w:sz w:val="24"/>
          <w:szCs w:val="24"/>
          <w:highlight w:val="none"/>
        </w:rPr>
        <w:t>河南省恒明新能源有限公司：</w:t>
      </w:r>
    </w:p>
    <w:p w14:paraId="5A03FE65">
      <w:pPr>
        <w:spacing w:line="500" w:lineRule="exact"/>
        <w:ind w:firstLine="480" w:firstLineChars="200"/>
        <w:rPr>
          <w:rFonts w:cs="Times New Roman"/>
          <w:sz w:val="24"/>
          <w:szCs w:val="24"/>
          <w:highlight w:val="none"/>
        </w:rPr>
      </w:pPr>
      <w:r>
        <w:rPr>
          <w:rFonts w:cs="Times New Roman"/>
          <w:sz w:val="24"/>
          <w:szCs w:val="24"/>
          <w:highlight w:val="none"/>
        </w:rPr>
        <w:t>你公司上报的由济源蓝天科技有限责任公司编制的《河南省恒明新能源有限公司年产 3000万安时镍氢动力电池项目环境影响报告书(报批版》(以下简称《报告书》)、该项目污染物总量指标备案表和新乡市环保局牧野分局审查意见收悉，并已在我局网站公示期满，根据报告书结论，经研究，批复如下:</w:t>
      </w:r>
    </w:p>
    <w:p w14:paraId="4B51DCDB">
      <w:pPr>
        <w:spacing w:line="500" w:lineRule="exact"/>
        <w:ind w:firstLine="480" w:firstLineChars="200"/>
        <w:rPr>
          <w:rFonts w:cs="Times New Roman"/>
          <w:sz w:val="24"/>
          <w:szCs w:val="24"/>
          <w:highlight w:val="none"/>
        </w:rPr>
      </w:pPr>
      <w:r>
        <w:rPr>
          <w:rFonts w:cs="Times New Roman"/>
          <w:sz w:val="24"/>
          <w:szCs w:val="24"/>
          <w:highlight w:val="none"/>
        </w:rPr>
        <w:t xml:space="preserve">  一、《报告书》内容符合国家有关法律法规要求和建设项目环境管理规定，评价结论可信。我局批准该《报告书》，原则同意你公司按照《报告书》所列项目的性质、规模、地点、采用的生产工艺和环境保护对策措施进行项目建设。</w:t>
      </w:r>
    </w:p>
    <w:p w14:paraId="6AE40AD4">
      <w:pPr>
        <w:spacing w:line="500" w:lineRule="exact"/>
        <w:ind w:firstLine="480" w:firstLineChars="200"/>
        <w:rPr>
          <w:rFonts w:cs="Times New Roman"/>
          <w:sz w:val="24"/>
          <w:szCs w:val="24"/>
          <w:highlight w:val="none"/>
        </w:rPr>
      </w:pPr>
      <w:r>
        <w:rPr>
          <w:rFonts w:cs="Times New Roman"/>
          <w:sz w:val="24"/>
          <w:szCs w:val="24"/>
          <w:highlight w:val="none"/>
        </w:rPr>
        <w:t>二、你公司应向社会公众主动公开已经批准的《报告书》，并接受相关方的咨询。</w:t>
      </w:r>
    </w:p>
    <w:p w14:paraId="446DCA71">
      <w:pPr>
        <w:spacing w:line="500" w:lineRule="exact"/>
        <w:ind w:firstLine="480" w:firstLineChars="200"/>
        <w:rPr>
          <w:rFonts w:cs="Times New Roman"/>
          <w:sz w:val="24"/>
          <w:szCs w:val="24"/>
          <w:highlight w:val="none"/>
        </w:rPr>
      </w:pPr>
      <w:r>
        <w:rPr>
          <w:rFonts w:cs="Times New Roman"/>
          <w:sz w:val="24"/>
          <w:szCs w:val="24"/>
          <w:highlight w:val="none"/>
        </w:rPr>
        <w:t>三、你公司应全面落实《报告书》提出的各项环境保护措施，各项环境保护设施与主体工程同时设计、同时施工、同时投入使用，确保各项污染物达标排放。</w:t>
      </w:r>
    </w:p>
    <w:p w14:paraId="46882EDB">
      <w:pPr>
        <w:spacing w:line="500" w:lineRule="exact"/>
        <w:ind w:firstLine="480" w:firstLineChars="200"/>
        <w:rPr>
          <w:rFonts w:cs="Times New Roman"/>
          <w:sz w:val="24"/>
          <w:szCs w:val="24"/>
          <w:highlight w:val="none"/>
        </w:rPr>
      </w:pPr>
      <w:r>
        <w:rPr>
          <w:rFonts w:cs="Times New Roman"/>
          <w:sz w:val="24"/>
          <w:szCs w:val="24"/>
          <w:highlight w:val="none"/>
        </w:rPr>
        <w:t>(一)向设计单位提供《报告书》和本批复文件，确保项目设计符合环境保护设计规范要求，落实防治环境污染以及环保设施投资概算。</w:t>
      </w:r>
    </w:p>
    <w:p w14:paraId="73C2593D">
      <w:pPr>
        <w:spacing w:line="500" w:lineRule="exact"/>
        <w:ind w:firstLine="480" w:firstLineChars="200"/>
        <w:rPr>
          <w:rFonts w:cs="Times New Roman"/>
          <w:sz w:val="24"/>
          <w:szCs w:val="24"/>
          <w:highlight w:val="none"/>
        </w:rPr>
      </w:pPr>
      <w:r>
        <w:rPr>
          <w:rFonts w:cs="Times New Roman"/>
          <w:sz w:val="24"/>
          <w:szCs w:val="24"/>
          <w:highlight w:val="none"/>
        </w:rPr>
        <w:t>(二)依据《报告书》和本批复文件，对项目运营过程中产生的废水、废气、固体废物、噪声污染，采取相应的防治措施，</w:t>
      </w:r>
    </w:p>
    <w:p w14:paraId="746BF1E1">
      <w:pPr>
        <w:spacing w:line="500" w:lineRule="exact"/>
        <w:ind w:firstLine="480" w:firstLineChars="200"/>
        <w:rPr>
          <w:rFonts w:cs="Times New Roman"/>
          <w:sz w:val="24"/>
          <w:szCs w:val="24"/>
          <w:highlight w:val="none"/>
        </w:rPr>
      </w:pPr>
      <w:r>
        <w:rPr>
          <w:rFonts w:cs="Times New Roman"/>
          <w:sz w:val="24"/>
          <w:szCs w:val="24"/>
          <w:highlight w:val="none"/>
        </w:rPr>
        <w:t>(三)项目运行时，外排污染物应满足以下要求:</w:t>
      </w:r>
    </w:p>
    <w:p w14:paraId="15A33A59">
      <w:pPr>
        <w:spacing w:line="500" w:lineRule="exact"/>
        <w:ind w:firstLine="480" w:firstLineChars="200"/>
        <w:rPr>
          <w:rFonts w:cs="Times New Roman"/>
          <w:sz w:val="24"/>
          <w:szCs w:val="24"/>
          <w:highlight w:val="none"/>
        </w:rPr>
      </w:pPr>
      <w:r>
        <w:rPr>
          <w:rFonts w:cs="Times New Roman"/>
          <w:sz w:val="24"/>
          <w:szCs w:val="24"/>
          <w:highlight w:val="none"/>
        </w:rPr>
        <w:t>废水：生产废水和生活废水分别经各自的污水治理设施处理。密封电池正极刷洗废水经多级沉淀处理后回用；其它生产废水经混凝沉淀+活性炭吸附后排放;生活废水经SBR工艺处理后排放。外排废水水质应满足《电池工业污染物排放标准》(GB30484-2013)的要求，全厂外排废水进入城市污水处理厂进一步处理。</w:t>
      </w:r>
    </w:p>
    <w:p w14:paraId="689DF75F">
      <w:pPr>
        <w:spacing w:line="500" w:lineRule="exact"/>
        <w:ind w:firstLine="480" w:firstLineChars="200"/>
        <w:rPr>
          <w:rFonts w:cs="Times New Roman"/>
          <w:sz w:val="24"/>
          <w:szCs w:val="24"/>
          <w:highlight w:val="none"/>
        </w:rPr>
      </w:pPr>
      <w:r>
        <w:rPr>
          <w:rFonts w:cs="Times New Roman"/>
          <w:sz w:val="24"/>
          <w:szCs w:val="24"/>
          <w:highlight w:val="none"/>
        </w:rPr>
        <w:t>废气：对各污染物产生环节采取有效的废气收集和治理措施，减少无组织排放。密封电池正极配料、投料过程中产生的含镍粉尘采用袋式收尘器进行治理，治理后的废气通过15m排气筒排放，废气排放浓度须达到《电池工业污染物排放标准》(GB30484-2013)的要求。</w:t>
      </w:r>
    </w:p>
    <w:p w14:paraId="17DD1325">
      <w:pPr>
        <w:spacing w:line="500" w:lineRule="exact"/>
        <w:ind w:firstLine="480" w:firstLineChars="200"/>
        <w:rPr>
          <w:rFonts w:cs="Times New Roman"/>
          <w:sz w:val="24"/>
          <w:szCs w:val="24"/>
          <w:highlight w:val="none"/>
        </w:rPr>
      </w:pPr>
      <w:r>
        <w:rPr>
          <w:rFonts w:cs="Times New Roman"/>
          <w:sz w:val="24"/>
          <w:szCs w:val="24"/>
          <w:highlight w:val="none"/>
        </w:rPr>
        <w:t>密封电池烘干工段废气设计采用袋式收尘器进行治理，治理后的废气通过15m排气筒排放，废气排放浓度须达到《电池工业污染物排放标准》( GB30484-2013)的要求。</w:t>
      </w:r>
    </w:p>
    <w:p w14:paraId="1BC7A816">
      <w:pPr>
        <w:spacing w:line="500" w:lineRule="exact"/>
        <w:ind w:firstLine="480" w:firstLineChars="200"/>
        <w:rPr>
          <w:rFonts w:cs="Times New Roman"/>
          <w:sz w:val="24"/>
          <w:szCs w:val="24"/>
          <w:highlight w:val="none"/>
        </w:rPr>
      </w:pPr>
      <w:r>
        <w:rPr>
          <w:rFonts w:cs="Times New Roman"/>
          <w:sz w:val="24"/>
          <w:szCs w:val="24"/>
          <w:highlight w:val="none"/>
        </w:rPr>
        <w:t>燃气锅炉废气经8m排气简排放，烟尘、SO</w:t>
      </w:r>
      <w:r>
        <w:rPr>
          <w:rFonts w:cs="Times New Roman"/>
          <w:sz w:val="24"/>
          <w:szCs w:val="24"/>
          <w:highlight w:val="none"/>
          <w:vertAlign w:val="subscript"/>
        </w:rPr>
        <w:t>2</w:t>
      </w:r>
      <w:r>
        <w:rPr>
          <w:rFonts w:cs="Times New Roman"/>
          <w:sz w:val="24"/>
          <w:szCs w:val="24"/>
          <w:highlight w:val="none"/>
        </w:rPr>
        <w:t>、 NOx排放浓度须达到《锅炉大气污染物排放标准》(GB13271-2014)的要求。</w:t>
      </w:r>
    </w:p>
    <w:p w14:paraId="1A5C5176">
      <w:pPr>
        <w:spacing w:line="500" w:lineRule="exact"/>
        <w:ind w:firstLine="480" w:firstLineChars="200"/>
        <w:rPr>
          <w:rFonts w:cs="Times New Roman"/>
          <w:sz w:val="24"/>
          <w:szCs w:val="24"/>
          <w:highlight w:val="none"/>
        </w:rPr>
      </w:pPr>
      <w:r>
        <w:rPr>
          <w:rFonts w:cs="Times New Roman"/>
          <w:sz w:val="24"/>
          <w:szCs w:val="24"/>
          <w:highlight w:val="none"/>
        </w:rPr>
        <w:t>噪声：厂界噪声满足《工业企业厂界环境噪声排放标准》(GB12348-2008) 2类标准要求。</w:t>
      </w:r>
    </w:p>
    <w:p w14:paraId="6BF040C8">
      <w:pPr>
        <w:spacing w:line="500" w:lineRule="exact"/>
        <w:ind w:firstLine="480" w:firstLineChars="200"/>
        <w:rPr>
          <w:rFonts w:cs="Times New Roman"/>
          <w:sz w:val="24"/>
          <w:szCs w:val="24"/>
          <w:highlight w:val="none"/>
        </w:rPr>
      </w:pPr>
      <w:r>
        <w:rPr>
          <w:rFonts w:cs="Times New Roman"/>
          <w:sz w:val="24"/>
          <w:szCs w:val="24"/>
          <w:highlight w:val="none"/>
        </w:rPr>
        <w:t>固废</w:t>
      </w:r>
      <w:r>
        <w:rPr>
          <w:rFonts w:hint="eastAsia" w:cs="Times New Roman"/>
          <w:sz w:val="24"/>
          <w:szCs w:val="24"/>
          <w:highlight w:val="none"/>
        </w:rPr>
        <w:t>：</w:t>
      </w:r>
      <w:r>
        <w:rPr>
          <w:rFonts w:cs="Times New Roman"/>
          <w:sz w:val="24"/>
          <w:szCs w:val="24"/>
          <w:highlight w:val="none"/>
        </w:rPr>
        <w:t>生产过程中产生的固废应妥善处置，厂内一般固废临时堆场按照《一般工业固体废物贮存、处置场污染控制标准》(GB18599-2001)设计、施工；危险废物暂存场按照《危险废物贮存污染控制标准》( GB18597-2001)规定进行建设，避免对环境造成二次污染。</w:t>
      </w:r>
    </w:p>
    <w:p w14:paraId="07F3D486">
      <w:pPr>
        <w:spacing w:line="500" w:lineRule="exact"/>
        <w:ind w:firstLine="480" w:firstLineChars="200"/>
        <w:rPr>
          <w:rFonts w:cs="Times New Roman"/>
          <w:sz w:val="24"/>
          <w:szCs w:val="24"/>
          <w:highlight w:val="none"/>
        </w:rPr>
      </w:pPr>
      <w:r>
        <w:rPr>
          <w:rFonts w:hint="eastAsia" w:cs="Times New Roman"/>
          <w:sz w:val="24"/>
          <w:szCs w:val="24"/>
          <w:highlight w:val="none"/>
        </w:rPr>
        <w:t>（</w:t>
      </w:r>
      <w:r>
        <w:rPr>
          <w:rFonts w:cs="Times New Roman"/>
          <w:sz w:val="24"/>
          <w:szCs w:val="24"/>
          <w:highlight w:val="none"/>
        </w:rPr>
        <w:t>四</w:t>
      </w:r>
      <w:r>
        <w:rPr>
          <w:rFonts w:hint="eastAsia" w:cs="Times New Roman"/>
          <w:sz w:val="24"/>
          <w:szCs w:val="24"/>
          <w:highlight w:val="none"/>
        </w:rPr>
        <w:t>）</w:t>
      </w:r>
      <w:r>
        <w:rPr>
          <w:rFonts w:cs="Times New Roman"/>
          <w:sz w:val="24"/>
          <w:szCs w:val="24"/>
          <w:highlight w:val="none"/>
        </w:rPr>
        <w:t>认真落实《报告书》提出的环境风险防范措施和要求，制定污染事故应急防范预案，防止发生污染事故。</w:t>
      </w:r>
    </w:p>
    <w:p w14:paraId="77FD7A11">
      <w:pPr>
        <w:spacing w:line="500" w:lineRule="exact"/>
        <w:ind w:firstLine="480" w:firstLineChars="200"/>
        <w:rPr>
          <w:rFonts w:cs="Times New Roman"/>
          <w:sz w:val="24"/>
          <w:szCs w:val="24"/>
          <w:highlight w:val="none"/>
        </w:rPr>
      </w:pPr>
      <w:r>
        <w:rPr>
          <w:rFonts w:hint="eastAsia" w:cs="Times New Roman"/>
          <w:sz w:val="24"/>
          <w:szCs w:val="24"/>
          <w:highlight w:val="none"/>
        </w:rPr>
        <w:t>（</w:t>
      </w:r>
      <w:r>
        <w:rPr>
          <w:rFonts w:cs="Times New Roman"/>
          <w:sz w:val="24"/>
          <w:szCs w:val="24"/>
          <w:highlight w:val="none"/>
        </w:rPr>
        <w:t>五</w:t>
      </w:r>
      <w:r>
        <w:rPr>
          <w:rFonts w:hint="eastAsia" w:cs="Times New Roman"/>
          <w:sz w:val="24"/>
          <w:szCs w:val="24"/>
          <w:highlight w:val="none"/>
        </w:rPr>
        <w:t>）</w:t>
      </w:r>
      <w:r>
        <w:rPr>
          <w:rFonts w:cs="Times New Roman"/>
          <w:sz w:val="24"/>
          <w:szCs w:val="24"/>
          <w:highlight w:val="none"/>
        </w:rPr>
        <w:t>该项目需按照环评报告的要求设置卫生防护距离200m，卫生防护距离内不应新建居民、医院和学校等环境敏感点。</w:t>
      </w:r>
    </w:p>
    <w:p w14:paraId="6158A3F0">
      <w:pPr>
        <w:spacing w:line="500" w:lineRule="exact"/>
        <w:ind w:firstLine="480" w:firstLineChars="200"/>
        <w:rPr>
          <w:rFonts w:cs="Times New Roman"/>
          <w:sz w:val="24"/>
          <w:szCs w:val="24"/>
          <w:highlight w:val="none"/>
        </w:rPr>
      </w:pPr>
      <w:r>
        <w:rPr>
          <w:rFonts w:hint="eastAsia" w:cs="Times New Roman"/>
          <w:sz w:val="24"/>
          <w:szCs w:val="24"/>
          <w:highlight w:val="none"/>
        </w:rPr>
        <w:t>（</w:t>
      </w:r>
      <w:r>
        <w:rPr>
          <w:rFonts w:cs="Times New Roman"/>
          <w:sz w:val="24"/>
          <w:szCs w:val="24"/>
          <w:highlight w:val="none"/>
        </w:rPr>
        <w:t>六</w:t>
      </w:r>
      <w:r>
        <w:rPr>
          <w:rFonts w:hint="eastAsia" w:cs="Times New Roman"/>
          <w:sz w:val="24"/>
          <w:szCs w:val="24"/>
          <w:highlight w:val="none"/>
        </w:rPr>
        <w:t>）</w:t>
      </w:r>
      <w:r>
        <w:rPr>
          <w:rFonts w:cs="Times New Roman"/>
          <w:sz w:val="24"/>
          <w:szCs w:val="24"/>
          <w:highlight w:val="none"/>
        </w:rPr>
        <w:t>本项目建成后，主要污染物排放量控制指标为：化学需氧量0.061吨/年，氨氮0.005吨/年，SO</w:t>
      </w:r>
      <w:r>
        <w:rPr>
          <w:rFonts w:cs="Times New Roman"/>
          <w:sz w:val="24"/>
          <w:szCs w:val="24"/>
          <w:highlight w:val="none"/>
          <w:vertAlign w:val="subscript"/>
        </w:rPr>
        <w:t>2</w:t>
      </w:r>
      <w:r>
        <w:rPr>
          <w:rFonts w:cs="Times New Roman"/>
          <w:sz w:val="24"/>
          <w:szCs w:val="24"/>
          <w:highlight w:val="none"/>
        </w:rPr>
        <w:t>：0.112吨/年、NOx1.044吨/年。</w:t>
      </w:r>
    </w:p>
    <w:p w14:paraId="51CA62C3">
      <w:pPr>
        <w:spacing w:line="500" w:lineRule="exact"/>
        <w:ind w:firstLine="480" w:firstLineChars="200"/>
        <w:rPr>
          <w:rFonts w:cs="Times New Roman"/>
          <w:sz w:val="24"/>
          <w:szCs w:val="24"/>
          <w:highlight w:val="none"/>
        </w:rPr>
      </w:pPr>
      <w:r>
        <w:rPr>
          <w:rFonts w:cs="Times New Roman"/>
          <w:sz w:val="24"/>
          <w:szCs w:val="24"/>
          <w:highlight w:val="none"/>
        </w:rPr>
        <w:t>四、项目建成后，须向我局递交试生产申请书，经检查同意后方可进行试生产。试生产期间按规定向我局申请竣工环境保护验收。</w:t>
      </w:r>
    </w:p>
    <w:p w14:paraId="1A4DAE26">
      <w:pPr>
        <w:spacing w:line="500" w:lineRule="exact"/>
        <w:ind w:firstLine="480" w:firstLineChars="200"/>
        <w:rPr>
          <w:rFonts w:cs="Times New Roman"/>
          <w:sz w:val="24"/>
          <w:szCs w:val="24"/>
          <w:highlight w:val="none"/>
        </w:rPr>
      </w:pPr>
      <w:r>
        <w:rPr>
          <w:rFonts w:cs="Times New Roman"/>
          <w:sz w:val="24"/>
          <w:szCs w:val="24"/>
          <w:highlight w:val="none"/>
        </w:rPr>
        <w:t>五、本批复有效期为5年。如该项目逾期方开工建设，其环境影响报告书应报我局重新审核</w:t>
      </w:r>
    </w:p>
    <w:p w14:paraId="6D914A89">
      <w:pPr>
        <w:spacing w:line="500" w:lineRule="exact"/>
        <w:ind w:firstLine="480" w:firstLineChars="200"/>
        <w:jc w:val="right"/>
        <w:rPr>
          <w:rFonts w:cs="Times New Roman"/>
          <w:sz w:val="24"/>
          <w:szCs w:val="24"/>
          <w:highlight w:val="none"/>
        </w:rPr>
      </w:pPr>
      <w:r>
        <w:rPr>
          <w:rFonts w:cs="Times New Roman"/>
          <w:sz w:val="24"/>
          <w:szCs w:val="24"/>
          <w:highlight w:val="none"/>
        </w:rPr>
        <w:t>2014年11月12日</w:t>
      </w:r>
    </w:p>
    <w:p w14:paraId="3082FF89">
      <w:pPr>
        <w:spacing w:line="500" w:lineRule="exact"/>
        <w:ind w:firstLine="480" w:firstLineChars="200"/>
        <w:rPr>
          <w:rFonts w:cs="Times New Roman"/>
          <w:sz w:val="24"/>
          <w:szCs w:val="24"/>
          <w:highlight w:val="yellow"/>
        </w:rPr>
      </w:pPr>
    </w:p>
    <w:p w14:paraId="13F3D558">
      <w:pPr>
        <w:pStyle w:val="26"/>
        <w:spacing w:line="500" w:lineRule="exact"/>
        <w:rPr>
          <w:highlight w:val="none"/>
        </w:rPr>
      </w:pPr>
      <w:bookmarkStart w:id="42" w:name="_Toc501703541"/>
      <w:bookmarkStart w:id="43" w:name="_Toc504492839"/>
      <w:r>
        <w:rPr>
          <w:highlight w:val="none"/>
        </w:rPr>
        <w:t>6、验收执行标准</w:t>
      </w:r>
      <w:bookmarkEnd w:id="42"/>
      <w:bookmarkEnd w:id="43"/>
    </w:p>
    <w:p w14:paraId="5BF41FAA">
      <w:pPr>
        <w:pStyle w:val="3"/>
        <w:spacing w:line="480" w:lineRule="exact"/>
        <w:rPr>
          <w:highlight w:val="none"/>
        </w:rPr>
      </w:pPr>
      <w:bookmarkStart w:id="44" w:name="_Toc504492840"/>
      <w:bookmarkStart w:id="45" w:name="_Toc501703542"/>
      <w:r>
        <w:rPr>
          <w:highlight w:val="none"/>
        </w:rPr>
        <w:t>6.1废气</w:t>
      </w:r>
    </w:p>
    <w:p w14:paraId="1BB2EFC5">
      <w:pPr>
        <w:spacing w:line="500" w:lineRule="exact"/>
        <w:ind w:firstLine="480" w:firstLineChars="200"/>
        <w:rPr>
          <w:rFonts w:hint="eastAsia" w:eastAsia="宋体" w:cs="Times New Roman"/>
          <w:sz w:val="24"/>
          <w:highlight w:val="none"/>
          <w:lang w:eastAsia="zh-CN"/>
        </w:rPr>
      </w:pPr>
      <w:r>
        <w:rPr>
          <w:rFonts w:cs="Times New Roman"/>
          <w:sz w:val="24"/>
          <w:highlight w:val="none"/>
        </w:rPr>
        <w:t>项目</w:t>
      </w:r>
      <w:r>
        <w:rPr>
          <w:rFonts w:hint="eastAsia" w:cs="Times New Roman"/>
          <w:sz w:val="24"/>
          <w:highlight w:val="none"/>
          <w:lang w:val="en-US" w:eastAsia="zh-CN"/>
        </w:rPr>
        <w:t>燃气锅炉采取低氮燃烧后尾气经1根</w:t>
      </w:r>
      <w:r>
        <w:rPr>
          <w:rFonts w:cs="Times New Roman"/>
          <w:sz w:val="24"/>
          <w:highlight w:val="none"/>
        </w:rPr>
        <w:t>经15m高排气筒排放</w:t>
      </w:r>
      <w:r>
        <w:rPr>
          <w:rFonts w:hint="eastAsia" w:cs="Times New Roman"/>
          <w:sz w:val="24"/>
          <w:highlight w:val="none"/>
          <w:lang w:eastAsia="zh-CN"/>
        </w:rPr>
        <w:t>，</w:t>
      </w:r>
      <w:r>
        <w:rPr>
          <w:rFonts w:cs="Times New Roman"/>
          <w:sz w:val="24"/>
          <w:highlight w:val="none"/>
        </w:rPr>
        <w:t>废气执行</w:t>
      </w:r>
      <w:r>
        <w:rPr>
          <w:rFonts w:hint="eastAsia" w:cs="Times New Roman"/>
          <w:sz w:val="24"/>
          <w:highlight w:val="none"/>
          <w:lang w:eastAsia="zh-CN"/>
        </w:rPr>
        <w:t>《</w:t>
      </w:r>
      <w:r>
        <w:rPr>
          <w:rFonts w:hint="eastAsia" w:cs="Times New Roman"/>
          <w:sz w:val="24"/>
          <w:highlight w:val="none"/>
        </w:rPr>
        <w:t>锅炉大气污染物排放标准</w:t>
      </w:r>
      <w:r>
        <w:rPr>
          <w:rFonts w:hint="eastAsia" w:cs="Times New Roman"/>
          <w:sz w:val="24"/>
          <w:highlight w:val="none"/>
          <w:lang w:eastAsia="zh-CN"/>
        </w:rPr>
        <w:t>》</w:t>
      </w:r>
      <w:r>
        <w:rPr>
          <w:rFonts w:hint="eastAsia" w:cs="Times New Roman"/>
          <w:sz w:val="24"/>
          <w:highlight w:val="none"/>
        </w:rPr>
        <w:t>（DB41 2089—2021）</w:t>
      </w:r>
      <w:r>
        <w:rPr>
          <w:rFonts w:hint="eastAsia" w:cs="Times New Roman"/>
          <w:sz w:val="24"/>
          <w:highlight w:val="none"/>
          <w:lang w:eastAsia="zh-CN"/>
        </w:rPr>
        <w:t>。</w:t>
      </w:r>
    </w:p>
    <w:p w14:paraId="6D1E60F1">
      <w:pPr>
        <w:pStyle w:val="37"/>
        <w:spacing w:line="440" w:lineRule="exact"/>
        <w:ind w:firstLine="480"/>
        <w:rPr>
          <w:spacing w:val="0"/>
          <w:position w:val="0"/>
          <w:highlight w:val="none"/>
        </w:rPr>
      </w:pPr>
      <w:r>
        <w:rPr>
          <w:spacing w:val="0"/>
          <w:position w:val="0"/>
          <w:highlight w:val="none"/>
        </w:rPr>
        <w:t>表6-1                 废气排放标准</w:t>
      </w:r>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2805"/>
        <w:gridCol w:w="1445"/>
        <w:gridCol w:w="1330"/>
        <w:gridCol w:w="1846"/>
      </w:tblGrid>
      <w:tr w14:paraId="3F5DCB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tcBorders>
              <w:tl2br w:val="nil"/>
              <w:tr2bl w:val="nil"/>
            </w:tcBorders>
            <w:vAlign w:val="center"/>
          </w:tcPr>
          <w:p w14:paraId="19DE0330">
            <w:pPr>
              <w:keepNext w:val="0"/>
              <w:keepLines w:val="0"/>
              <w:suppressLineNumbers w:val="0"/>
              <w:spacing w:before="0" w:beforeAutospacing="0" w:after="0" w:afterAutospacing="0"/>
              <w:ind w:left="0" w:right="0"/>
              <w:jc w:val="center"/>
              <w:rPr>
                <w:rFonts w:hint="default" w:cs="Times New Roman"/>
                <w:b/>
                <w:highlight w:val="none"/>
              </w:rPr>
            </w:pPr>
            <w:r>
              <w:rPr>
                <w:rFonts w:hint="default" w:cs="Times New Roman"/>
                <w:b/>
                <w:highlight w:val="none"/>
              </w:rPr>
              <w:t>污染因素</w:t>
            </w:r>
          </w:p>
        </w:tc>
        <w:tc>
          <w:tcPr>
            <w:tcW w:w="2805" w:type="dxa"/>
            <w:tcBorders>
              <w:tl2br w:val="nil"/>
              <w:tr2bl w:val="nil"/>
            </w:tcBorders>
            <w:vAlign w:val="center"/>
          </w:tcPr>
          <w:p w14:paraId="2EECE559">
            <w:pPr>
              <w:keepNext w:val="0"/>
              <w:keepLines w:val="0"/>
              <w:suppressLineNumbers w:val="0"/>
              <w:spacing w:before="0" w:beforeAutospacing="0" w:after="0" w:afterAutospacing="0"/>
              <w:ind w:left="0" w:right="0"/>
              <w:jc w:val="center"/>
              <w:rPr>
                <w:rFonts w:hint="default" w:cs="Times New Roman"/>
                <w:b/>
                <w:highlight w:val="none"/>
              </w:rPr>
            </w:pPr>
            <w:r>
              <w:rPr>
                <w:rFonts w:hint="default" w:cs="Times New Roman"/>
                <w:b/>
                <w:highlight w:val="none"/>
              </w:rPr>
              <w:t>执行标准名称及级别</w:t>
            </w:r>
          </w:p>
        </w:tc>
        <w:tc>
          <w:tcPr>
            <w:tcW w:w="2775" w:type="dxa"/>
            <w:gridSpan w:val="2"/>
            <w:tcBorders>
              <w:tl2br w:val="nil"/>
              <w:tr2bl w:val="nil"/>
            </w:tcBorders>
            <w:vAlign w:val="center"/>
          </w:tcPr>
          <w:p w14:paraId="09B0B5B8">
            <w:pPr>
              <w:keepNext w:val="0"/>
              <w:keepLines w:val="0"/>
              <w:suppressLineNumbers w:val="0"/>
              <w:spacing w:before="0" w:beforeAutospacing="0" w:after="0" w:afterAutospacing="0"/>
              <w:ind w:left="0" w:right="0"/>
              <w:jc w:val="center"/>
              <w:rPr>
                <w:rFonts w:hint="default" w:cs="Times New Roman"/>
                <w:b/>
                <w:highlight w:val="none"/>
              </w:rPr>
            </w:pPr>
            <w:r>
              <w:rPr>
                <w:rFonts w:hint="default" w:cs="Times New Roman"/>
                <w:b/>
                <w:highlight w:val="none"/>
              </w:rPr>
              <w:t>污染因子</w:t>
            </w:r>
          </w:p>
        </w:tc>
        <w:tc>
          <w:tcPr>
            <w:tcW w:w="1846" w:type="dxa"/>
            <w:tcBorders>
              <w:tl2br w:val="nil"/>
              <w:tr2bl w:val="nil"/>
            </w:tcBorders>
            <w:vAlign w:val="center"/>
          </w:tcPr>
          <w:p w14:paraId="5BBF5FBB">
            <w:pPr>
              <w:keepNext w:val="0"/>
              <w:keepLines w:val="0"/>
              <w:suppressLineNumbers w:val="0"/>
              <w:spacing w:before="0" w:beforeAutospacing="0" w:after="0" w:afterAutospacing="0"/>
              <w:ind w:left="0" w:right="0"/>
              <w:jc w:val="center"/>
              <w:rPr>
                <w:rFonts w:hint="default" w:cs="Times New Roman"/>
                <w:b/>
                <w:highlight w:val="none"/>
              </w:rPr>
            </w:pPr>
            <w:r>
              <w:rPr>
                <w:rFonts w:hint="default" w:cs="Times New Roman"/>
                <w:b/>
                <w:highlight w:val="none"/>
              </w:rPr>
              <w:t>标准限值</w:t>
            </w:r>
          </w:p>
        </w:tc>
      </w:tr>
      <w:tr w14:paraId="6F6A27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restart"/>
            <w:tcBorders>
              <w:tl2br w:val="nil"/>
              <w:tr2bl w:val="nil"/>
            </w:tcBorders>
            <w:vAlign w:val="center"/>
          </w:tcPr>
          <w:p w14:paraId="3E9444EA">
            <w:pPr>
              <w:keepNext w:val="0"/>
              <w:keepLines w:val="0"/>
              <w:suppressLineNumbers w:val="0"/>
              <w:spacing w:before="0" w:beforeAutospacing="0" w:after="0" w:afterAutospacing="0"/>
              <w:ind w:left="0" w:right="0"/>
              <w:jc w:val="center"/>
              <w:rPr>
                <w:rFonts w:hint="default" w:cs="Times New Roman"/>
                <w:highlight w:val="none"/>
              </w:rPr>
            </w:pPr>
            <w:r>
              <w:rPr>
                <w:rFonts w:hint="default" w:cs="Times New Roman"/>
                <w:highlight w:val="none"/>
              </w:rPr>
              <w:t>废气</w:t>
            </w:r>
          </w:p>
        </w:tc>
        <w:tc>
          <w:tcPr>
            <w:tcW w:w="2805" w:type="dxa"/>
            <w:vMerge w:val="restart"/>
            <w:tcBorders>
              <w:tl2br w:val="nil"/>
              <w:tr2bl w:val="nil"/>
            </w:tcBorders>
            <w:vAlign w:val="center"/>
          </w:tcPr>
          <w:p w14:paraId="28C0EE9D">
            <w:pPr>
              <w:keepNext w:val="0"/>
              <w:keepLines w:val="0"/>
              <w:suppressLineNumbers w:val="0"/>
              <w:spacing w:before="0" w:beforeAutospacing="0" w:after="0" w:afterAutospacing="0"/>
              <w:ind w:left="0" w:right="0"/>
              <w:jc w:val="center"/>
              <w:rPr>
                <w:rFonts w:hint="default" w:cs="Times New Roman"/>
                <w:highlight w:val="none"/>
              </w:rPr>
            </w:pPr>
            <w:r>
              <w:rPr>
                <w:rFonts w:hint="eastAsia" w:cs="Times New Roman"/>
                <w:highlight w:val="none"/>
                <w:lang w:val="en-US" w:eastAsia="zh-CN"/>
              </w:rPr>
              <w:t>《锅炉大气污染物排放标准》（</w:t>
            </w:r>
            <w:r>
              <w:rPr>
                <w:rFonts w:hint="default" w:cs="Times New Roman"/>
                <w:highlight w:val="none"/>
                <w:lang w:val="en-US" w:eastAsia="zh-CN"/>
              </w:rPr>
              <w:t>DB41/2089—2021</w:t>
            </w:r>
            <w:r>
              <w:rPr>
                <w:rFonts w:hint="eastAsia" w:cs="Times New Roman"/>
                <w:highlight w:val="none"/>
                <w:lang w:val="en-US" w:eastAsia="zh-CN"/>
              </w:rPr>
              <w:t>）表</w:t>
            </w:r>
            <w:r>
              <w:rPr>
                <w:rFonts w:hint="default" w:cs="Times New Roman"/>
                <w:highlight w:val="none"/>
                <w:lang w:val="en-US" w:eastAsia="zh-CN"/>
              </w:rPr>
              <w:t>1</w:t>
            </w:r>
            <w:r>
              <w:rPr>
                <w:rFonts w:hint="eastAsia" w:cs="Times New Roman"/>
                <w:highlight w:val="none"/>
                <w:lang w:val="en-US" w:eastAsia="zh-CN"/>
              </w:rPr>
              <w:t>常规大气污染物</w:t>
            </w:r>
            <w:r>
              <w:rPr>
                <w:rFonts w:hint="default" w:cs="Times New Roman"/>
                <w:highlight w:val="none"/>
                <w:lang w:val="en-US" w:eastAsia="zh-CN"/>
              </w:rPr>
              <w:t>-</w:t>
            </w:r>
            <w:r>
              <w:rPr>
                <w:rFonts w:hint="eastAsia" w:cs="Times New Roman"/>
                <w:highlight w:val="none"/>
                <w:lang w:val="en-US" w:eastAsia="zh-CN"/>
              </w:rPr>
              <w:t>燃气锅炉</w:t>
            </w:r>
          </w:p>
        </w:tc>
        <w:tc>
          <w:tcPr>
            <w:tcW w:w="4621" w:type="dxa"/>
            <w:gridSpan w:val="3"/>
            <w:tcBorders>
              <w:tl2br w:val="nil"/>
              <w:tr2bl w:val="nil"/>
            </w:tcBorders>
            <w:vAlign w:val="center"/>
          </w:tcPr>
          <w:p w14:paraId="002FB58A">
            <w:pPr>
              <w:keepNext w:val="0"/>
              <w:keepLines w:val="0"/>
              <w:suppressLineNumbers w:val="0"/>
              <w:spacing w:before="0" w:beforeAutospacing="0" w:after="0" w:afterAutospacing="0"/>
              <w:ind w:left="0" w:right="0"/>
              <w:jc w:val="center"/>
              <w:rPr>
                <w:rFonts w:hint="default" w:cs="Times New Roman"/>
                <w:highlight w:val="none"/>
              </w:rPr>
            </w:pPr>
            <w:r>
              <w:rPr>
                <w:rFonts w:hint="eastAsia" w:cs="Times New Roman"/>
                <w:highlight w:val="none"/>
                <w:lang w:val="en-US" w:eastAsia="zh-CN"/>
              </w:rPr>
              <w:t>基准含氧量：</w:t>
            </w:r>
            <w:r>
              <w:rPr>
                <w:rFonts w:hint="default" w:cs="Times New Roman"/>
                <w:highlight w:val="none"/>
                <w:lang w:val="en-US" w:eastAsia="zh-CN"/>
              </w:rPr>
              <w:t>3.5%</w:t>
            </w:r>
            <w:r>
              <w:rPr>
                <w:rFonts w:hint="eastAsia" w:cs="Times New Roman"/>
                <w:highlight w:val="none"/>
                <w:lang w:val="en-US" w:eastAsia="zh-CN"/>
              </w:rPr>
              <w:t>条件下</w:t>
            </w:r>
          </w:p>
        </w:tc>
      </w:tr>
      <w:tr w14:paraId="5A31E2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l2br w:val="nil"/>
              <w:tr2bl w:val="nil"/>
            </w:tcBorders>
            <w:vAlign w:val="center"/>
          </w:tcPr>
          <w:p w14:paraId="7621DCAF">
            <w:pPr>
              <w:keepNext w:val="0"/>
              <w:keepLines w:val="0"/>
              <w:suppressLineNumbers w:val="0"/>
              <w:spacing w:before="0" w:beforeAutospacing="0" w:after="0" w:afterAutospacing="0"/>
              <w:ind w:left="0" w:right="0"/>
              <w:jc w:val="center"/>
              <w:rPr>
                <w:rFonts w:hint="default" w:cs="Times New Roman"/>
                <w:highlight w:val="yellow"/>
              </w:rPr>
            </w:pPr>
          </w:p>
        </w:tc>
        <w:tc>
          <w:tcPr>
            <w:tcW w:w="2805" w:type="dxa"/>
            <w:vMerge w:val="continue"/>
            <w:tcBorders>
              <w:tl2br w:val="nil"/>
              <w:tr2bl w:val="nil"/>
            </w:tcBorders>
            <w:vAlign w:val="center"/>
          </w:tcPr>
          <w:p w14:paraId="0310885D">
            <w:pPr>
              <w:keepNext w:val="0"/>
              <w:keepLines w:val="0"/>
              <w:suppressLineNumbers w:val="0"/>
              <w:spacing w:before="0" w:beforeAutospacing="0" w:after="0" w:afterAutospacing="0"/>
              <w:ind w:left="0" w:right="0"/>
              <w:rPr>
                <w:rFonts w:hint="default" w:cs="Times New Roman"/>
                <w:highlight w:val="yellow"/>
              </w:rPr>
            </w:pPr>
          </w:p>
        </w:tc>
        <w:tc>
          <w:tcPr>
            <w:tcW w:w="1445" w:type="dxa"/>
            <w:tcBorders>
              <w:tl2br w:val="nil"/>
              <w:tr2bl w:val="nil"/>
            </w:tcBorders>
            <w:vAlign w:val="center"/>
          </w:tcPr>
          <w:p w14:paraId="14B05D58">
            <w:pPr>
              <w:keepNext w:val="0"/>
              <w:keepLines w:val="0"/>
              <w:widowControl w:val="0"/>
              <w:suppressLineNumbers w:val="0"/>
              <w:spacing w:before="0" w:beforeAutospacing="0" w:after="0" w:afterAutospacing="0"/>
              <w:ind w:left="0" w:leftChars="0" w:right="0" w:rightChars="0"/>
              <w:jc w:val="center"/>
              <w:rPr>
                <w:rFonts w:hint="default"/>
              </w:rPr>
            </w:pPr>
            <w:r>
              <w:rPr>
                <w:rFonts w:hint="eastAsia" w:ascii="Times New Roman" w:hAnsi="Times New Roman" w:eastAsia="宋体" w:cs="宋体"/>
                <w:kern w:val="2"/>
                <w:sz w:val="21"/>
                <w:szCs w:val="21"/>
                <w:lang w:val="en-US" w:eastAsia="zh-CN" w:bidi="ar"/>
              </w:rPr>
              <w:t>颗粒物</w:t>
            </w:r>
          </w:p>
        </w:tc>
        <w:tc>
          <w:tcPr>
            <w:tcW w:w="1330" w:type="dxa"/>
            <w:tcBorders>
              <w:tl2br w:val="nil"/>
              <w:tr2bl w:val="nil"/>
            </w:tcBorders>
            <w:vAlign w:val="center"/>
          </w:tcPr>
          <w:p w14:paraId="60E6F2F7">
            <w:pPr>
              <w:keepNext w:val="0"/>
              <w:keepLines w:val="0"/>
              <w:widowControl w:val="0"/>
              <w:suppressLineNumbers w:val="0"/>
              <w:spacing w:before="0" w:beforeAutospacing="0" w:after="0" w:afterAutospacing="0"/>
              <w:ind w:left="0" w:leftChars="0" w:right="0" w:rightChars="0"/>
              <w:jc w:val="center"/>
              <w:rPr>
                <w:rFonts w:hint="default"/>
              </w:rPr>
            </w:pPr>
            <w:r>
              <w:rPr>
                <w:rFonts w:hint="eastAsia" w:ascii="Times New Roman" w:hAnsi="Times New Roman" w:eastAsia="宋体" w:cs="宋体"/>
                <w:kern w:val="2"/>
                <w:sz w:val="21"/>
                <w:szCs w:val="21"/>
                <w:lang w:val="en-US" w:eastAsia="zh-CN" w:bidi="ar"/>
              </w:rPr>
              <w:t>有组织</w:t>
            </w:r>
          </w:p>
        </w:tc>
        <w:tc>
          <w:tcPr>
            <w:tcW w:w="1846" w:type="dxa"/>
            <w:tcBorders>
              <w:tl2br w:val="nil"/>
              <w:tr2bl w:val="nil"/>
            </w:tcBorders>
            <w:vAlign w:val="center"/>
          </w:tcPr>
          <w:p w14:paraId="6D7E2E13">
            <w:pPr>
              <w:keepNext w:val="0"/>
              <w:keepLines w:val="0"/>
              <w:widowControl w:val="0"/>
              <w:suppressLineNumbers w:val="0"/>
              <w:spacing w:before="0" w:beforeAutospacing="0" w:after="0" w:afterAutospacing="0"/>
              <w:ind w:left="0" w:leftChars="0" w:right="0" w:rightChars="0"/>
              <w:jc w:val="center"/>
              <w:rPr>
                <w:rFonts w:hint="default" w:cs="Times New Roman"/>
                <w:highlight w:val="yellow"/>
              </w:rPr>
            </w:pPr>
            <w:r>
              <w:rPr>
                <w:rFonts w:hint="default" w:ascii="Times New Roman" w:hAnsi="Times New Roman" w:eastAsia="宋体" w:cs="Times New Roman"/>
                <w:kern w:val="2"/>
                <w:sz w:val="21"/>
                <w:szCs w:val="21"/>
                <w:lang w:val="en-US" w:eastAsia="zh-CN" w:bidi="ar"/>
              </w:rPr>
              <w:t>5</w:t>
            </w:r>
            <w:r>
              <w:rPr>
                <w:rFonts w:hint="default" w:ascii="Times New Roman" w:hAnsi="Times New Roman" w:eastAsia="宋体" w:cs="Times New Roman"/>
                <w:kern w:val="0"/>
                <w:sz w:val="21"/>
                <w:szCs w:val="21"/>
                <w:lang w:val="en-US" w:eastAsia="zh-CN" w:bidi="ar"/>
              </w:rPr>
              <w:t>mg/m</w:t>
            </w:r>
            <w:r>
              <w:rPr>
                <w:rFonts w:hint="default" w:ascii="Times New Roman" w:hAnsi="Times New Roman" w:eastAsia="宋体" w:cs="Times New Roman"/>
                <w:kern w:val="0"/>
                <w:sz w:val="21"/>
                <w:szCs w:val="21"/>
                <w:vertAlign w:val="superscript"/>
                <w:lang w:val="en-US" w:eastAsia="zh-CN" w:bidi="ar"/>
              </w:rPr>
              <w:t>3</w:t>
            </w:r>
          </w:p>
        </w:tc>
      </w:tr>
      <w:tr w14:paraId="7050E8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l2br w:val="nil"/>
              <w:tr2bl w:val="nil"/>
            </w:tcBorders>
            <w:vAlign w:val="center"/>
          </w:tcPr>
          <w:p w14:paraId="04205FD2">
            <w:pPr>
              <w:keepNext w:val="0"/>
              <w:keepLines w:val="0"/>
              <w:suppressLineNumbers w:val="0"/>
              <w:spacing w:before="0" w:beforeAutospacing="0" w:after="0" w:afterAutospacing="0"/>
              <w:ind w:left="0" w:right="0"/>
              <w:jc w:val="center"/>
              <w:rPr>
                <w:rFonts w:hint="default" w:cs="Times New Roman"/>
                <w:highlight w:val="yellow"/>
              </w:rPr>
            </w:pPr>
          </w:p>
        </w:tc>
        <w:tc>
          <w:tcPr>
            <w:tcW w:w="2805" w:type="dxa"/>
            <w:vMerge w:val="continue"/>
            <w:tcBorders>
              <w:tl2br w:val="nil"/>
              <w:tr2bl w:val="nil"/>
            </w:tcBorders>
            <w:vAlign w:val="center"/>
          </w:tcPr>
          <w:p w14:paraId="54F45473">
            <w:pPr>
              <w:keepNext w:val="0"/>
              <w:keepLines w:val="0"/>
              <w:suppressLineNumbers w:val="0"/>
              <w:spacing w:before="0" w:beforeAutospacing="0" w:after="0" w:afterAutospacing="0"/>
              <w:ind w:left="0" w:right="0"/>
              <w:rPr>
                <w:rFonts w:hint="default" w:cs="Times New Roman"/>
                <w:highlight w:val="yellow"/>
              </w:rPr>
            </w:pPr>
          </w:p>
        </w:tc>
        <w:tc>
          <w:tcPr>
            <w:tcW w:w="1445" w:type="dxa"/>
            <w:tcBorders>
              <w:tl2br w:val="nil"/>
              <w:tr2bl w:val="nil"/>
            </w:tcBorders>
            <w:vAlign w:val="center"/>
          </w:tcPr>
          <w:p w14:paraId="22713CE2">
            <w:pPr>
              <w:keepNext w:val="0"/>
              <w:keepLines w:val="0"/>
              <w:widowControl w:val="0"/>
              <w:suppressLineNumbers w:val="0"/>
              <w:spacing w:before="0" w:beforeAutospacing="0" w:after="0" w:afterAutospacing="0"/>
              <w:ind w:left="0" w:leftChars="0" w:right="0" w:rightChars="0"/>
              <w:jc w:val="center"/>
              <w:rPr>
                <w:rFonts w:hint="default"/>
              </w:rPr>
            </w:pPr>
            <w:r>
              <w:rPr>
                <w:rFonts w:hint="default" w:ascii="Times New Roman" w:hAnsi="Times New Roman" w:eastAsia="宋体" w:cs="Times New Roman"/>
                <w:kern w:val="2"/>
                <w:sz w:val="21"/>
                <w:szCs w:val="21"/>
                <w:lang w:val="en-US" w:eastAsia="zh-CN" w:bidi="ar"/>
              </w:rPr>
              <w:t>SO</w:t>
            </w:r>
            <w:r>
              <w:rPr>
                <w:rFonts w:hint="default" w:ascii="Times New Roman" w:hAnsi="Times New Roman" w:eastAsia="宋体" w:cs="Times New Roman"/>
                <w:kern w:val="2"/>
                <w:sz w:val="21"/>
                <w:szCs w:val="21"/>
                <w:vertAlign w:val="subscript"/>
                <w:lang w:val="en-US" w:eastAsia="zh-CN" w:bidi="ar"/>
              </w:rPr>
              <w:t>2</w:t>
            </w:r>
          </w:p>
        </w:tc>
        <w:tc>
          <w:tcPr>
            <w:tcW w:w="1330" w:type="dxa"/>
            <w:tcBorders>
              <w:tl2br w:val="nil"/>
              <w:tr2bl w:val="nil"/>
            </w:tcBorders>
            <w:vAlign w:val="center"/>
          </w:tcPr>
          <w:p w14:paraId="0483C8D0">
            <w:pPr>
              <w:keepNext w:val="0"/>
              <w:keepLines w:val="0"/>
              <w:widowControl w:val="0"/>
              <w:suppressLineNumbers w:val="0"/>
              <w:spacing w:before="0" w:beforeAutospacing="0" w:after="0" w:afterAutospacing="0"/>
              <w:ind w:left="0" w:leftChars="0" w:right="0" w:rightChars="0"/>
              <w:jc w:val="center"/>
              <w:rPr>
                <w:rFonts w:hint="default"/>
              </w:rPr>
            </w:pPr>
            <w:r>
              <w:rPr>
                <w:rFonts w:hint="eastAsia" w:ascii="Times New Roman" w:hAnsi="Times New Roman" w:eastAsia="宋体" w:cs="宋体"/>
                <w:kern w:val="2"/>
                <w:sz w:val="21"/>
                <w:szCs w:val="21"/>
                <w:lang w:val="en-US" w:eastAsia="zh-CN" w:bidi="ar"/>
              </w:rPr>
              <w:t>有组织</w:t>
            </w:r>
          </w:p>
        </w:tc>
        <w:tc>
          <w:tcPr>
            <w:tcW w:w="1846" w:type="dxa"/>
            <w:tcBorders>
              <w:tl2br w:val="nil"/>
              <w:tr2bl w:val="nil"/>
            </w:tcBorders>
            <w:vAlign w:val="center"/>
          </w:tcPr>
          <w:p w14:paraId="46521AA7">
            <w:pPr>
              <w:keepNext w:val="0"/>
              <w:keepLines w:val="0"/>
              <w:widowControl w:val="0"/>
              <w:suppressLineNumbers w:val="0"/>
              <w:spacing w:before="0" w:beforeAutospacing="0" w:after="0" w:afterAutospacing="0"/>
              <w:ind w:left="0" w:leftChars="0" w:right="0" w:rightChars="0"/>
              <w:jc w:val="center"/>
              <w:rPr>
                <w:rFonts w:hint="default" w:cs="Times New Roman"/>
                <w:highlight w:val="yellow"/>
              </w:rPr>
            </w:pPr>
            <w:r>
              <w:rPr>
                <w:rFonts w:hint="default" w:ascii="Times New Roman" w:hAnsi="Times New Roman" w:eastAsia="宋体" w:cs="Times New Roman"/>
                <w:kern w:val="2"/>
                <w:sz w:val="21"/>
                <w:szCs w:val="21"/>
                <w:lang w:val="en-US" w:eastAsia="zh-CN" w:bidi="ar"/>
              </w:rPr>
              <w:t>10</w:t>
            </w:r>
            <w:r>
              <w:rPr>
                <w:rFonts w:hint="default" w:ascii="Times New Roman" w:hAnsi="Times New Roman" w:eastAsia="宋体" w:cs="Times New Roman"/>
                <w:kern w:val="0"/>
                <w:sz w:val="21"/>
                <w:szCs w:val="21"/>
                <w:lang w:val="en-US" w:eastAsia="zh-CN" w:bidi="ar"/>
              </w:rPr>
              <w:t>mg/m</w:t>
            </w:r>
            <w:r>
              <w:rPr>
                <w:rFonts w:hint="default" w:ascii="Times New Roman" w:hAnsi="Times New Roman" w:eastAsia="宋体" w:cs="Times New Roman"/>
                <w:kern w:val="0"/>
                <w:sz w:val="21"/>
                <w:szCs w:val="21"/>
                <w:vertAlign w:val="superscript"/>
                <w:lang w:val="en-US" w:eastAsia="zh-CN" w:bidi="ar"/>
              </w:rPr>
              <w:t>3</w:t>
            </w:r>
          </w:p>
        </w:tc>
      </w:tr>
      <w:tr w14:paraId="36F191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6" w:type="dxa"/>
            <w:vMerge w:val="continue"/>
            <w:tcBorders>
              <w:tl2br w:val="nil"/>
              <w:tr2bl w:val="nil"/>
            </w:tcBorders>
            <w:vAlign w:val="center"/>
          </w:tcPr>
          <w:p w14:paraId="3A0DAEEC">
            <w:pPr>
              <w:keepNext w:val="0"/>
              <w:keepLines w:val="0"/>
              <w:suppressLineNumbers w:val="0"/>
              <w:spacing w:before="0" w:beforeAutospacing="0" w:after="0" w:afterAutospacing="0"/>
              <w:ind w:left="0" w:right="0"/>
              <w:jc w:val="center"/>
              <w:rPr>
                <w:rFonts w:hint="default" w:cs="Times New Roman"/>
                <w:highlight w:val="yellow"/>
              </w:rPr>
            </w:pPr>
          </w:p>
        </w:tc>
        <w:tc>
          <w:tcPr>
            <w:tcW w:w="2805" w:type="dxa"/>
            <w:vMerge w:val="continue"/>
            <w:tcBorders>
              <w:tl2br w:val="nil"/>
              <w:tr2bl w:val="nil"/>
            </w:tcBorders>
            <w:vAlign w:val="center"/>
          </w:tcPr>
          <w:p w14:paraId="6B1432CD">
            <w:pPr>
              <w:keepNext w:val="0"/>
              <w:keepLines w:val="0"/>
              <w:suppressLineNumbers w:val="0"/>
              <w:spacing w:before="0" w:beforeAutospacing="0" w:after="0" w:afterAutospacing="0"/>
              <w:ind w:left="0" w:right="0"/>
              <w:rPr>
                <w:rFonts w:hint="default" w:cs="Times New Roman"/>
                <w:highlight w:val="yellow"/>
              </w:rPr>
            </w:pPr>
          </w:p>
        </w:tc>
        <w:tc>
          <w:tcPr>
            <w:tcW w:w="1445" w:type="dxa"/>
            <w:tcBorders>
              <w:tl2br w:val="nil"/>
              <w:tr2bl w:val="nil"/>
            </w:tcBorders>
            <w:vAlign w:val="center"/>
          </w:tcPr>
          <w:p w14:paraId="64E9603C">
            <w:pPr>
              <w:keepNext w:val="0"/>
              <w:keepLines w:val="0"/>
              <w:widowControl w:val="0"/>
              <w:suppressLineNumbers w:val="0"/>
              <w:spacing w:before="0" w:beforeAutospacing="0" w:after="0" w:afterAutospacing="0"/>
              <w:ind w:left="0" w:leftChars="0" w:right="0" w:rightChars="0"/>
              <w:jc w:val="center"/>
              <w:rPr>
                <w:rFonts w:hint="default"/>
              </w:rPr>
            </w:pPr>
            <w:r>
              <w:rPr>
                <w:rFonts w:hint="default" w:ascii="Times New Roman" w:hAnsi="Times New Roman" w:eastAsia="宋体" w:cs="Times New Roman"/>
                <w:kern w:val="2"/>
                <w:sz w:val="21"/>
                <w:szCs w:val="21"/>
                <w:lang w:val="en-US" w:eastAsia="zh-CN" w:bidi="ar"/>
              </w:rPr>
              <w:t>NO</w:t>
            </w:r>
            <w:r>
              <w:rPr>
                <w:rFonts w:hint="default" w:ascii="Times New Roman" w:hAnsi="Times New Roman" w:eastAsia="宋体" w:cs="Times New Roman"/>
                <w:kern w:val="2"/>
                <w:sz w:val="21"/>
                <w:szCs w:val="21"/>
                <w:vertAlign w:val="subscript"/>
                <w:lang w:val="en-US" w:eastAsia="zh-CN" w:bidi="ar"/>
              </w:rPr>
              <w:t>X</w:t>
            </w:r>
          </w:p>
        </w:tc>
        <w:tc>
          <w:tcPr>
            <w:tcW w:w="1330" w:type="dxa"/>
            <w:tcBorders>
              <w:tl2br w:val="nil"/>
              <w:tr2bl w:val="nil"/>
            </w:tcBorders>
            <w:vAlign w:val="center"/>
          </w:tcPr>
          <w:p w14:paraId="2AF48200">
            <w:pPr>
              <w:keepNext w:val="0"/>
              <w:keepLines w:val="0"/>
              <w:widowControl w:val="0"/>
              <w:suppressLineNumbers w:val="0"/>
              <w:spacing w:before="0" w:beforeAutospacing="0" w:after="0" w:afterAutospacing="0"/>
              <w:ind w:left="0" w:leftChars="0" w:right="0" w:rightChars="0"/>
              <w:jc w:val="center"/>
              <w:rPr>
                <w:rFonts w:hint="default"/>
              </w:rPr>
            </w:pPr>
            <w:r>
              <w:rPr>
                <w:rFonts w:hint="eastAsia" w:ascii="Times New Roman" w:hAnsi="Times New Roman" w:eastAsia="宋体" w:cs="宋体"/>
                <w:kern w:val="2"/>
                <w:sz w:val="21"/>
                <w:szCs w:val="21"/>
                <w:lang w:val="en-US" w:eastAsia="zh-CN" w:bidi="ar"/>
              </w:rPr>
              <w:t>有组织</w:t>
            </w:r>
          </w:p>
        </w:tc>
        <w:tc>
          <w:tcPr>
            <w:tcW w:w="1846" w:type="dxa"/>
            <w:tcBorders>
              <w:tl2br w:val="nil"/>
              <w:tr2bl w:val="nil"/>
            </w:tcBorders>
            <w:vAlign w:val="center"/>
          </w:tcPr>
          <w:p w14:paraId="07C0E015">
            <w:pPr>
              <w:keepNext w:val="0"/>
              <w:keepLines w:val="0"/>
              <w:widowControl w:val="0"/>
              <w:suppressLineNumbers w:val="0"/>
              <w:spacing w:before="0" w:beforeAutospacing="0" w:after="0" w:afterAutospacing="0"/>
              <w:ind w:left="0" w:leftChars="0" w:right="0" w:rightChars="0"/>
              <w:jc w:val="center"/>
              <w:rPr>
                <w:rFonts w:hint="default" w:cs="Times New Roman"/>
                <w:highlight w:val="yellow"/>
              </w:rPr>
            </w:pPr>
            <w:r>
              <w:rPr>
                <w:rFonts w:hint="default" w:ascii="Times New Roman" w:hAnsi="Times New Roman" w:eastAsia="宋体" w:cs="Times New Roman"/>
                <w:kern w:val="2"/>
                <w:sz w:val="21"/>
                <w:szCs w:val="21"/>
                <w:lang w:val="en-US" w:eastAsia="zh-CN" w:bidi="ar"/>
              </w:rPr>
              <w:t>30</w:t>
            </w:r>
            <w:r>
              <w:rPr>
                <w:rFonts w:hint="default" w:ascii="Times New Roman" w:hAnsi="Times New Roman" w:eastAsia="宋体" w:cs="Times New Roman"/>
                <w:kern w:val="0"/>
                <w:sz w:val="21"/>
                <w:szCs w:val="21"/>
                <w:lang w:val="en-US" w:eastAsia="zh-CN" w:bidi="ar"/>
              </w:rPr>
              <w:t>mg/m</w:t>
            </w:r>
            <w:r>
              <w:rPr>
                <w:rFonts w:hint="default" w:ascii="Times New Roman" w:hAnsi="Times New Roman" w:eastAsia="宋体" w:cs="Times New Roman"/>
                <w:kern w:val="0"/>
                <w:sz w:val="21"/>
                <w:szCs w:val="21"/>
                <w:vertAlign w:val="superscript"/>
                <w:lang w:val="en-US" w:eastAsia="zh-CN" w:bidi="ar"/>
              </w:rPr>
              <w:t>3</w:t>
            </w:r>
          </w:p>
        </w:tc>
      </w:tr>
      <w:bookmarkEnd w:id="44"/>
      <w:bookmarkEnd w:id="45"/>
    </w:tbl>
    <w:p w14:paraId="6AA5C126">
      <w:pPr>
        <w:pStyle w:val="3"/>
        <w:spacing w:line="460" w:lineRule="exact"/>
        <w:rPr>
          <w:highlight w:val="none"/>
        </w:rPr>
      </w:pPr>
      <w:bookmarkStart w:id="46" w:name="_Toc504492841"/>
      <w:bookmarkStart w:id="47" w:name="_Toc501703543"/>
      <w:r>
        <w:rPr>
          <w:highlight w:val="none"/>
        </w:rPr>
        <w:t>6.</w:t>
      </w:r>
      <w:bookmarkEnd w:id="46"/>
      <w:bookmarkEnd w:id="47"/>
      <w:bookmarkStart w:id="48" w:name="_Toc501703544"/>
      <w:bookmarkStart w:id="49" w:name="_Toc504492842"/>
      <w:r>
        <w:rPr>
          <w:rFonts w:hint="eastAsia"/>
          <w:highlight w:val="none"/>
          <w:lang w:val="en-US" w:eastAsia="zh-CN"/>
        </w:rPr>
        <w:t>2</w:t>
      </w:r>
      <w:r>
        <w:rPr>
          <w:highlight w:val="none"/>
        </w:rPr>
        <w:t>噪声</w:t>
      </w:r>
      <w:bookmarkEnd w:id="48"/>
      <w:bookmarkEnd w:id="49"/>
    </w:p>
    <w:p w14:paraId="16209FDF">
      <w:pPr>
        <w:pStyle w:val="59"/>
        <w:spacing w:line="460" w:lineRule="exact"/>
        <w:ind w:firstLine="480"/>
        <w:rPr>
          <w:highlight w:val="none"/>
        </w:rPr>
      </w:pPr>
      <w:r>
        <w:rPr>
          <w:highlight w:val="none"/>
        </w:rPr>
        <w:t>本项目厂界噪声执行《工业企业厂界环境噪声排放标准》（GB12348-2008）2类标准，具体标准值见下表。</w:t>
      </w:r>
    </w:p>
    <w:p w14:paraId="1E512FA4">
      <w:pPr>
        <w:pStyle w:val="37"/>
        <w:spacing w:line="440" w:lineRule="exact"/>
        <w:ind w:firstLine="480"/>
        <w:rPr>
          <w:spacing w:val="0"/>
          <w:position w:val="0"/>
          <w:highlight w:val="none"/>
        </w:rPr>
      </w:pPr>
      <w:r>
        <w:rPr>
          <w:spacing w:val="0"/>
          <w:position w:val="0"/>
          <w:highlight w:val="none"/>
        </w:rPr>
        <w:t>表6-</w:t>
      </w:r>
      <w:r>
        <w:rPr>
          <w:rFonts w:hint="eastAsia"/>
          <w:spacing w:val="0"/>
          <w:position w:val="0"/>
          <w:highlight w:val="none"/>
          <w:lang w:val="en-US" w:eastAsia="zh-CN"/>
        </w:rPr>
        <w:t>2</w:t>
      </w:r>
      <w:r>
        <w:rPr>
          <w:spacing w:val="0"/>
          <w:position w:val="0"/>
          <w:highlight w:val="none"/>
        </w:rPr>
        <w:t xml:space="preserve">        工业企业厂界环境噪声排放标准         单位：dB（A）</w:t>
      </w:r>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37"/>
        <w:gridCol w:w="3366"/>
        <w:gridCol w:w="2919"/>
      </w:tblGrid>
      <w:tr w14:paraId="6F4518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2" w:type="dxa"/>
            <w:tcBorders>
              <w:tl2br w:val="nil"/>
              <w:tr2bl w:val="nil"/>
            </w:tcBorders>
            <w:vAlign w:val="center"/>
          </w:tcPr>
          <w:p w14:paraId="11E75351">
            <w:pPr>
              <w:pStyle w:val="69"/>
              <w:keepLines w:val="0"/>
              <w:suppressLineNumbers w:val="0"/>
              <w:spacing w:before="0" w:beforeAutospacing="0" w:after="0" w:afterAutospacing="0"/>
              <w:ind w:left="0" w:right="0"/>
              <w:rPr>
                <w:rFonts w:hint="default"/>
                <w:highlight w:val="none"/>
              </w:rPr>
            </w:pPr>
            <w:r>
              <w:rPr>
                <w:rFonts w:hint="default"/>
                <w:highlight w:val="none"/>
              </w:rPr>
              <w:t>类别</w:t>
            </w:r>
          </w:p>
        </w:tc>
        <w:tc>
          <w:tcPr>
            <w:tcW w:w="3239" w:type="dxa"/>
            <w:tcBorders>
              <w:tl2br w:val="nil"/>
              <w:tr2bl w:val="nil"/>
            </w:tcBorders>
            <w:vAlign w:val="center"/>
          </w:tcPr>
          <w:p w14:paraId="7D11C992">
            <w:pPr>
              <w:pStyle w:val="69"/>
              <w:keepLines w:val="0"/>
              <w:suppressLineNumbers w:val="0"/>
              <w:spacing w:before="0" w:beforeAutospacing="0" w:after="0" w:afterAutospacing="0"/>
              <w:ind w:left="0" w:right="0"/>
              <w:rPr>
                <w:rFonts w:hint="default"/>
                <w:highlight w:val="none"/>
              </w:rPr>
            </w:pPr>
            <w:r>
              <w:rPr>
                <w:rFonts w:hint="default"/>
                <w:highlight w:val="none"/>
              </w:rPr>
              <w:t>昼间</w:t>
            </w:r>
          </w:p>
        </w:tc>
        <w:tc>
          <w:tcPr>
            <w:tcW w:w="2809" w:type="dxa"/>
            <w:tcBorders>
              <w:tl2br w:val="nil"/>
              <w:tr2bl w:val="nil"/>
            </w:tcBorders>
            <w:vAlign w:val="center"/>
          </w:tcPr>
          <w:p w14:paraId="39F3124D">
            <w:pPr>
              <w:pStyle w:val="69"/>
              <w:keepLines w:val="0"/>
              <w:suppressLineNumbers w:val="0"/>
              <w:spacing w:before="0" w:beforeAutospacing="0" w:after="0" w:afterAutospacing="0"/>
              <w:ind w:left="0" w:right="0"/>
              <w:rPr>
                <w:rFonts w:hint="default"/>
                <w:highlight w:val="none"/>
              </w:rPr>
            </w:pPr>
            <w:r>
              <w:rPr>
                <w:rFonts w:hint="default"/>
                <w:highlight w:val="none"/>
              </w:rPr>
              <w:t>夜间</w:t>
            </w:r>
          </w:p>
        </w:tc>
      </w:tr>
      <w:tr w14:paraId="5B8CCE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2" w:type="dxa"/>
            <w:tcBorders>
              <w:tl2br w:val="nil"/>
              <w:tr2bl w:val="nil"/>
            </w:tcBorders>
            <w:vAlign w:val="center"/>
          </w:tcPr>
          <w:p w14:paraId="4C53D361">
            <w:pPr>
              <w:pStyle w:val="38"/>
              <w:keepNext w:val="0"/>
              <w:keepLines w:val="0"/>
              <w:suppressLineNumbers w:val="0"/>
              <w:spacing w:before="0" w:beforeAutospacing="0" w:after="0" w:afterAutospacing="0"/>
              <w:ind w:left="0" w:right="0"/>
              <w:rPr>
                <w:rFonts w:hint="default"/>
                <w:highlight w:val="none"/>
              </w:rPr>
            </w:pPr>
            <w:r>
              <w:rPr>
                <w:rFonts w:hint="default"/>
                <w:highlight w:val="none"/>
              </w:rPr>
              <w:t>2类</w:t>
            </w:r>
          </w:p>
        </w:tc>
        <w:tc>
          <w:tcPr>
            <w:tcW w:w="3239" w:type="dxa"/>
            <w:tcBorders>
              <w:tl2br w:val="nil"/>
              <w:tr2bl w:val="nil"/>
            </w:tcBorders>
            <w:vAlign w:val="center"/>
          </w:tcPr>
          <w:p w14:paraId="6C1D8838">
            <w:pPr>
              <w:pStyle w:val="38"/>
              <w:keepNext w:val="0"/>
              <w:keepLines w:val="0"/>
              <w:suppressLineNumbers w:val="0"/>
              <w:spacing w:before="0" w:beforeAutospacing="0" w:after="0" w:afterAutospacing="0"/>
              <w:ind w:left="0" w:right="0"/>
              <w:rPr>
                <w:rFonts w:hint="default"/>
                <w:highlight w:val="none"/>
              </w:rPr>
            </w:pPr>
            <w:r>
              <w:rPr>
                <w:rFonts w:hint="default"/>
                <w:highlight w:val="none"/>
              </w:rPr>
              <w:t>60</w:t>
            </w:r>
          </w:p>
        </w:tc>
        <w:tc>
          <w:tcPr>
            <w:tcW w:w="2809" w:type="dxa"/>
            <w:tcBorders>
              <w:tl2br w:val="nil"/>
              <w:tr2bl w:val="nil"/>
            </w:tcBorders>
            <w:vAlign w:val="center"/>
          </w:tcPr>
          <w:p w14:paraId="5FC5C72D">
            <w:pPr>
              <w:pStyle w:val="38"/>
              <w:keepNext w:val="0"/>
              <w:keepLines w:val="0"/>
              <w:suppressLineNumbers w:val="0"/>
              <w:spacing w:before="0" w:beforeAutospacing="0" w:after="0" w:afterAutospacing="0"/>
              <w:ind w:left="0" w:right="0"/>
              <w:rPr>
                <w:rFonts w:hint="default"/>
                <w:highlight w:val="none"/>
              </w:rPr>
            </w:pPr>
            <w:r>
              <w:rPr>
                <w:rFonts w:hint="default"/>
                <w:highlight w:val="none"/>
              </w:rPr>
              <w:t>50</w:t>
            </w:r>
          </w:p>
        </w:tc>
      </w:tr>
    </w:tbl>
    <w:p w14:paraId="693AA8F0">
      <w:pPr>
        <w:pStyle w:val="26"/>
        <w:rPr>
          <w:highlight w:val="none"/>
        </w:rPr>
      </w:pPr>
      <w:bookmarkStart w:id="50" w:name="_Toc504492845"/>
      <w:bookmarkStart w:id="51" w:name="_Toc501703547"/>
      <w:r>
        <w:rPr>
          <w:highlight w:val="none"/>
        </w:rPr>
        <w:t>7、验收监测内容</w:t>
      </w:r>
      <w:bookmarkEnd w:id="50"/>
      <w:bookmarkEnd w:id="51"/>
    </w:p>
    <w:p w14:paraId="7EC4253D">
      <w:pPr>
        <w:pStyle w:val="3"/>
        <w:spacing w:before="0" w:after="0" w:line="500" w:lineRule="exact"/>
        <w:rPr>
          <w:highlight w:val="none"/>
        </w:rPr>
      </w:pPr>
      <w:bookmarkStart w:id="52" w:name="_Toc504492846"/>
      <w:bookmarkStart w:id="53" w:name="_Toc501703548"/>
      <w:r>
        <w:rPr>
          <w:highlight w:val="none"/>
        </w:rPr>
        <w:t>7.1</w:t>
      </w:r>
      <w:bookmarkEnd w:id="52"/>
      <w:r>
        <w:rPr>
          <w:highlight w:val="none"/>
        </w:rPr>
        <w:t>废气</w:t>
      </w:r>
    </w:p>
    <w:p w14:paraId="028F26D1">
      <w:pPr>
        <w:spacing w:line="500" w:lineRule="exact"/>
        <w:ind w:firstLine="480" w:firstLineChars="200"/>
        <w:rPr>
          <w:rFonts w:cs="Times New Roman"/>
          <w:highlight w:val="none"/>
        </w:rPr>
      </w:pPr>
      <w:r>
        <w:rPr>
          <w:rFonts w:cs="Times New Roman"/>
          <w:sz w:val="24"/>
          <w:highlight w:val="none"/>
        </w:rPr>
        <w:t>项目</w:t>
      </w:r>
      <w:r>
        <w:rPr>
          <w:rFonts w:hint="eastAsia" w:cs="Times New Roman"/>
          <w:sz w:val="24"/>
          <w:highlight w:val="none"/>
          <w:lang w:val="en-US" w:eastAsia="zh-CN"/>
        </w:rPr>
        <w:t>燃气锅炉采取低氮燃烧后尾气经1根</w:t>
      </w:r>
      <w:r>
        <w:rPr>
          <w:rFonts w:cs="Times New Roman"/>
          <w:sz w:val="24"/>
          <w:highlight w:val="none"/>
        </w:rPr>
        <w:t>经15m高排气筒排放。</w:t>
      </w:r>
    </w:p>
    <w:p w14:paraId="6118E8B6">
      <w:pPr>
        <w:spacing w:line="520" w:lineRule="exact"/>
        <w:ind w:firstLine="480" w:firstLineChars="200"/>
        <w:textAlignment w:val="baseline"/>
        <w:rPr>
          <w:rFonts w:eastAsia="黑体" w:cs="Times New Roman"/>
          <w:bCs/>
          <w:sz w:val="24"/>
          <w:szCs w:val="24"/>
          <w:highlight w:val="none"/>
        </w:rPr>
      </w:pPr>
      <w:r>
        <w:rPr>
          <w:rFonts w:eastAsia="黑体" w:cs="Times New Roman"/>
          <w:bCs/>
          <w:sz w:val="24"/>
          <w:szCs w:val="24"/>
          <w:highlight w:val="none"/>
        </w:rPr>
        <w:t>表7-1                  废气监测内容一览表</w:t>
      </w:r>
    </w:p>
    <w:tbl>
      <w:tblPr>
        <w:tblStyle w:val="30"/>
        <w:tblW w:w="5000" w:type="pct"/>
        <w:jc w:val="center"/>
        <w:tblBorders>
          <w:top w:val="single" w:color="000000" w:themeColor="text1" w:sz="4" w:space="0"/>
          <w:left w:val="single" w:color="000000" w:themeColor="text1" w:sz="8" w:space="0"/>
          <w:bottom w:val="single" w:color="000000" w:themeColor="text1" w:sz="4" w:space="0"/>
          <w:right w:val="single" w:color="000000" w:themeColor="text1" w:sz="8"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56"/>
        <w:gridCol w:w="2945"/>
        <w:gridCol w:w="2051"/>
        <w:gridCol w:w="2670"/>
      </w:tblGrid>
      <w:tr w14:paraId="2960B3D5">
        <w:tblPrEx>
          <w:tblBorders>
            <w:top w:val="single" w:color="000000" w:themeColor="text1" w:sz="4" w:space="0"/>
            <w:left w:val="single" w:color="000000" w:themeColor="text1" w:sz="8" w:space="0"/>
            <w:bottom w:val="single" w:color="000000" w:themeColor="text1" w:sz="4" w:space="0"/>
            <w:right w:val="single" w:color="000000" w:themeColor="text1" w:sz="8"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863" w:type="dxa"/>
            <w:tcBorders>
              <w:tl2br w:val="nil"/>
              <w:tr2bl w:val="nil"/>
            </w:tcBorders>
            <w:vAlign w:val="center"/>
          </w:tcPr>
          <w:p w14:paraId="4F5D357A">
            <w:pPr>
              <w:keepNext w:val="0"/>
              <w:keepLines w:val="0"/>
              <w:suppressLineNumbers w:val="0"/>
              <w:spacing w:before="0" w:beforeAutospacing="0" w:after="0" w:afterAutospacing="0"/>
              <w:ind w:left="0" w:right="0"/>
              <w:jc w:val="center"/>
              <w:rPr>
                <w:rFonts w:hint="default" w:cs="Times New Roman"/>
                <w:b/>
                <w:highlight w:val="none"/>
              </w:rPr>
            </w:pPr>
            <w:r>
              <w:rPr>
                <w:rFonts w:hint="default" w:cs="Times New Roman"/>
                <w:b/>
                <w:highlight w:val="none"/>
              </w:rPr>
              <w:t>污染物</w:t>
            </w:r>
          </w:p>
        </w:tc>
        <w:tc>
          <w:tcPr>
            <w:tcW w:w="2977" w:type="dxa"/>
            <w:tcBorders>
              <w:tl2br w:val="nil"/>
              <w:tr2bl w:val="nil"/>
            </w:tcBorders>
            <w:vAlign w:val="center"/>
          </w:tcPr>
          <w:p w14:paraId="4E879F74">
            <w:pPr>
              <w:keepNext w:val="0"/>
              <w:keepLines w:val="0"/>
              <w:suppressLineNumbers w:val="0"/>
              <w:spacing w:before="0" w:beforeAutospacing="0" w:after="0" w:afterAutospacing="0"/>
              <w:ind w:left="0" w:right="0"/>
              <w:jc w:val="center"/>
              <w:rPr>
                <w:rFonts w:hint="default" w:cs="Times New Roman"/>
                <w:b/>
                <w:highlight w:val="none"/>
              </w:rPr>
            </w:pPr>
            <w:r>
              <w:rPr>
                <w:rFonts w:hint="default" w:cs="Times New Roman"/>
                <w:b/>
                <w:highlight w:val="none"/>
              </w:rPr>
              <w:t>监测点位</w:t>
            </w:r>
          </w:p>
        </w:tc>
        <w:tc>
          <w:tcPr>
            <w:tcW w:w="2072" w:type="dxa"/>
            <w:tcBorders>
              <w:tl2br w:val="nil"/>
              <w:tr2bl w:val="nil"/>
            </w:tcBorders>
            <w:vAlign w:val="center"/>
          </w:tcPr>
          <w:p w14:paraId="3C97B88B">
            <w:pPr>
              <w:keepNext w:val="0"/>
              <w:keepLines w:val="0"/>
              <w:suppressLineNumbers w:val="0"/>
              <w:spacing w:before="0" w:beforeAutospacing="0" w:after="0" w:afterAutospacing="0"/>
              <w:ind w:left="0" w:right="0"/>
              <w:jc w:val="center"/>
              <w:rPr>
                <w:rFonts w:hint="default" w:cs="Times New Roman"/>
                <w:b/>
                <w:highlight w:val="none"/>
              </w:rPr>
            </w:pPr>
            <w:r>
              <w:rPr>
                <w:rFonts w:hint="default" w:cs="Times New Roman"/>
                <w:b/>
                <w:highlight w:val="none"/>
              </w:rPr>
              <w:t>监测因子</w:t>
            </w:r>
          </w:p>
        </w:tc>
        <w:tc>
          <w:tcPr>
            <w:tcW w:w="2701" w:type="dxa"/>
            <w:tcBorders>
              <w:tl2br w:val="nil"/>
              <w:tr2bl w:val="nil"/>
            </w:tcBorders>
            <w:vAlign w:val="center"/>
          </w:tcPr>
          <w:p w14:paraId="53C85381">
            <w:pPr>
              <w:keepNext w:val="0"/>
              <w:keepLines w:val="0"/>
              <w:suppressLineNumbers w:val="0"/>
              <w:spacing w:before="0" w:beforeAutospacing="0" w:after="0" w:afterAutospacing="0"/>
              <w:ind w:left="0" w:right="0"/>
              <w:jc w:val="center"/>
              <w:rPr>
                <w:rFonts w:hint="default" w:cs="Times New Roman"/>
                <w:b/>
                <w:highlight w:val="none"/>
              </w:rPr>
            </w:pPr>
            <w:r>
              <w:rPr>
                <w:rFonts w:hint="default" w:cs="Times New Roman"/>
                <w:b/>
                <w:highlight w:val="none"/>
              </w:rPr>
              <w:t>监测频次</w:t>
            </w:r>
          </w:p>
        </w:tc>
      </w:tr>
      <w:tr w14:paraId="4B3ED1DE">
        <w:tblPrEx>
          <w:tblBorders>
            <w:top w:val="single" w:color="000000" w:themeColor="text1" w:sz="4" w:space="0"/>
            <w:left w:val="single" w:color="000000" w:themeColor="text1" w:sz="8" w:space="0"/>
            <w:bottom w:val="single" w:color="000000" w:themeColor="text1" w:sz="4" w:space="0"/>
            <w:right w:val="single" w:color="000000" w:themeColor="text1" w:sz="8"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863" w:type="dxa"/>
            <w:tcBorders>
              <w:tl2br w:val="nil"/>
              <w:tr2bl w:val="nil"/>
            </w:tcBorders>
            <w:vAlign w:val="center"/>
          </w:tcPr>
          <w:p w14:paraId="21F9FD80">
            <w:pPr>
              <w:keepNext w:val="0"/>
              <w:keepLines w:val="0"/>
              <w:suppressLineNumbers w:val="0"/>
              <w:spacing w:before="0" w:beforeAutospacing="0" w:after="0" w:afterAutospacing="0"/>
              <w:ind w:left="0" w:right="0"/>
              <w:jc w:val="center"/>
              <w:rPr>
                <w:rFonts w:hint="default" w:cs="Times New Roman"/>
                <w:highlight w:val="none"/>
              </w:rPr>
            </w:pPr>
            <w:r>
              <w:rPr>
                <w:rFonts w:hint="default" w:cs="Times New Roman"/>
                <w:highlight w:val="none"/>
              </w:rPr>
              <w:t>废气</w:t>
            </w:r>
          </w:p>
        </w:tc>
        <w:tc>
          <w:tcPr>
            <w:tcW w:w="2977" w:type="dxa"/>
            <w:tcBorders>
              <w:tl2br w:val="nil"/>
              <w:tr2bl w:val="nil"/>
            </w:tcBorders>
            <w:vAlign w:val="center"/>
          </w:tcPr>
          <w:p w14:paraId="2AC776B3">
            <w:pPr>
              <w:keepNext w:val="0"/>
              <w:keepLines w:val="0"/>
              <w:suppressLineNumbers w:val="0"/>
              <w:spacing w:before="0" w:beforeAutospacing="0" w:after="0" w:afterAutospacing="0"/>
              <w:ind w:left="0" w:right="0"/>
              <w:jc w:val="center"/>
              <w:rPr>
                <w:rFonts w:hint="default" w:cs="Times New Roman"/>
                <w:highlight w:val="none"/>
              </w:rPr>
            </w:pPr>
            <w:r>
              <w:rPr>
                <w:rFonts w:hint="default" w:cs="Times New Roman"/>
                <w:highlight w:val="none"/>
                <w:lang w:val="en-US" w:eastAsia="zh-CN"/>
              </w:rPr>
              <w:t>燃气锅炉排气筒DA007出口</w:t>
            </w:r>
          </w:p>
        </w:tc>
        <w:tc>
          <w:tcPr>
            <w:tcW w:w="2072" w:type="dxa"/>
            <w:tcBorders>
              <w:tl2br w:val="nil"/>
              <w:tr2bl w:val="nil"/>
            </w:tcBorders>
            <w:vAlign w:val="center"/>
          </w:tcPr>
          <w:p w14:paraId="6A0EAFA3">
            <w:pPr>
              <w:keepNext w:val="0"/>
              <w:keepLines w:val="0"/>
              <w:suppressLineNumbers w:val="0"/>
              <w:spacing w:before="0" w:beforeAutospacing="0" w:after="0" w:afterAutospacing="0"/>
              <w:ind w:left="0" w:right="0"/>
              <w:jc w:val="center"/>
              <w:rPr>
                <w:rFonts w:hint="default" w:cs="Times New Roman"/>
                <w:highlight w:val="none"/>
              </w:rPr>
            </w:pPr>
            <w:r>
              <w:rPr>
                <w:rFonts w:hint="default" w:cs="Times New Roman"/>
                <w:highlight w:val="none"/>
              </w:rPr>
              <w:t>废气量、</w:t>
            </w:r>
            <w:r>
              <w:rPr>
                <w:rFonts w:hint="default" w:cs="Times New Roman"/>
                <w:highlight w:val="none"/>
                <w:lang w:val="en-US" w:eastAsia="zh-CN"/>
              </w:rPr>
              <w:t>颗粒物、二氧化硫、氮氧化物</w:t>
            </w:r>
          </w:p>
        </w:tc>
        <w:tc>
          <w:tcPr>
            <w:tcW w:w="2701" w:type="dxa"/>
            <w:tcBorders>
              <w:tl2br w:val="nil"/>
              <w:tr2bl w:val="nil"/>
            </w:tcBorders>
            <w:vAlign w:val="center"/>
          </w:tcPr>
          <w:p w14:paraId="4EA8CA25">
            <w:pPr>
              <w:keepNext w:val="0"/>
              <w:keepLines w:val="0"/>
              <w:suppressLineNumbers w:val="0"/>
              <w:spacing w:before="0" w:beforeAutospacing="0" w:after="0" w:afterAutospacing="0"/>
              <w:ind w:left="0" w:right="0"/>
              <w:jc w:val="center"/>
              <w:rPr>
                <w:rFonts w:hint="default" w:cs="Times New Roman"/>
                <w:highlight w:val="none"/>
              </w:rPr>
            </w:pPr>
            <w:r>
              <w:rPr>
                <w:rFonts w:hint="default" w:cs="Times New Roman"/>
                <w:highlight w:val="none"/>
              </w:rPr>
              <w:t>连续监测2天，每天监测3次</w:t>
            </w:r>
          </w:p>
        </w:tc>
      </w:tr>
    </w:tbl>
    <w:p w14:paraId="12C099F0">
      <w:pPr>
        <w:pStyle w:val="3"/>
        <w:spacing w:line="500" w:lineRule="exact"/>
        <w:rPr>
          <w:highlight w:val="none"/>
        </w:rPr>
      </w:pPr>
      <w:bookmarkStart w:id="54" w:name="_Toc501703549"/>
      <w:bookmarkStart w:id="55" w:name="_Toc504492847"/>
      <w:r>
        <w:rPr>
          <w:highlight w:val="none"/>
        </w:rPr>
        <w:t>7.</w:t>
      </w:r>
      <w:r>
        <w:rPr>
          <w:rFonts w:hint="eastAsia"/>
          <w:highlight w:val="none"/>
          <w:lang w:val="en-US" w:eastAsia="zh-CN"/>
        </w:rPr>
        <w:t>2</w:t>
      </w:r>
      <w:r>
        <w:rPr>
          <w:highlight w:val="none"/>
        </w:rPr>
        <w:t xml:space="preserve"> </w:t>
      </w:r>
      <w:bookmarkEnd w:id="54"/>
      <w:bookmarkEnd w:id="55"/>
      <w:r>
        <w:rPr>
          <w:highlight w:val="none"/>
        </w:rPr>
        <w:t>噪声</w:t>
      </w:r>
    </w:p>
    <w:p w14:paraId="6678A550">
      <w:pPr>
        <w:pStyle w:val="37"/>
        <w:spacing w:line="440" w:lineRule="exact"/>
        <w:ind w:firstLine="480"/>
        <w:rPr>
          <w:spacing w:val="0"/>
          <w:position w:val="0"/>
          <w:highlight w:val="none"/>
        </w:rPr>
      </w:pPr>
      <w:r>
        <w:rPr>
          <w:spacing w:val="0"/>
          <w:position w:val="0"/>
          <w:highlight w:val="none"/>
        </w:rPr>
        <w:t>表7-</w:t>
      </w:r>
      <w:r>
        <w:rPr>
          <w:rFonts w:hint="eastAsia"/>
          <w:spacing w:val="0"/>
          <w:position w:val="0"/>
          <w:highlight w:val="none"/>
          <w:lang w:val="en-US" w:eastAsia="zh-CN"/>
        </w:rPr>
        <w:t>2</w:t>
      </w:r>
      <w:r>
        <w:rPr>
          <w:spacing w:val="0"/>
          <w:position w:val="0"/>
          <w:highlight w:val="none"/>
        </w:rPr>
        <w:t xml:space="preserve">    </w:t>
      </w:r>
      <w:r>
        <w:rPr>
          <w:rFonts w:hint="eastAsia"/>
          <w:spacing w:val="0"/>
          <w:position w:val="0"/>
          <w:highlight w:val="none"/>
          <w:lang w:val="en-US" w:eastAsia="zh-CN"/>
        </w:rPr>
        <w:t xml:space="preserve">      </w:t>
      </w:r>
      <w:r>
        <w:rPr>
          <w:spacing w:val="0"/>
          <w:position w:val="0"/>
          <w:highlight w:val="none"/>
        </w:rPr>
        <w:t xml:space="preserve">          厂界噪声监测内容</w:t>
      </w:r>
    </w:p>
    <w:tbl>
      <w:tblPr>
        <w:tblStyle w:val="29"/>
        <w:tblW w:w="5000"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4273"/>
        <w:gridCol w:w="1246"/>
        <w:gridCol w:w="3003"/>
      </w:tblGrid>
      <w:tr w14:paraId="10E4A72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8" w:type="dxa"/>
            <w:tcBorders>
              <w:tl2br w:val="nil"/>
              <w:tr2bl w:val="nil"/>
            </w:tcBorders>
            <w:vAlign w:val="center"/>
          </w:tcPr>
          <w:p w14:paraId="179C19E7">
            <w:pPr>
              <w:pStyle w:val="69"/>
              <w:keepLines w:val="0"/>
              <w:suppressLineNumbers w:val="0"/>
              <w:spacing w:before="0" w:beforeAutospacing="0" w:after="0" w:afterAutospacing="0"/>
              <w:ind w:left="0" w:right="0"/>
              <w:rPr>
                <w:rFonts w:hint="default"/>
                <w:highlight w:val="none"/>
              </w:rPr>
            </w:pPr>
            <w:r>
              <w:rPr>
                <w:rFonts w:hint="default"/>
                <w:highlight w:val="none"/>
              </w:rPr>
              <w:t>监测点位</w:t>
            </w:r>
          </w:p>
        </w:tc>
        <w:tc>
          <w:tcPr>
            <w:tcW w:w="1277" w:type="dxa"/>
            <w:tcBorders>
              <w:tl2br w:val="nil"/>
              <w:tr2bl w:val="nil"/>
            </w:tcBorders>
            <w:vAlign w:val="center"/>
          </w:tcPr>
          <w:p w14:paraId="576A2BAC">
            <w:pPr>
              <w:pStyle w:val="69"/>
              <w:keepLines w:val="0"/>
              <w:suppressLineNumbers w:val="0"/>
              <w:spacing w:before="0" w:beforeAutospacing="0" w:after="0" w:afterAutospacing="0"/>
              <w:ind w:left="0" w:right="0"/>
              <w:rPr>
                <w:rFonts w:hint="default"/>
                <w:highlight w:val="none"/>
              </w:rPr>
            </w:pPr>
            <w:r>
              <w:rPr>
                <w:rFonts w:hint="default"/>
                <w:highlight w:val="none"/>
              </w:rPr>
              <w:t>监测项目</w:t>
            </w:r>
          </w:p>
        </w:tc>
        <w:tc>
          <w:tcPr>
            <w:tcW w:w="3088" w:type="dxa"/>
            <w:tcBorders>
              <w:tl2br w:val="nil"/>
              <w:tr2bl w:val="nil"/>
            </w:tcBorders>
            <w:vAlign w:val="center"/>
          </w:tcPr>
          <w:p w14:paraId="74E1DB6D">
            <w:pPr>
              <w:pStyle w:val="69"/>
              <w:keepLines w:val="0"/>
              <w:suppressLineNumbers w:val="0"/>
              <w:spacing w:before="0" w:beforeAutospacing="0" w:after="0" w:afterAutospacing="0"/>
              <w:ind w:left="0" w:right="0"/>
              <w:rPr>
                <w:rFonts w:hint="default"/>
                <w:highlight w:val="none"/>
              </w:rPr>
            </w:pPr>
            <w:r>
              <w:rPr>
                <w:rFonts w:hint="default"/>
                <w:highlight w:val="none"/>
              </w:rPr>
              <w:t>监测频次</w:t>
            </w:r>
          </w:p>
        </w:tc>
      </w:tr>
      <w:tr w14:paraId="433DCE0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8" w:type="dxa"/>
            <w:tcBorders>
              <w:tl2br w:val="nil"/>
              <w:tr2bl w:val="nil"/>
            </w:tcBorders>
            <w:vAlign w:val="center"/>
          </w:tcPr>
          <w:p w14:paraId="784C98FF">
            <w:pPr>
              <w:pStyle w:val="38"/>
              <w:keepNext w:val="0"/>
              <w:keepLines w:val="0"/>
              <w:suppressLineNumbers w:val="0"/>
              <w:spacing w:before="0" w:beforeAutospacing="0" w:after="0" w:afterAutospacing="0"/>
              <w:ind w:left="0" w:right="0"/>
              <w:rPr>
                <w:rFonts w:hint="default"/>
                <w:highlight w:val="none"/>
              </w:rPr>
            </w:pPr>
            <w:r>
              <w:rPr>
                <w:rFonts w:hint="default"/>
                <w:highlight w:val="none"/>
              </w:rPr>
              <w:t>南厂界外1m</w:t>
            </w:r>
          </w:p>
          <w:p w14:paraId="67C18146">
            <w:pPr>
              <w:pStyle w:val="38"/>
              <w:keepNext w:val="0"/>
              <w:keepLines w:val="0"/>
              <w:suppressLineNumbers w:val="0"/>
              <w:spacing w:before="0" w:beforeAutospacing="0" w:after="0" w:afterAutospacing="0"/>
              <w:ind w:left="0" w:right="0"/>
              <w:rPr>
                <w:rFonts w:hint="default"/>
                <w:highlight w:val="none"/>
              </w:rPr>
            </w:pPr>
            <w:r>
              <w:rPr>
                <w:rFonts w:hint="default"/>
                <w:highlight w:val="none"/>
              </w:rPr>
              <w:t>各布设1个监测点位，共4个监测点</w:t>
            </w:r>
          </w:p>
        </w:tc>
        <w:tc>
          <w:tcPr>
            <w:tcW w:w="1277" w:type="dxa"/>
            <w:tcBorders>
              <w:tl2br w:val="nil"/>
              <w:tr2bl w:val="nil"/>
            </w:tcBorders>
            <w:vAlign w:val="center"/>
          </w:tcPr>
          <w:p w14:paraId="6A304CD1">
            <w:pPr>
              <w:pStyle w:val="38"/>
              <w:keepNext w:val="0"/>
              <w:keepLines w:val="0"/>
              <w:suppressLineNumbers w:val="0"/>
              <w:spacing w:before="0" w:beforeAutospacing="0" w:after="0" w:afterAutospacing="0"/>
              <w:ind w:left="0" w:right="0"/>
              <w:rPr>
                <w:rFonts w:hint="default"/>
                <w:highlight w:val="none"/>
              </w:rPr>
            </w:pPr>
            <w:r>
              <w:rPr>
                <w:rFonts w:hint="default"/>
                <w:highlight w:val="none"/>
              </w:rPr>
              <w:t>等效声级</w:t>
            </w:r>
          </w:p>
        </w:tc>
        <w:tc>
          <w:tcPr>
            <w:tcW w:w="3088" w:type="dxa"/>
            <w:tcBorders>
              <w:tl2br w:val="nil"/>
              <w:tr2bl w:val="nil"/>
            </w:tcBorders>
            <w:vAlign w:val="center"/>
          </w:tcPr>
          <w:p w14:paraId="73A14E66">
            <w:pPr>
              <w:pStyle w:val="38"/>
              <w:keepNext w:val="0"/>
              <w:keepLines w:val="0"/>
              <w:suppressLineNumbers w:val="0"/>
              <w:spacing w:before="0" w:beforeAutospacing="0" w:after="0" w:afterAutospacing="0"/>
              <w:ind w:left="0" w:right="0"/>
              <w:rPr>
                <w:rFonts w:hint="default"/>
                <w:highlight w:val="none"/>
              </w:rPr>
            </w:pPr>
            <w:r>
              <w:rPr>
                <w:rFonts w:hint="default"/>
                <w:highlight w:val="none"/>
              </w:rPr>
              <w:t>每天昼、夜各一次，连续2天</w:t>
            </w:r>
          </w:p>
        </w:tc>
      </w:tr>
      <w:bookmarkEnd w:id="53"/>
    </w:tbl>
    <w:p w14:paraId="1D45FA81">
      <w:pPr>
        <w:spacing w:line="360" w:lineRule="auto"/>
        <w:jc w:val="left"/>
        <w:rPr>
          <w:rFonts w:eastAsia="仿宋" w:cs="Times New Roman"/>
          <w:kern w:val="0"/>
          <w:sz w:val="28"/>
          <w:szCs w:val="28"/>
          <w:highlight w:val="yellow"/>
        </w:rPr>
      </w:pPr>
    </w:p>
    <w:p w14:paraId="63387A40">
      <w:pPr>
        <w:spacing w:line="360" w:lineRule="auto"/>
        <w:jc w:val="left"/>
        <w:rPr>
          <w:rFonts w:eastAsia="仿宋" w:cs="Times New Roman"/>
          <w:kern w:val="0"/>
          <w:sz w:val="28"/>
          <w:szCs w:val="28"/>
          <w:highlight w:val="yellow"/>
        </w:rPr>
      </w:pPr>
    </w:p>
    <w:p w14:paraId="4688D12F">
      <w:pPr>
        <w:spacing w:line="360" w:lineRule="auto"/>
        <w:jc w:val="left"/>
        <w:rPr>
          <w:rFonts w:eastAsia="仿宋" w:cs="Times New Roman"/>
          <w:kern w:val="0"/>
          <w:sz w:val="28"/>
          <w:szCs w:val="28"/>
          <w:highlight w:val="yellow"/>
        </w:rPr>
      </w:pPr>
    </w:p>
    <w:p w14:paraId="4B54D14A">
      <w:pPr>
        <w:spacing w:line="360" w:lineRule="auto"/>
        <w:jc w:val="left"/>
        <w:rPr>
          <w:rFonts w:eastAsia="仿宋" w:cs="Times New Roman"/>
          <w:kern w:val="0"/>
          <w:sz w:val="28"/>
          <w:szCs w:val="28"/>
          <w:highlight w:val="none"/>
        </w:rPr>
      </w:pPr>
      <w:r>
        <w:rPr>
          <w:rFonts w:cs="Times New Roman"/>
          <w:sz w:val="32"/>
          <w:szCs w:val="32"/>
          <w:highlight w:val="none"/>
        </w:rPr>
        <w:object>
          <v:shape id="_x0000_i1025" o:spt="75" type="#_x0000_t75" style="height:505.3pt;width:415.05pt;" o:ole="t" filled="f" o:preferrelative="t" stroked="f" coordsize="21600,21600">
            <v:path/>
            <v:fill on="f" focussize="0,0"/>
            <v:stroke on="f"/>
            <v:imagedata r:id="rId9" o:title=""/>
            <o:lock v:ext="edit" aspectratio="f"/>
            <w10:wrap type="none"/>
            <w10:anchorlock/>
          </v:shape>
          <o:OLEObject Type="Embed" ProgID="Visio.Drawing.11" ShapeID="_x0000_i1025" DrawAspect="Content" ObjectID="_1468075725" r:id="rId8">
            <o:LockedField>false</o:LockedField>
          </o:OLEObject>
        </w:object>
      </w:r>
      <w:r>
        <w:rPr>
          <w:rFonts w:cs="Times New Roman"/>
          <w:sz w:val="32"/>
          <w:szCs w:val="32"/>
          <w:highlight w:val="none"/>
        </w:rPr>
        <w:drawing>
          <wp:anchor distT="0" distB="0" distL="114300" distR="114300" simplePos="0" relativeHeight="251662336" behindDoc="0" locked="0" layoutInCell="1" allowOverlap="1">
            <wp:simplePos x="0" y="0"/>
            <wp:positionH relativeFrom="column">
              <wp:posOffset>1905000</wp:posOffset>
            </wp:positionH>
            <wp:positionV relativeFrom="paragraph">
              <wp:posOffset>647700</wp:posOffset>
            </wp:positionV>
            <wp:extent cx="485775" cy="276225"/>
            <wp:effectExtent l="19050" t="0" r="9525" b="0"/>
            <wp:wrapNone/>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noChangeArrowheads="1"/>
                    </pic:cNvPicPr>
                  </pic:nvPicPr>
                  <pic:blipFill>
                    <a:blip r:embed="rId10"/>
                    <a:srcRect/>
                    <a:stretch>
                      <a:fillRect/>
                    </a:stretch>
                  </pic:blipFill>
                  <pic:spPr>
                    <a:xfrm>
                      <a:off x="0" y="0"/>
                      <a:ext cx="485775" cy="276225"/>
                    </a:xfrm>
                    <a:prstGeom prst="rect">
                      <a:avLst/>
                    </a:prstGeom>
                    <a:noFill/>
                    <a:ln w="9525">
                      <a:noFill/>
                      <a:miter lim="800000"/>
                      <a:headEnd/>
                      <a:tailEnd/>
                    </a:ln>
                  </pic:spPr>
                </pic:pic>
              </a:graphicData>
            </a:graphic>
          </wp:anchor>
        </w:drawing>
      </w:r>
    </w:p>
    <w:p w14:paraId="572215FB">
      <w:pPr>
        <w:ind w:firstLine="480"/>
        <w:jc w:val="center"/>
        <w:rPr>
          <w:rFonts w:eastAsia="仿宋" w:cs="Times New Roman"/>
          <w:kern w:val="0"/>
          <w:sz w:val="28"/>
          <w:szCs w:val="28"/>
          <w:highlight w:val="none"/>
        </w:rPr>
      </w:pPr>
      <w:r>
        <w:rPr>
          <w:rFonts w:cs="Times New Roman"/>
          <w:kern w:val="0"/>
          <w:sz w:val="24"/>
          <w:szCs w:val="24"/>
          <w:highlight w:val="none"/>
        </w:rPr>
        <w:pict>
          <v:rect id="_x0000_s1479" o:spid="_x0000_s1479" o:spt="1" style="position:absolute;left:0pt;margin-left:136.3pt;margin-top:706.1pt;height:27pt;width:281.5pt;z-index:251659264;mso-width-relative:page;mso-height-relative:page;" coordsize="21600,21600">
            <v:path/>
            <v:fill focussize="0,0"/>
            <v:stroke/>
            <v:imagedata o:title=""/>
            <o:lock v:ext="edit"/>
            <v:textbox>
              <w:txbxContent>
                <w:p w14:paraId="2B3554FD">
                  <w:pPr>
                    <w:rPr>
                      <w:rFonts w:ascii="宋体" w:hAnsi="宋体"/>
                    </w:rPr>
                  </w:pPr>
                  <w:r>
                    <w:rPr>
                      <w:rFonts w:hint="eastAsia" w:ascii="宋体" w:hAnsi="宋体"/>
                    </w:rPr>
                    <w:t>图例：</w:t>
                  </w:r>
                  <w:r>
                    <w:rPr>
                      <w:rFonts w:eastAsia="Times New Roman"/>
                      <w:kern w:val="0"/>
                      <w:sz w:val="20"/>
                      <w:szCs w:val="20"/>
                    </w:rPr>
                    <w:drawing>
                      <wp:inline distT="0" distB="0" distL="0" distR="0">
                        <wp:extent cx="142875" cy="180975"/>
                        <wp:effectExtent l="1905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1"/>
                                <a:srcRect/>
                                <a:stretch>
                                  <a:fillRect/>
                                </a:stretch>
                              </pic:blipFill>
                              <pic:spPr>
                                <a:xfrm>
                                  <a:off x="0" y="0"/>
                                  <a:ext cx="142875" cy="180975"/>
                                </a:xfrm>
                                <a:prstGeom prst="rect">
                                  <a:avLst/>
                                </a:prstGeom>
                                <a:noFill/>
                                <a:ln w="9525">
                                  <a:noFill/>
                                  <a:miter lim="800000"/>
                                  <a:headEnd/>
                                  <a:tailEnd/>
                                </a:ln>
                              </pic:spPr>
                            </pic:pic>
                          </a:graphicData>
                        </a:graphic>
                      </wp:inline>
                    </w:drawing>
                  </w:r>
                  <w:r>
                    <w:rPr>
                      <w:rFonts w:hint="eastAsia" w:ascii="宋体" w:hAnsi="宋体"/>
                    </w:rPr>
                    <w:t xml:space="preserve"> 噪声监测点位；           废水监测点位</w:t>
                  </w:r>
                </w:p>
              </w:txbxContent>
            </v:textbox>
          </v:rect>
        </w:pict>
      </w:r>
      <w:r>
        <w:rPr>
          <w:rFonts w:eastAsia="黑体" w:cs="Times New Roman"/>
          <w:sz w:val="24"/>
          <w:highlight w:val="none"/>
        </w:rPr>
        <w:t>图7-1     本项目厂区平面及监测点位图</w:t>
      </w:r>
    </w:p>
    <w:p w14:paraId="69673172">
      <w:pPr>
        <w:spacing w:line="360" w:lineRule="auto"/>
        <w:jc w:val="left"/>
        <w:rPr>
          <w:rFonts w:eastAsia="仿宋" w:cs="Times New Roman"/>
          <w:kern w:val="0"/>
          <w:sz w:val="28"/>
          <w:szCs w:val="28"/>
          <w:highlight w:val="yellow"/>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5F339008">
      <w:pPr>
        <w:pStyle w:val="26"/>
        <w:spacing w:after="240" w:line="520" w:lineRule="exact"/>
        <w:rPr>
          <w:highlight w:val="none"/>
        </w:rPr>
      </w:pPr>
      <w:bookmarkStart w:id="56" w:name="_Toc504492849"/>
      <w:bookmarkStart w:id="57" w:name="_Toc501703551"/>
      <w:r>
        <w:rPr>
          <w:highlight w:val="none"/>
        </w:rPr>
        <w:t>8、质量保证及质量控制</w:t>
      </w:r>
      <w:bookmarkEnd w:id="56"/>
      <w:bookmarkEnd w:id="57"/>
    </w:p>
    <w:p w14:paraId="5557C95A">
      <w:pPr>
        <w:pStyle w:val="3"/>
        <w:spacing w:line="520" w:lineRule="exact"/>
        <w:rPr>
          <w:highlight w:val="none"/>
        </w:rPr>
      </w:pPr>
      <w:bookmarkStart w:id="58" w:name="_Toc504492850"/>
      <w:bookmarkStart w:id="59" w:name="_Toc501703552"/>
      <w:r>
        <w:rPr>
          <w:highlight w:val="none"/>
        </w:rPr>
        <w:t>8.1 监测分析方法及监测仪器</w:t>
      </w:r>
      <w:bookmarkEnd w:id="58"/>
      <w:bookmarkEnd w:id="59"/>
    </w:p>
    <w:p w14:paraId="00506621">
      <w:pPr>
        <w:pStyle w:val="59"/>
        <w:spacing w:line="520" w:lineRule="exact"/>
        <w:ind w:firstLine="199" w:firstLineChars="83"/>
        <w:rPr>
          <w:highlight w:val="none"/>
        </w:rPr>
      </w:pPr>
      <w:r>
        <w:rPr>
          <w:highlight w:val="none"/>
        </w:rPr>
        <w:t>监测分析方法及监测仪器见下表。</w:t>
      </w:r>
    </w:p>
    <w:tbl>
      <w:tblPr>
        <w:tblStyle w:val="29"/>
        <w:tblpPr w:leftFromText="180" w:rightFromText="180" w:vertAnchor="text" w:horzAnchor="margin" w:tblpY="647"/>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Layout w:type="fixed"/>
        <w:tblCellMar>
          <w:top w:w="0" w:type="dxa"/>
          <w:left w:w="108" w:type="dxa"/>
          <w:bottom w:w="0" w:type="dxa"/>
          <w:right w:w="108" w:type="dxa"/>
        </w:tblCellMar>
      </w:tblPr>
      <w:tblGrid>
        <w:gridCol w:w="946"/>
        <w:gridCol w:w="1080"/>
        <w:gridCol w:w="2655"/>
        <w:gridCol w:w="2775"/>
        <w:gridCol w:w="1066"/>
      </w:tblGrid>
      <w:tr w14:paraId="12B7F4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397" w:hRule="atLeast"/>
          <w:tblHeader/>
        </w:trPr>
        <w:tc>
          <w:tcPr>
            <w:tcW w:w="946" w:type="dxa"/>
            <w:tcBorders>
              <w:tl2br w:val="nil"/>
              <w:tr2bl w:val="nil"/>
            </w:tcBorders>
            <w:vAlign w:val="center"/>
          </w:tcPr>
          <w:p w14:paraId="1BD9ACE1">
            <w:pPr>
              <w:keepNext w:val="0"/>
              <w:keepLines w:val="0"/>
              <w:suppressLineNumbers w:val="0"/>
              <w:snapToGrid w:val="0"/>
              <w:spacing w:before="0" w:beforeAutospacing="0" w:after="0" w:afterAutospacing="0"/>
              <w:ind w:left="0" w:right="0"/>
              <w:jc w:val="center"/>
              <w:rPr>
                <w:rFonts w:hint="default" w:cs="Times New Roman"/>
                <w:b/>
                <w:bCs/>
                <w:highlight w:val="none"/>
              </w:rPr>
            </w:pPr>
            <w:r>
              <w:rPr>
                <w:rFonts w:hint="default" w:cs="Times New Roman"/>
                <w:b/>
                <w:bCs/>
                <w:highlight w:val="none"/>
              </w:rPr>
              <w:t>检测</w:t>
            </w:r>
          </w:p>
          <w:p w14:paraId="64F6C212">
            <w:pPr>
              <w:keepNext w:val="0"/>
              <w:keepLines w:val="0"/>
              <w:suppressLineNumbers w:val="0"/>
              <w:snapToGrid w:val="0"/>
              <w:spacing w:before="0" w:beforeAutospacing="0" w:after="0" w:afterAutospacing="0"/>
              <w:ind w:left="0" w:right="0"/>
              <w:jc w:val="center"/>
              <w:rPr>
                <w:rFonts w:hint="default" w:cs="Times New Roman"/>
                <w:b/>
                <w:bCs/>
                <w:highlight w:val="none"/>
              </w:rPr>
            </w:pPr>
            <w:r>
              <w:rPr>
                <w:rFonts w:hint="default" w:cs="Times New Roman"/>
                <w:b/>
                <w:bCs/>
                <w:highlight w:val="none"/>
              </w:rPr>
              <w:t>类别</w:t>
            </w:r>
          </w:p>
        </w:tc>
        <w:tc>
          <w:tcPr>
            <w:tcW w:w="1080" w:type="dxa"/>
            <w:tcBorders>
              <w:tl2br w:val="nil"/>
              <w:tr2bl w:val="nil"/>
            </w:tcBorders>
            <w:vAlign w:val="center"/>
          </w:tcPr>
          <w:p w14:paraId="3C2FAACB">
            <w:pPr>
              <w:keepNext w:val="0"/>
              <w:keepLines w:val="0"/>
              <w:suppressLineNumbers w:val="0"/>
              <w:snapToGrid w:val="0"/>
              <w:spacing w:before="0" w:beforeAutospacing="0" w:after="0" w:afterAutospacing="0"/>
              <w:ind w:left="0" w:right="0"/>
              <w:jc w:val="center"/>
              <w:rPr>
                <w:rFonts w:hint="default" w:cs="Times New Roman"/>
                <w:b/>
                <w:bCs/>
                <w:highlight w:val="none"/>
              </w:rPr>
            </w:pPr>
            <w:r>
              <w:rPr>
                <w:rFonts w:hint="default" w:cs="Times New Roman"/>
                <w:b/>
                <w:bCs/>
                <w:highlight w:val="none"/>
              </w:rPr>
              <w:t>检测</w:t>
            </w:r>
          </w:p>
          <w:p w14:paraId="32CE6164">
            <w:pPr>
              <w:keepNext w:val="0"/>
              <w:keepLines w:val="0"/>
              <w:suppressLineNumbers w:val="0"/>
              <w:snapToGrid w:val="0"/>
              <w:spacing w:before="0" w:beforeAutospacing="0" w:after="0" w:afterAutospacing="0"/>
              <w:ind w:left="0" w:right="0"/>
              <w:jc w:val="center"/>
              <w:rPr>
                <w:rFonts w:hint="default" w:cs="Times New Roman"/>
                <w:b/>
                <w:bCs/>
                <w:highlight w:val="none"/>
              </w:rPr>
            </w:pPr>
            <w:r>
              <w:rPr>
                <w:rFonts w:hint="default" w:cs="Times New Roman"/>
                <w:b/>
                <w:bCs/>
                <w:highlight w:val="none"/>
              </w:rPr>
              <w:t>项目</w:t>
            </w:r>
          </w:p>
        </w:tc>
        <w:tc>
          <w:tcPr>
            <w:tcW w:w="2655" w:type="dxa"/>
            <w:tcBorders>
              <w:tl2br w:val="nil"/>
              <w:tr2bl w:val="nil"/>
            </w:tcBorders>
            <w:vAlign w:val="center"/>
          </w:tcPr>
          <w:p w14:paraId="6FED6B60">
            <w:pPr>
              <w:keepNext w:val="0"/>
              <w:keepLines w:val="0"/>
              <w:suppressLineNumbers w:val="0"/>
              <w:snapToGrid w:val="0"/>
              <w:spacing w:before="0" w:beforeAutospacing="0" w:after="0" w:afterAutospacing="0"/>
              <w:ind w:left="0" w:right="0"/>
              <w:jc w:val="center"/>
              <w:rPr>
                <w:rFonts w:hint="default" w:cs="Times New Roman"/>
                <w:b/>
                <w:bCs/>
                <w:highlight w:val="none"/>
              </w:rPr>
            </w:pPr>
            <w:r>
              <w:rPr>
                <w:rFonts w:hint="default" w:cs="Times New Roman"/>
                <w:b/>
                <w:bCs/>
                <w:highlight w:val="none"/>
              </w:rPr>
              <w:t>检测标准（方法）</w:t>
            </w:r>
          </w:p>
        </w:tc>
        <w:tc>
          <w:tcPr>
            <w:tcW w:w="2775" w:type="dxa"/>
            <w:tcBorders>
              <w:tl2br w:val="nil"/>
              <w:tr2bl w:val="nil"/>
            </w:tcBorders>
            <w:vAlign w:val="center"/>
          </w:tcPr>
          <w:p w14:paraId="78017EDE">
            <w:pPr>
              <w:keepNext w:val="0"/>
              <w:keepLines w:val="0"/>
              <w:suppressLineNumbers w:val="0"/>
              <w:snapToGrid w:val="0"/>
              <w:spacing w:before="0" w:beforeAutospacing="0" w:after="0" w:afterAutospacing="0"/>
              <w:ind w:left="0" w:right="0"/>
              <w:jc w:val="center"/>
              <w:rPr>
                <w:rFonts w:hint="default" w:cs="Times New Roman"/>
                <w:b/>
                <w:bCs/>
                <w:highlight w:val="none"/>
              </w:rPr>
            </w:pPr>
            <w:r>
              <w:rPr>
                <w:rFonts w:hint="default" w:cs="Times New Roman"/>
                <w:b/>
                <w:bCs/>
                <w:highlight w:val="none"/>
              </w:rPr>
              <w:t>检测仪器</w:t>
            </w:r>
          </w:p>
        </w:tc>
        <w:tc>
          <w:tcPr>
            <w:tcW w:w="1066" w:type="dxa"/>
            <w:tcBorders>
              <w:tl2br w:val="nil"/>
              <w:tr2bl w:val="nil"/>
            </w:tcBorders>
            <w:vAlign w:val="center"/>
          </w:tcPr>
          <w:p w14:paraId="3AC3A257">
            <w:pPr>
              <w:keepNext w:val="0"/>
              <w:keepLines w:val="0"/>
              <w:suppressLineNumbers w:val="0"/>
              <w:snapToGrid w:val="0"/>
              <w:spacing w:before="0" w:beforeAutospacing="0" w:after="0" w:afterAutospacing="0"/>
              <w:ind w:left="0" w:right="0"/>
              <w:jc w:val="center"/>
              <w:rPr>
                <w:rFonts w:hint="default" w:cs="Times New Roman"/>
                <w:b/>
                <w:bCs/>
                <w:highlight w:val="none"/>
              </w:rPr>
            </w:pPr>
            <w:r>
              <w:rPr>
                <w:rFonts w:hint="default" w:cs="Times New Roman"/>
                <w:b/>
                <w:bCs/>
                <w:highlight w:val="none"/>
              </w:rPr>
              <w:t>检出限</w:t>
            </w:r>
          </w:p>
        </w:tc>
      </w:tr>
      <w:tr w14:paraId="711D4D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397" w:hRule="atLeast"/>
        </w:trPr>
        <w:tc>
          <w:tcPr>
            <w:tcW w:w="946" w:type="dxa"/>
            <w:vMerge w:val="restart"/>
            <w:tcBorders>
              <w:tl2br w:val="nil"/>
              <w:tr2bl w:val="nil"/>
            </w:tcBorders>
            <w:tcMar>
              <w:top w:w="0" w:type="dxa"/>
              <w:left w:w="6" w:type="dxa"/>
              <w:bottom w:w="0" w:type="dxa"/>
              <w:right w:w="6" w:type="dxa"/>
            </w:tcMar>
            <w:vAlign w:val="center"/>
          </w:tcPr>
          <w:p w14:paraId="7B823CF3">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highlight w:val="none"/>
              </w:rPr>
              <w:t>废气</w:t>
            </w:r>
          </w:p>
          <w:p w14:paraId="04EB6AE6">
            <w:pPr>
              <w:keepNext w:val="0"/>
              <w:keepLines w:val="0"/>
              <w:suppressLineNumbers w:val="0"/>
              <w:snapToGrid w:val="0"/>
              <w:spacing w:before="0" w:beforeAutospacing="0" w:after="0" w:afterAutospacing="0"/>
              <w:ind w:left="0" w:right="0"/>
              <w:jc w:val="center"/>
              <w:rPr>
                <w:rFonts w:hint="default" w:cs="Times New Roman"/>
                <w:highlight w:val="none"/>
              </w:rPr>
            </w:pPr>
            <w:r>
              <w:rPr>
                <w:rFonts w:hint="default" w:cs="Times New Roman"/>
                <w:highlight w:val="none"/>
              </w:rPr>
              <w:t>(有组织)</w:t>
            </w:r>
          </w:p>
        </w:tc>
        <w:tc>
          <w:tcPr>
            <w:tcW w:w="1080" w:type="dxa"/>
            <w:tcBorders>
              <w:tl2br w:val="nil"/>
              <w:tr2bl w:val="nil"/>
            </w:tcBorders>
            <w:vAlign w:val="center"/>
          </w:tcPr>
          <w:p w14:paraId="1855457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eastAsia="zh-CN"/>
              </w:rPr>
              <w:t>颗粒物</w:t>
            </w:r>
          </w:p>
        </w:tc>
        <w:tc>
          <w:tcPr>
            <w:tcW w:w="2655" w:type="dxa"/>
            <w:tcBorders>
              <w:tl2br w:val="nil"/>
              <w:tr2bl w:val="nil"/>
            </w:tcBorders>
            <w:vAlign w:val="center"/>
          </w:tcPr>
          <w:p w14:paraId="335700D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eastAsia="zh-CN"/>
              </w:rPr>
              <w:t>固定污染源废气 低浓度颗粒物的测定 重量法 HJ 836-2017</w:t>
            </w:r>
          </w:p>
        </w:tc>
        <w:tc>
          <w:tcPr>
            <w:tcW w:w="2775" w:type="dxa"/>
            <w:tcBorders>
              <w:tl2br w:val="nil"/>
              <w:tr2bl w:val="nil"/>
            </w:tcBorders>
            <w:vAlign w:val="center"/>
          </w:tcPr>
          <w:p w14:paraId="33BD3EF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EM-3088智能烟尘烟气分析仪</w:t>
            </w:r>
            <w:r>
              <w:rPr>
                <w:rFonts w:hint="eastAsia" w:ascii="Times New Roman" w:hAnsi="Times New Roman" w:eastAsia="宋体" w:cs="Times New Roman"/>
                <w:highlight w:val="none"/>
                <w:lang w:val="en-US" w:eastAsia="zh-CN"/>
              </w:rPr>
              <w:t xml:space="preserve">HNZM183 HNZM182 </w:t>
            </w:r>
          </w:p>
          <w:p w14:paraId="1C53997E">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GR-3100D型低浓度烟尘气测试仪HNZM29</w:t>
            </w:r>
            <w:r>
              <w:rPr>
                <w:rFonts w:hint="eastAsia" w:ascii="Times New Roman" w:hAnsi="Times New Roman" w:eastAsia="宋体" w:cs="Times New Roman"/>
                <w:highlight w:val="none"/>
                <w:lang w:val="en-US" w:eastAsia="zh-CN"/>
              </w:rPr>
              <w:t>9</w:t>
            </w:r>
          </w:p>
          <w:p w14:paraId="1073477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eastAsia="zh-CN"/>
              </w:rPr>
              <w:t>AUW</w:t>
            </w:r>
            <w:r>
              <w:rPr>
                <w:rFonts w:hint="eastAsia" w:ascii="Times New Roman" w:hAnsi="Times New Roman" w:eastAsia="宋体" w:cs="Times New Roman"/>
                <w:highlight w:val="none"/>
                <w:lang w:val="en-US" w:eastAsia="zh-CN"/>
              </w:rPr>
              <w:t>2</w:t>
            </w:r>
            <w:r>
              <w:rPr>
                <w:rFonts w:hint="default" w:ascii="Times New Roman" w:hAnsi="Times New Roman" w:eastAsia="宋体" w:cs="Times New Roman"/>
                <w:highlight w:val="none"/>
                <w:lang w:val="en-US" w:eastAsia="zh-CN"/>
              </w:rPr>
              <w:t>20D 十万分之一天平HNZM032</w:t>
            </w:r>
          </w:p>
        </w:tc>
        <w:tc>
          <w:tcPr>
            <w:tcW w:w="1066" w:type="dxa"/>
            <w:tcBorders>
              <w:tl2br w:val="nil"/>
              <w:tr2bl w:val="nil"/>
            </w:tcBorders>
            <w:vAlign w:val="center"/>
          </w:tcPr>
          <w:p w14:paraId="7ABBF26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eastAsia="zh-CN"/>
              </w:rPr>
              <w:t>1.0mg/m</w:t>
            </w:r>
            <w:r>
              <w:rPr>
                <w:rFonts w:hint="default" w:ascii="Times New Roman" w:hAnsi="Times New Roman" w:eastAsia="宋体" w:cs="Times New Roman"/>
                <w:highlight w:val="none"/>
                <w:vertAlign w:val="superscript"/>
                <w:lang w:val="en-US" w:eastAsia="zh-CN"/>
              </w:rPr>
              <w:t>3</w:t>
            </w:r>
          </w:p>
        </w:tc>
      </w:tr>
      <w:tr w14:paraId="6BC82A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397" w:hRule="atLeast"/>
        </w:trPr>
        <w:tc>
          <w:tcPr>
            <w:tcW w:w="946" w:type="dxa"/>
            <w:vMerge w:val="continue"/>
            <w:tcBorders>
              <w:tl2br w:val="nil"/>
              <w:tr2bl w:val="nil"/>
            </w:tcBorders>
            <w:tcMar>
              <w:top w:w="0" w:type="dxa"/>
              <w:left w:w="6" w:type="dxa"/>
              <w:bottom w:w="0" w:type="dxa"/>
              <w:right w:w="6" w:type="dxa"/>
            </w:tcMar>
            <w:vAlign w:val="center"/>
          </w:tcPr>
          <w:p w14:paraId="77059C5A">
            <w:pPr>
              <w:keepNext w:val="0"/>
              <w:keepLines w:val="0"/>
              <w:suppressLineNumbers w:val="0"/>
              <w:snapToGrid w:val="0"/>
              <w:spacing w:before="0" w:beforeAutospacing="0" w:after="0" w:afterAutospacing="0"/>
              <w:ind w:left="0" w:right="0"/>
              <w:jc w:val="center"/>
              <w:rPr>
                <w:rFonts w:hint="default" w:cs="Times New Roman"/>
                <w:highlight w:val="none"/>
              </w:rPr>
            </w:pPr>
          </w:p>
        </w:tc>
        <w:tc>
          <w:tcPr>
            <w:tcW w:w="1080" w:type="dxa"/>
            <w:tcBorders>
              <w:tl2br w:val="nil"/>
              <w:tr2bl w:val="nil"/>
            </w:tcBorders>
            <w:vAlign w:val="center"/>
          </w:tcPr>
          <w:p w14:paraId="180A1FC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eastAsia="zh-CN"/>
              </w:rPr>
              <w:t>二氧化硫</w:t>
            </w:r>
          </w:p>
        </w:tc>
        <w:tc>
          <w:tcPr>
            <w:tcW w:w="2655" w:type="dxa"/>
            <w:tcBorders>
              <w:tl2br w:val="nil"/>
              <w:tr2bl w:val="nil"/>
            </w:tcBorders>
            <w:vAlign w:val="center"/>
          </w:tcPr>
          <w:p w14:paraId="352FC6F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 xml:space="preserve">固定污染源废气 二氧化硫的测定 定电位电解法 </w:t>
            </w:r>
          </w:p>
          <w:p w14:paraId="3B441AA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eastAsia="zh-CN"/>
              </w:rPr>
              <w:t>HJ 57-2017</w:t>
            </w:r>
          </w:p>
        </w:tc>
        <w:tc>
          <w:tcPr>
            <w:tcW w:w="2775" w:type="dxa"/>
            <w:tcBorders>
              <w:tl2br w:val="nil"/>
              <w:tr2bl w:val="nil"/>
            </w:tcBorders>
            <w:vAlign w:val="center"/>
          </w:tcPr>
          <w:p w14:paraId="3911304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eastAsia="zh-CN"/>
              </w:rPr>
              <w:t>EM-3088</w:t>
            </w:r>
            <w:r>
              <w:rPr>
                <w:rFonts w:hint="eastAsia" w:ascii="Times New Roman" w:hAnsi="Times New Roman" w:eastAsia="宋体" w:cs="Times New Roman"/>
                <w:highlight w:val="none"/>
                <w:lang w:val="en-US" w:eastAsia="zh-CN"/>
              </w:rPr>
              <w:t xml:space="preserve"> 智能烟尘烟气分析仪 HNZM182</w:t>
            </w:r>
          </w:p>
        </w:tc>
        <w:tc>
          <w:tcPr>
            <w:tcW w:w="1066" w:type="dxa"/>
            <w:tcBorders>
              <w:tl2br w:val="nil"/>
              <w:tr2bl w:val="nil"/>
            </w:tcBorders>
            <w:vAlign w:val="center"/>
          </w:tcPr>
          <w:p w14:paraId="34C7EF8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eastAsia="zh-CN"/>
              </w:rPr>
              <w:t>3mg/m</w:t>
            </w:r>
            <w:r>
              <w:rPr>
                <w:rFonts w:hint="default" w:ascii="Times New Roman" w:hAnsi="Times New Roman" w:eastAsia="宋体" w:cs="Times New Roman"/>
                <w:highlight w:val="none"/>
                <w:vertAlign w:val="superscript"/>
                <w:lang w:val="en-US" w:eastAsia="zh-CN"/>
              </w:rPr>
              <w:t>3</w:t>
            </w:r>
          </w:p>
        </w:tc>
      </w:tr>
      <w:tr w14:paraId="373C86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397" w:hRule="atLeast"/>
        </w:trPr>
        <w:tc>
          <w:tcPr>
            <w:tcW w:w="946" w:type="dxa"/>
            <w:vMerge w:val="continue"/>
            <w:tcBorders>
              <w:tl2br w:val="nil"/>
              <w:tr2bl w:val="nil"/>
            </w:tcBorders>
            <w:tcMar>
              <w:top w:w="0" w:type="dxa"/>
              <w:left w:w="6" w:type="dxa"/>
              <w:bottom w:w="0" w:type="dxa"/>
              <w:right w:w="6" w:type="dxa"/>
            </w:tcMar>
            <w:vAlign w:val="center"/>
          </w:tcPr>
          <w:p w14:paraId="2A41DAA0">
            <w:pPr>
              <w:keepNext w:val="0"/>
              <w:keepLines w:val="0"/>
              <w:suppressLineNumbers w:val="0"/>
              <w:snapToGrid w:val="0"/>
              <w:spacing w:before="0" w:beforeAutospacing="0" w:after="0" w:afterAutospacing="0"/>
              <w:ind w:left="0" w:right="0"/>
              <w:jc w:val="center"/>
              <w:rPr>
                <w:rFonts w:hint="default" w:cs="Times New Roman"/>
                <w:highlight w:val="none"/>
              </w:rPr>
            </w:pPr>
          </w:p>
        </w:tc>
        <w:tc>
          <w:tcPr>
            <w:tcW w:w="1080" w:type="dxa"/>
            <w:tcBorders>
              <w:tl2br w:val="nil"/>
              <w:tr2bl w:val="nil"/>
            </w:tcBorders>
            <w:vAlign w:val="center"/>
          </w:tcPr>
          <w:p w14:paraId="6B7FB3B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eastAsia="zh-CN"/>
              </w:rPr>
              <w:t>氮氧化物</w:t>
            </w:r>
          </w:p>
        </w:tc>
        <w:tc>
          <w:tcPr>
            <w:tcW w:w="2655" w:type="dxa"/>
            <w:tcBorders>
              <w:tl2br w:val="nil"/>
              <w:tr2bl w:val="nil"/>
            </w:tcBorders>
            <w:vAlign w:val="center"/>
          </w:tcPr>
          <w:p w14:paraId="0C3F356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 xml:space="preserve">固定污染源废气 氮氧化物的测定 定电位电解法 </w:t>
            </w:r>
          </w:p>
          <w:p w14:paraId="0247AFB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eastAsia="zh-CN"/>
              </w:rPr>
              <w:t>HJ 693-2014</w:t>
            </w:r>
          </w:p>
        </w:tc>
        <w:tc>
          <w:tcPr>
            <w:tcW w:w="2775" w:type="dxa"/>
            <w:tcBorders>
              <w:tl2br w:val="nil"/>
              <w:tr2bl w:val="nil"/>
            </w:tcBorders>
            <w:vAlign w:val="center"/>
          </w:tcPr>
          <w:p w14:paraId="0E5315E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eastAsia="zh-CN"/>
              </w:rPr>
              <w:t>EM-3088</w:t>
            </w:r>
            <w:r>
              <w:rPr>
                <w:rFonts w:hint="eastAsia" w:ascii="Times New Roman" w:hAnsi="Times New Roman" w:eastAsia="宋体" w:cs="Times New Roman"/>
                <w:highlight w:val="none"/>
                <w:lang w:val="en-US" w:eastAsia="zh-CN"/>
              </w:rPr>
              <w:t xml:space="preserve"> 智能烟尘烟气分析仪 HNZM182</w:t>
            </w:r>
          </w:p>
        </w:tc>
        <w:tc>
          <w:tcPr>
            <w:tcW w:w="1066" w:type="dxa"/>
            <w:tcBorders>
              <w:tl2br w:val="nil"/>
              <w:tr2bl w:val="nil"/>
            </w:tcBorders>
            <w:vAlign w:val="center"/>
          </w:tcPr>
          <w:p w14:paraId="356FB99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eastAsia="zh-CN"/>
              </w:rPr>
              <w:t>3mg/m</w:t>
            </w:r>
            <w:r>
              <w:rPr>
                <w:rFonts w:hint="default" w:ascii="Times New Roman" w:hAnsi="Times New Roman" w:eastAsia="宋体" w:cs="Times New Roman"/>
                <w:highlight w:val="none"/>
                <w:vertAlign w:val="superscript"/>
                <w:lang w:val="en-US" w:eastAsia="zh-CN"/>
              </w:rPr>
              <w:t>3</w:t>
            </w:r>
          </w:p>
        </w:tc>
      </w:tr>
      <w:tr w14:paraId="3D105F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397" w:hRule="atLeast"/>
        </w:trPr>
        <w:tc>
          <w:tcPr>
            <w:tcW w:w="946" w:type="dxa"/>
            <w:tcBorders>
              <w:tl2br w:val="nil"/>
              <w:tr2bl w:val="nil"/>
            </w:tcBorders>
            <w:vAlign w:val="center"/>
          </w:tcPr>
          <w:p w14:paraId="5E8B20F5">
            <w:pPr>
              <w:keepNext w:val="0"/>
              <w:keepLines w:val="0"/>
              <w:suppressLineNumbers w:val="0"/>
              <w:adjustRightInd w:val="0"/>
              <w:snapToGrid w:val="0"/>
              <w:spacing w:before="0" w:beforeAutospacing="0" w:after="0" w:afterAutospacing="0"/>
              <w:ind w:left="0" w:right="0"/>
              <w:jc w:val="center"/>
              <w:rPr>
                <w:rFonts w:hint="default" w:cs="Times New Roman"/>
                <w:highlight w:val="none"/>
              </w:rPr>
            </w:pPr>
            <w:r>
              <w:rPr>
                <w:rFonts w:hint="default" w:cs="Times New Roman"/>
                <w:bCs/>
                <w:highlight w:val="none"/>
              </w:rPr>
              <w:t>噪声</w:t>
            </w:r>
          </w:p>
        </w:tc>
        <w:tc>
          <w:tcPr>
            <w:tcW w:w="1080" w:type="dxa"/>
            <w:tcBorders>
              <w:tl2br w:val="nil"/>
              <w:tr2bl w:val="nil"/>
            </w:tcBorders>
            <w:vAlign w:val="center"/>
          </w:tcPr>
          <w:p w14:paraId="24A4191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厂界噪声</w:t>
            </w:r>
          </w:p>
        </w:tc>
        <w:tc>
          <w:tcPr>
            <w:tcW w:w="2655" w:type="dxa"/>
            <w:tcBorders>
              <w:tl2br w:val="nil"/>
              <w:tr2bl w:val="nil"/>
            </w:tcBorders>
            <w:vAlign w:val="center"/>
          </w:tcPr>
          <w:p w14:paraId="7F75B52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工业企业厂界环境噪声排放标准GB 12348-2008</w:t>
            </w:r>
          </w:p>
        </w:tc>
        <w:tc>
          <w:tcPr>
            <w:tcW w:w="2775" w:type="dxa"/>
            <w:tcBorders>
              <w:tl2br w:val="nil"/>
              <w:tr2bl w:val="nil"/>
            </w:tcBorders>
            <w:vAlign w:val="center"/>
          </w:tcPr>
          <w:p w14:paraId="4F539C2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AWA5688多功能声级计HNZM</w:t>
            </w:r>
            <w:r>
              <w:rPr>
                <w:rFonts w:hint="eastAsia" w:ascii="Times New Roman" w:hAnsi="Times New Roman" w:eastAsia="宋体" w:cs="Times New Roman"/>
                <w:highlight w:val="none"/>
                <w:lang w:val="en-US" w:eastAsia="zh-CN"/>
              </w:rPr>
              <w:t>312</w:t>
            </w:r>
          </w:p>
        </w:tc>
        <w:tc>
          <w:tcPr>
            <w:tcW w:w="1066" w:type="dxa"/>
            <w:tcBorders>
              <w:tl2br w:val="nil"/>
              <w:tr2bl w:val="nil"/>
            </w:tcBorders>
            <w:vAlign w:val="center"/>
          </w:tcPr>
          <w:p w14:paraId="0050D47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w:t>
            </w:r>
          </w:p>
        </w:tc>
      </w:tr>
    </w:tbl>
    <w:p w14:paraId="51727612">
      <w:pPr>
        <w:pStyle w:val="37"/>
        <w:spacing w:line="440" w:lineRule="exact"/>
        <w:ind w:firstLine="480"/>
        <w:rPr>
          <w:rFonts w:ascii="Times New Roman" w:hAnsi="Times New Roman" w:cs="Times New Roman"/>
          <w:spacing w:val="0"/>
          <w:position w:val="0"/>
          <w:highlight w:val="none"/>
        </w:rPr>
      </w:pPr>
      <w:r>
        <w:rPr>
          <w:rFonts w:ascii="Times New Roman" w:hAnsi="Times New Roman" w:cs="Times New Roman"/>
          <w:spacing w:val="0"/>
          <w:position w:val="0"/>
          <w:highlight w:val="none"/>
        </w:rPr>
        <w:t>表8-1              监测分析方法及监测仪器</w:t>
      </w:r>
    </w:p>
    <w:p w14:paraId="1FF6F46A">
      <w:pPr>
        <w:pStyle w:val="3"/>
        <w:spacing w:before="0" w:after="0"/>
        <w:rPr>
          <w:highlight w:val="none"/>
        </w:rPr>
      </w:pPr>
      <w:bookmarkStart w:id="60" w:name="_Toc504492851"/>
      <w:bookmarkStart w:id="61" w:name="_Toc501703553"/>
      <w:r>
        <w:rPr>
          <w:highlight w:val="none"/>
        </w:rPr>
        <w:t>8.2 质量保证和质量控制</w:t>
      </w:r>
      <w:bookmarkEnd w:id="60"/>
      <w:bookmarkEnd w:id="61"/>
    </w:p>
    <w:p w14:paraId="3B355594">
      <w:pPr>
        <w:tabs>
          <w:tab w:val="left" w:pos="1980"/>
          <w:tab w:val="left" w:pos="7560"/>
          <w:tab w:val="left" w:pos="7740"/>
          <w:tab w:val="left" w:pos="7920"/>
        </w:tabs>
        <w:snapToGrid w:val="0"/>
        <w:spacing w:line="360" w:lineRule="auto"/>
        <w:ind w:right="25" w:rightChars="12" w:firstLine="480" w:firstLineChars="200"/>
        <w:rPr>
          <w:rFonts w:hint="default" w:cs="Times New Roman"/>
          <w:sz w:val="24"/>
          <w:szCs w:val="28"/>
          <w:highlight w:val="none"/>
          <w:lang w:val="en-US" w:eastAsia="zh-CN"/>
        </w:rPr>
      </w:pPr>
      <w:r>
        <w:rPr>
          <w:rFonts w:hint="eastAsia" w:cs="Times New Roman"/>
          <w:sz w:val="24"/>
          <w:szCs w:val="28"/>
          <w:highlight w:val="none"/>
          <w:lang w:val="en-US" w:eastAsia="zh-CN"/>
        </w:rPr>
        <w:t>1、</w:t>
      </w:r>
      <w:r>
        <w:rPr>
          <w:rFonts w:hint="eastAsia" w:cs="Times New Roman"/>
          <w:sz w:val="24"/>
          <w:szCs w:val="28"/>
          <w:highlight w:val="none"/>
          <w:lang w:eastAsia="zh-CN"/>
        </w:rPr>
        <w:t>检测人员均经过公司组织的培训、考试合格、持证上岗</w:t>
      </w:r>
      <w:r>
        <w:rPr>
          <w:rFonts w:hint="default" w:cs="Times New Roman"/>
          <w:sz w:val="24"/>
          <w:szCs w:val="28"/>
          <w:highlight w:val="none"/>
        </w:rPr>
        <w:t>。</w:t>
      </w:r>
    </w:p>
    <w:p w14:paraId="7EDBB62A">
      <w:pPr>
        <w:tabs>
          <w:tab w:val="left" w:pos="1980"/>
          <w:tab w:val="left" w:pos="7560"/>
          <w:tab w:val="left" w:pos="7740"/>
          <w:tab w:val="left" w:pos="7920"/>
        </w:tabs>
        <w:snapToGrid w:val="0"/>
        <w:spacing w:line="360" w:lineRule="auto"/>
        <w:ind w:right="25" w:rightChars="12" w:firstLine="480" w:firstLineChars="200"/>
        <w:rPr>
          <w:rFonts w:hint="default" w:cs="Times New Roman"/>
          <w:sz w:val="24"/>
          <w:szCs w:val="28"/>
          <w:highlight w:val="none"/>
          <w:lang w:eastAsia="zh-CN"/>
        </w:rPr>
      </w:pPr>
      <w:r>
        <w:rPr>
          <w:rFonts w:hint="default" w:cs="Times New Roman"/>
          <w:sz w:val="24"/>
          <w:szCs w:val="28"/>
          <w:highlight w:val="none"/>
        </w:rPr>
        <w:t>2</w:t>
      </w:r>
      <w:r>
        <w:rPr>
          <w:rFonts w:hint="default" w:cs="Times New Roman"/>
          <w:sz w:val="24"/>
          <w:szCs w:val="28"/>
          <w:highlight w:val="none"/>
          <w:lang w:eastAsia="zh-CN"/>
        </w:rPr>
        <w:t>、</w:t>
      </w:r>
      <w:r>
        <w:rPr>
          <w:rFonts w:hint="default" w:cs="Times New Roman"/>
          <w:sz w:val="24"/>
          <w:szCs w:val="28"/>
          <w:highlight w:val="none"/>
        </w:rPr>
        <w:t>所有检测仪器经计量部门</w:t>
      </w:r>
      <w:r>
        <w:rPr>
          <w:rFonts w:hint="default" w:cs="Times New Roman"/>
          <w:sz w:val="24"/>
          <w:szCs w:val="28"/>
          <w:highlight w:val="none"/>
          <w:lang w:eastAsia="zh-CN"/>
        </w:rPr>
        <w:t>检</w:t>
      </w:r>
      <w:r>
        <w:rPr>
          <w:rFonts w:hint="default" w:cs="Times New Roman"/>
          <w:sz w:val="24"/>
          <w:szCs w:val="28"/>
          <w:highlight w:val="none"/>
        </w:rPr>
        <w:t>定</w:t>
      </w:r>
      <w:r>
        <w:rPr>
          <w:rFonts w:hint="eastAsia" w:cs="Times New Roman"/>
          <w:sz w:val="24"/>
          <w:szCs w:val="28"/>
          <w:highlight w:val="none"/>
          <w:lang w:val="en-US" w:eastAsia="zh-CN"/>
        </w:rPr>
        <w:t>/校准</w:t>
      </w:r>
      <w:r>
        <w:rPr>
          <w:rFonts w:hint="eastAsia" w:cs="Times New Roman"/>
          <w:sz w:val="24"/>
          <w:szCs w:val="28"/>
          <w:highlight w:val="none"/>
          <w:lang w:eastAsia="zh-CN"/>
        </w:rPr>
        <w:t>，</w:t>
      </w:r>
      <w:r>
        <w:rPr>
          <w:rFonts w:hint="default" w:cs="Times New Roman"/>
          <w:sz w:val="24"/>
          <w:szCs w:val="28"/>
          <w:highlight w:val="none"/>
          <w:lang w:eastAsia="zh-CN"/>
        </w:rPr>
        <w:t>检</w:t>
      </w:r>
      <w:r>
        <w:rPr>
          <w:rFonts w:hint="default" w:cs="Times New Roman"/>
          <w:sz w:val="24"/>
          <w:szCs w:val="28"/>
          <w:highlight w:val="none"/>
        </w:rPr>
        <w:t>定</w:t>
      </w:r>
      <w:r>
        <w:rPr>
          <w:rFonts w:hint="eastAsia" w:cs="Times New Roman"/>
          <w:sz w:val="24"/>
          <w:szCs w:val="28"/>
          <w:highlight w:val="none"/>
          <w:lang w:val="en-US" w:eastAsia="zh-CN"/>
        </w:rPr>
        <w:t>/校准</w:t>
      </w:r>
      <w:r>
        <w:rPr>
          <w:rFonts w:hint="default" w:cs="Times New Roman"/>
          <w:sz w:val="24"/>
          <w:szCs w:val="28"/>
          <w:highlight w:val="none"/>
        </w:rPr>
        <w:t>合格并在有效期内</w:t>
      </w:r>
      <w:r>
        <w:rPr>
          <w:rFonts w:hint="default" w:cs="Times New Roman"/>
          <w:sz w:val="24"/>
          <w:szCs w:val="28"/>
          <w:highlight w:val="none"/>
          <w:lang w:eastAsia="zh-CN"/>
        </w:rPr>
        <w:t>。</w:t>
      </w:r>
    </w:p>
    <w:p w14:paraId="25AA3F7B">
      <w:pPr>
        <w:tabs>
          <w:tab w:val="left" w:pos="1980"/>
          <w:tab w:val="left" w:pos="7560"/>
          <w:tab w:val="left" w:pos="7740"/>
          <w:tab w:val="left" w:pos="7920"/>
        </w:tabs>
        <w:snapToGrid w:val="0"/>
        <w:spacing w:line="360" w:lineRule="auto"/>
        <w:ind w:right="25" w:rightChars="12" w:firstLine="480" w:firstLineChars="200"/>
        <w:rPr>
          <w:rFonts w:hint="default" w:cs="Times New Roman"/>
          <w:sz w:val="24"/>
          <w:szCs w:val="28"/>
          <w:highlight w:val="none"/>
          <w:lang w:val="en-US" w:eastAsia="zh-CN"/>
        </w:rPr>
      </w:pPr>
      <w:r>
        <w:rPr>
          <w:rFonts w:hint="default" w:cs="Times New Roman"/>
          <w:sz w:val="24"/>
          <w:szCs w:val="28"/>
          <w:highlight w:val="none"/>
          <w:lang w:val="en-US" w:eastAsia="zh-CN"/>
        </w:rPr>
        <w:t>3、</w:t>
      </w:r>
      <w:r>
        <w:rPr>
          <w:rFonts w:hint="eastAsia" w:cs="Times New Roman"/>
          <w:sz w:val="24"/>
          <w:szCs w:val="28"/>
          <w:highlight w:val="none"/>
          <w:lang w:val="en-US" w:eastAsia="zh-CN"/>
        </w:rPr>
        <w:t>严格按照相关检测技术规范进行检测。</w:t>
      </w:r>
    </w:p>
    <w:p w14:paraId="670BBBA5">
      <w:pPr>
        <w:tabs>
          <w:tab w:val="left" w:pos="1980"/>
          <w:tab w:val="left" w:pos="7560"/>
          <w:tab w:val="left" w:pos="7740"/>
          <w:tab w:val="left" w:pos="7920"/>
        </w:tabs>
        <w:snapToGrid w:val="0"/>
        <w:spacing w:line="360" w:lineRule="auto"/>
        <w:ind w:right="25" w:rightChars="12" w:firstLine="480" w:firstLineChars="200"/>
        <w:rPr>
          <w:rFonts w:hint="eastAsia" w:cs="Times New Roman"/>
          <w:sz w:val="24"/>
          <w:szCs w:val="28"/>
          <w:highlight w:val="none"/>
          <w:lang w:eastAsia="zh-CN"/>
        </w:rPr>
      </w:pPr>
      <w:r>
        <w:rPr>
          <w:rFonts w:hint="default" w:cs="Times New Roman"/>
          <w:sz w:val="24"/>
          <w:szCs w:val="28"/>
          <w:highlight w:val="none"/>
          <w:lang w:val="en-US" w:eastAsia="zh-CN"/>
        </w:rPr>
        <w:t>4、</w:t>
      </w:r>
      <w:r>
        <w:rPr>
          <w:rFonts w:hint="eastAsia" w:cs="Times New Roman"/>
          <w:sz w:val="24"/>
          <w:szCs w:val="28"/>
          <w:highlight w:val="none"/>
          <w:lang w:eastAsia="zh-CN"/>
        </w:rPr>
        <w:t>原始记录和报告均</w:t>
      </w:r>
      <w:r>
        <w:rPr>
          <w:rFonts w:hint="default" w:cs="Times New Roman"/>
          <w:sz w:val="24"/>
          <w:szCs w:val="28"/>
          <w:highlight w:val="none"/>
        </w:rPr>
        <w:t>实行三级审核制度。</w:t>
      </w:r>
    </w:p>
    <w:p w14:paraId="0BF80466">
      <w:pPr>
        <w:pStyle w:val="59"/>
        <w:ind w:firstLine="480"/>
        <w:rPr>
          <w:highlight w:val="yellow"/>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3DDFC190">
      <w:pPr>
        <w:pStyle w:val="26"/>
        <w:spacing w:after="240" w:line="500" w:lineRule="exact"/>
        <w:rPr>
          <w:highlight w:val="none"/>
        </w:rPr>
      </w:pPr>
      <w:bookmarkStart w:id="62" w:name="_Toc501703554"/>
      <w:bookmarkStart w:id="63" w:name="_Toc504492852"/>
      <w:r>
        <w:rPr>
          <w:highlight w:val="none"/>
        </w:rPr>
        <w:t>9、验收监测结果</w:t>
      </w:r>
      <w:bookmarkEnd w:id="62"/>
      <w:bookmarkEnd w:id="63"/>
    </w:p>
    <w:p w14:paraId="14DCE737">
      <w:pPr>
        <w:pStyle w:val="3"/>
        <w:spacing w:line="500" w:lineRule="exact"/>
        <w:rPr>
          <w:highlight w:val="none"/>
        </w:rPr>
      </w:pPr>
      <w:bookmarkStart w:id="64" w:name="_Toc501703555"/>
      <w:bookmarkStart w:id="65" w:name="_Toc504492853"/>
      <w:r>
        <w:rPr>
          <w:highlight w:val="none"/>
        </w:rPr>
        <w:t>9.1 生产工况</w:t>
      </w:r>
      <w:bookmarkEnd w:id="64"/>
      <w:bookmarkEnd w:id="65"/>
    </w:p>
    <w:p w14:paraId="1CDD133D">
      <w:pPr>
        <w:pStyle w:val="59"/>
        <w:spacing w:line="520" w:lineRule="exact"/>
        <w:ind w:firstLine="480"/>
        <w:rPr>
          <w:rFonts w:hint="default" w:ascii="Times New Roman" w:hAnsi="Times New Roman" w:eastAsia="宋体" w:cs="Times New Roman"/>
          <w:highlight w:val="none"/>
          <w:lang w:val="en-US"/>
        </w:rPr>
      </w:pPr>
      <w:r>
        <w:rPr>
          <w:rFonts w:hint="eastAsia" w:ascii="Times New Roman" w:hAnsi="Times New Roman" w:eastAsia="宋体" w:cs="Times New Roman"/>
          <w:highlight w:val="none"/>
          <w:lang w:val="en-US" w:eastAsia="zh-CN"/>
        </w:rPr>
        <w:t>验收检测期间，该项目正常生产，主体工程调试工况稳定，各项污染防治设施运行稳定，符合验收检测期间对生产工况的要求。生产运行工况见下表。</w:t>
      </w:r>
    </w:p>
    <w:p w14:paraId="3664E091">
      <w:pPr>
        <w:pStyle w:val="37"/>
        <w:spacing w:line="520" w:lineRule="exact"/>
        <w:ind w:firstLine="480"/>
        <w:rPr>
          <w:rFonts w:hint="default" w:ascii="Times New Roman" w:hAnsi="Times New Roman" w:cs="Times New Roman"/>
          <w:spacing w:val="0"/>
          <w:position w:val="0"/>
          <w:highlight w:val="none"/>
          <w:lang w:val="en-US"/>
        </w:rPr>
      </w:pPr>
      <w:r>
        <w:rPr>
          <w:rFonts w:hint="eastAsia" w:ascii="Times New Roman" w:hAnsi="Times New Roman" w:cs="Times New Roman"/>
          <w:spacing w:val="0"/>
          <w:position w:val="0"/>
          <w:highlight w:val="none"/>
          <w:lang w:val="en-US" w:eastAsia="zh-CN"/>
        </w:rPr>
        <w:t>表9-1</w:t>
      </w:r>
      <w:r>
        <w:rPr>
          <w:rFonts w:hint="default" w:ascii="Times New Roman" w:hAnsi="Times New Roman" w:cs="Times New Roman"/>
          <w:spacing w:val="0"/>
          <w:position w:val="0"/>
          <w:highlight w:val="none"/>
          <w:lang w:val="en-US" w:eastAsia="zh-CN"/>
        </w:rPr>
        <w:t xml:space="preserve">                  </w:t>
      </w:r>
      <w:r>
        <w:rPr>
          <w:rFonts w:hint="eastAsia" w:ascii="Times New Roman" w:hAnsi="Times New Roman" w:cs="Times New Roman"/>
          <w:spacing w:val="0"/>
          <w:position w:val="0"/>
          <w:highlight w:val="none"/>
          <w:lang w:val="en-US" w:eastAsia="zh-CN"/>
        </w:rPr>
        <w:t>验收期间工况负荷表</w:t>
      </w:r>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89"/>
        <w:gridCol w:w="1745"/>
        <w:gridCol w:w="2327"/>
        <w:gridCol w:w="2041"/>
        <w:gridCol w:w="1220"/>
      </w:tblGrid>
      <w:tr w14:paraId="79DB7F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177" w:type="dxa"/>
            <w:tcBorders>
              <w:tl2br w:val="nil"/>
              <w:tr2bl w:val="nil"/>
            </w:tcBorders>
            <w:shd w:val="clear" w:color="auto" w:fill="auto"/>
            <w:vAlign w:val="center"/>
          </w:tcPr>
          <w:p w14:paraId="73F9919F">
            <w:pPr>
              <w:pStyle w:val="69"/>
              <w:keepLines w:val="0"/>
              <w:suppressLineNumbers w:val="0"/>
              <w:spacing w:before="0" w:beforeAutospacing="0" w:after="0" w:afterAutospacing="0"/>
              <w:ind w:left="0" w:right="0"/>
              <w:rPr>
                <w:rFonts w:hint="default" w:ascii="Times New Roman" w:hAnsi="Times New Roman" w:eastAsia="宋体" w:cs="Times New Roman"/>
                <w:highlight w:val="none"/>
                <w:lang w:val="en-US"/>
              </w:rPr>
            </w:pPr>
            <w:r>
              <w:rPr>
                <w:rFonts w:hint="eastAsia" w:ascii="Times New Roman" w:hAnsi="Times New Roman" w:eastAsia="宋体" w:cs="Times New Roman"/>
                <w:highlight w:val="none"/>
              </w:rPr>
              <w:t>检测时间</w:t>
            </w:r>
          </w:p>
        </w:tc>
        <w:tc>
          <w:tcPr>
            <w:tcW w:w="1728" w:type="dxa"/>
            <w:tcBorders>
              <w:tl2br w:val="nil"/>
              <w:tr2bl w:val="nil"/>
            </w:tcBorders>
            <w:shd w:val="clear" w:color="auto" w:fill="auto"/>
            <w:vAlign w:val="center"/>
          </w:tcPr>
          <w:p w14:paraId="56067D52">
            <w:pPr>
              <w:pStyle w:val="69"/>
              <w:keepLines w:val="0"/>
              <w:suppressLineNumbers w:val="0"/>
              <w:spacing w:before="0" w:beforeAutospacing="0" w:after="0" w:afterAutospacing="0"/>
              <w:ind w:left="0" w:right="0"/>
              <w:rPr>
                <w:rFonts w:hint="default" w:ascii="Times New Roman" w:hAnsi="Times New Roman" w:eastAsia="宋体" w:cs="Times New Roman"/>
                <w:highlight w:val="none"/>
                <w:lang w:val="en-US"/>
              </w:rPr>
            </w:pPr>
            <w:r>
              <w:rPr>
                <w:rFonts w:hint="eastAsia" w:ascii="Times New Roman" w:hAnsi="Times New Roman" w:eastAsia="宋体" w:cs="Times New Roman"/>
                <w:highlight w:val="none"/>
              </w:rPr>
              <w:t>产品名称</w:t>
            </w:r>
          </w:p>
        </w:tc>
        <w:tc>
          <w:tcPr>
            <w:tcW w:w="2304" w:type="dxa"/>
            <w:tcBorders>
              <w:tl2br w:val="nil"/>
              <w:tr2bl w:val="nil"/>
            </w:tcBorders>
            <w:shd w:val="clear" w:color="auto" w:fill="auto"/>
            <w:vAlign w:val="center"/>
          </w:tcPr>
          <w:p w14:paraId="58F3EAD7">
            <w:pPr>
              <w:pStyle w:val="69"/>
              <w:keepLines w:val="0"/>
              <w:suppressLineNumbers w:val="0"/>
              <w:spacing w:before="0" w:beforeAutospacing="0" w:after="0" w:afterAutospacing="0"/>
              <w:ind w:left="0" w:right="0"/>
              <w:rPr>
                <w:rFonts w:hint="default" w:ascii="Times New Roman" w:hAnsi="Times New Roman" w:eastAsia="宋体" w:cs="Times New Roman"/>
                <w:highlight w:val="none"/>
                <w:lang w:val="en-US"/>
              </w:rPr>
            </w:pPr>
            <w:r>
              <w:rPr>
                <w:rFonts w:hint="eastAsia" w:ascii="Times New Roman" w:hAnsi="Times New Roman" w:eastAsia="宋体" w:cs="Times New Roman"/>
                <w:highlight w:val="none"/>
              </w:rPr>
              <w:t>设计生产规模</w:t>
            </w:r>
          </w:p>
        </w:tc>
        <w:tc>
          <w:tcPr>
            <w:tcW w:w="2021" w:type="dxa"/>
            <w:tcBorders>
              <w:tl2br w:val="nil"/>
              <w:tr2bl w:val="nil"/>
            </w:tcBorders>
            <w:shd w:val="clear" w:color="auto" w:fill="auto"/>
            <w:vAlign w:val="center"/>
          </w:tcPr>
          <w:p w14:paraId="5B2F3912">
            <w:pPr>
              <w:pStyle w:val="69"/>
              <w:keepLines w:val="0"/>
              <w:suppressLineNumbers w:val="0"/>
              <w:spacing w:before="0" w:beforeAutospacing="0" w:after="0" w:afterAutospacing="0"/>
              <w:ind w:left="0" w:right="0"/>
              <w:rPr>
                <w:rFonts w:hint="default" w:ascii="Times New Roman" w:hAnsi="Times New Roman" w:eastAsia="宋体" w:cs="Times New Roman"/>
                <w:highlight w:val="none"/>
                <w:lang w:val="en-US"/>
              </w:rPr>
            </w:pPr>
            <w:r>
              <w:rPr>
                <w:rFonts w:hint="eastAsia" w:ascii="Times New Roman" w:hAnsi="Times New Roman" w:eastAsia="宋体" w:cs="Times New Roman"/>
                <w:highlight w:val="none"/>
              </w:rPr>
              <w:t>实际生产规模</w:t>
            </w:r>
          </w:p>
        </w:tc>
        <w:tc>
          <w:tcPr>
            <w:tcW w:w="1208" w:type="dxa"/>
            <w:tcBorders>
              <w:tl2br w:val="nil"/>
              <w:tr2bl w:val="nil"/>
            </w:tcBorders>
            <w:shd w:val="clear" w:color="auto" w:fill="auto"/>
            <w:vAlign w:val="center"/>
          </w:tcPr>
          <w:p w14:paraId="437A2A3D">
            <w:pPr>
              <w:pStyle w:val="69"/>
              <w:keepLines w:val="0"/>
              <w:suppressLineNumbers w:val="0"/>
              <w:spacing w:before="0" w:beforeAutospacing="0" w:after="0" w:afterAutospacing="0"/>
              <w:ind w:left="0" w:right="0"/>
              <w:rPr>
                <w:rFonts w:hint="default" w:ascii="Times New Roman" w:hAnsi="Times New Roman" w:eastAsia="宋体" w:cs="Times New Roman"/>
                <w:highlight w:val="none"/>
                <w:lang w:val="en-US"/>
              </w:rPr>
            </w:pPr>
            <w:r>
              <w:rPr>
                <w:rFonts w:hint="eastAsia" w:ascii="Times New Roman" w:hAnsi="Times New Roman" w:eastAsia="宋体" w:cs="Times New Roman"/>
                <w:highlight w:val="none"/>
              </w:rPr>
              <w:t>运行负荷（</w:t>
            </w:r>
            <w:r>
              <w:rPr>
                <w:rFonts w:hint="default" w:ascii="Times New Roman" w:hAnsi="Times New Roman" w:eastAsia="宋体" w:cs="Times New Roman"/>
                <w:highlight w:val="none"/>
                <w:lang w:val="en-US"/>
              </w:rPr>
              <w:t>%</w:t>
            </w:r>
            <w:r>
              <w:rPr>
                <w:rFonts w:hint="eastAsia" w:ascii="Times New Roman" w:hAnsi="Times New Roman" w:eastAsia="宋体" w:cs="Times New Roman"/>
                <w:highlight w:val="none"/>
              </w:rPr>
              <w:t>）</w:t>
            </w:r>
          </w:p>
        </w:tc>
      </w:tr>
      <w:tr w14:paraId="56BC3C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7" w:type="dxa"/>
            <w:tcBorders>
              <w:tl2br w:val="nil"/>
              <w:tr2bl w:val="nil"/>
            </w:tcBorders>
            <w:shd w:val="clear" w:color="auto" w:fill="auto"/>
            <w:vAlign w:val="center"/>
          </w:tcPr>
          <w:p w14:paraId="1DCD7C1C">
            <w:pPr>
              <w:pStyle w:val="38"/>
              <w:keepNext w:val="0"/>
              <w:keepLines w:val="0"/>
              <w:suppressLineNumbers w:val="0"/>
              <w:spacing w:before="0" w:beforeAutospacing="0" w:after="0" w:afterAutospacing="0"/>
              <w:ind w:left="0" w:right="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2026.4.23</w:t>
            </w:r>
          </w:p>
        </w:tc>
        <w:tc>
          <w:tcPr>
            <w:tcW w:w="1728" w:type="dxa"/>
            <w:tcBorders>
              <w:tl2br w:val="nil"/>
              <w:tr2bl w:val="nil"/>
            </w:tcBorders>
            <w:shd w:val="clear" w:color="auto" w:fill="auto"/>
            <w:vAlign w:val="center"/>
          </w:tcPr>
          <w:p w14:paraId="215F565D">
            <w:pPr>
              <w:pStyle w:val="38"/>
              <w:keepNext w:val="0"/>
              <w:keepLines w:val="0"/>
              <w:suppressLineNumbers w:val="0"/>
              <w:spacing w:before="0" w:beforeAutospacing="0" w:after="0" w:afterAutospacing="0"/>
              <w:ind w:left="0" w:right="0"/>
              <w:rPr>
                <w:rFonts w:hint="default" w:ascii="Times New Roman" w:hAnsi="Times New Roman" w:eastAsia="宋体" w:cs="Times New Roman"/>
                <w:highlight w:val="none"/>
                <w:lang w:val="en-US"/>
              </w:rPr>
            </w:pPr>
            <w:r>
              <w:rPr>
                <w:rFonts w:hint="eastAsia" w:ascii="Times New Roman" w:hAnsi="Times New Roman" w:eastAsia="宋体" w:cs="Times New Roman"/>
                <w:highlight w:val="none"/>
              </w:rPr>
              <w:t>碱性铁镍蓄电池</w:t>
            </w:r>
          </w:p>
        </w:tc>
        <w:tc>
          <w:tcPr>
            <w:tcW w:w="2304" w:type="dxa"/>
            <w:tcBorders>
              <w:tl2br w:val="nil"/>
              <w:tr2bl w:val="nil"/>
            </w:tcBorders>
            <w:shd w:val="clear" w:color="auto" w:fill="auto"/>
            <w:vAlign w:val="center"/>
          </w:tcPr>
          <w:p w14:paraId="3491F735">
            <w:pPr>
              <w:pStyle w:val="38"/>
              <w:keepNext w:val="0"/>
              <w:keepLines w:val="0"/>
              <w:suppressLineNumbers w:val="0"/>
              <w:spacing w:before="0" w:beforeAutospacing="0" w:after="0" w:afterAutospacing="0"/>
              <w:ind w:left="0" w:right="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3.3</w:t>
            </w:r>
            <w:r>
              <w:rPr>
                <w:rFonts w:hint="eastAsia" w:ascii="Times New Roman" w:hAnsi="Times New Roman" w:eastAsia="宋体" w:cs="Times New Roman"/>
                <w:highlight w:val="none"/>
              </w:rPr>
              <w:t>万安时</w:t>
            </w:r>
            <w:r>
              <w:rPr>
                <w:rFonts w:hint="default" w:ascii="Times New Roman" w:hAnsi="Times New Roman" w:eastAsia="宋体" w:cs="Times New Roman"/>
                <w:highlight w:val="none"/>
                <w:lang w:val="en-US"/>
              </w:rPr>
              <w:t>/d</w:t>
            </w:r>
          </w:p>
        </w:tc>
        <w:tc>
          <w:tcPr>
            <w:tcW w:w="2021" w:type="dxa"/>
            <w:tcBorders>
              <w:tl2br w:val="nil"/>
              <w:tr2bl w:val="nil"/>
            </w:tcBorders>
            <w:shd w:val="clear" w:color="auto" w:fill="auto"/>
            <w:vAlign w:val="center"/>
          </w:tcPr>
          <w:p w14:paraId="49FCC003">
            <w:pPr>
              <w:pStyle w:val="38"/>
              <w:keepNext w:val="0"/>
              <w:keepLines w:val="0"/>
              <w:suppressLineNumbers w:val="0"/>
              <w:spacing w:before="0" w:beforeAutospacing="0" w:after="0" w:afterAutospacing="0"/>
              <w:ind w:left="0" w:right="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2.871</w:t>
            </w:r>
            <w:r>
              <w:rPr>
                <w:rFonts w:hint="eastAsia" w:ascii="Times New Roman" w:hAnsi="Times New Roman" w:eastAsia="宋体" w:cs="Times New Roman"/>
                <w:highlight w:val="none"/>
              </w:rPr>
              <w:t>万安时</w:t>
            </w:r>
            <w:r>
              <w:rPr>
                <w:rFonts w:hint="default" w:ascii="Times New Roman" w:hAnsi="Times New Roman" w:eastAsia="宋体" w:cs="Times New Roman"/>
                <w:highlight w:val="none"/>
                <w:lang w:val="en-US"/>
              </w:rPr>
              <w:t>/d</w:t>
            </w:r>
          </w:p>
        </w:tc>
        <w:tc>
          <w:tcPr>
            <w:tcW w:w="1208" w:type="dxa"/>
            <w:tcBorders>
              <w:tl2br w:val="nil"/>
              <w:tr2bl w:val="nil"/>
            </w:tcBorders>
            <w:shd w:val="clear" w:color="auto" w:fill="auto"/>
            <w:vAlign w:val="center"/>
          </w:tcPr>
          <w:p w14:paraId="765040AC">
            <w:pPr>
              <w:pStyle w:val="38"/>
              <w:keepNext w:val="0"/>
              <w:keepLines w:val="0"/>
              <w:suppressLineNumbers w:val="0"/>
              <w:spacing w:before="0" w:beforeAutospacing="0" w:after="0" w:afterAutospacing="0"/>
              <w:ind w:left="0" w:right="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87%</w:t>
            </w:r>
          </w:p>
        </w:tc>
      </w:tr>
      <w:tr w14:paraId="73FDB7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177" w:type="dxa"/>
            <w:tcBorders>
              <w:tl2br w:val="nil"/>
              <w:tr2bl w:val="nil"/>
            </w:tcBorders>
            <w:shd w:val="clear" w:color="auto" w:fill="auto"/>
            <w:vAlign w:val="center"/>
          </w:tcPr>
          <w:p w14:paraId="21E5BDC6">
            <w:pPr>
              <w:pStyle w:val="38"/>
              <w:keepNext w:val="0"/>
              <w:keepLines w:val="0"/>
              <w:suppressLineNumbers w:val="0"/>
              <w:spacing w:before="0" w:beforeAutospacing="0" w:after="0" w:afterAutospacing="0"/>
              <w:ind w:left="0" w:right="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2026.4.24</w:t>
            </w:r>
          </w:p>
        </w:tc>
        <w:tc>
          <w:tcPr>
            <w:tcW w:w="1728" w:type="dxa"/>
            <w:tcBorders>
              <w:tl2br w:val="nil"/>
              <w:tr2bl w:val="nil"/>
            </w:tcBorders>
            <w:shd w:val="clear" w:color="auto" w:fill="auto"/>
            <w:vAlign w:val="center"/>
          </w:tcPr>
          <w:p w14:paraId="7D1B5EA6">
            <w:pPr>
              <w:pStyle w:val="38"/>
              <w:keepNext w:val="0"/>
              <w:keepLines w:val="0"/>
              <w:suppressLineNumbers w:val="0"/>
              <w:spacing w:before="0" w:beforeAutospacing="0" w:after="0" w:afterAutospacing="0"/>
              <w:ind w:left="0" w:right="0"/>
              <w:rPr>
                <w:rFonts w:hint="default" w:ascii="Times New Roman" w:hAnsi="Times New Roman" w:eastAsia="宋体" w:cs="Times New Roman"/>
                <w:highlight w:val="none"/>
                <w:lang w:val="en-US"/>
              </w:rPr>
            </w:pPr>
            <w:r>
              <w:rPr>
                <w:rFonts w:hint="eastAsia" w:ascii="Times New Roman" w:hAnsi="Times New Roman" w:eastAsia="宋体" w:cs="Times New Roman"/>
                <w:highlight w:val="none"/>
              </w:rPr>
              <w:t>碱性铁镍蓄电池</w:t>
            </w:r>
          </w:p>
        </w:tc>
        <w:tc>
          <w:tcPr>
            <w:tcW w:w="2304" w:type="dxa"/>
            <w:tcBorders>
              <w:tl2br w:val="nil"/>
              <w:tr2bl w:val="nil"/>
            </w:tcBorders>
            <w:shd w:val="clear" w:color="auto" w:fill="auto"/>
            <w:vAlign w:val="center"/>
          </w:tcPr>
          <w:p w14:paraId="422729C3">
            <w:pPr>
              <w:pStyle w:val="38"/>
              <w:keepNext w:val="0"/>
              <w:keepLines w:val="0"/>
              <w:suppressLineNumbers w:val="0"/>
              <w:spacing w:before="0" w:beforeAutospacing="0" w:after="0" w:afterAutospacing="0"/>
              <w:ind w:left="0" w:right="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3.3</w:t>
            </w:r>
            <w:r>
              <w:rPr>
                <w:rFonts w:hint="eastAsia" w:ascii="Times New Roman" w:hAnsi="Times New Roman" w:eastAsia="宋体" w:cs="Times New Roman"/>
                <w:highlight w:val="none"/>
              </w:rPr>
              <w:t>万安时</w:t>
            </w:r>
            <w:r>
              <w:rPr>
                <w:rFonts w:hint="default" w:ascii="Times New Roman" w:hAnsi="Times New Roman" w:eastAsia="宋体" w:cs="Times New Roman"/>
                <w:highlight w:val="none"/>
                <w:lang w:val="en-US"/>
              </w:rPr>
              <w:t>/d</w:t>
            </w:r>
          </w:p>
        </w:tc>
        <w:tc>
          <w:tcPr>
            <w:tcW w:w="2021" w:type="dxa"/>
            <w:tcBorders>
              <w:tl2br w:val="nil"/>
              <w:tr2bl w:val="nil"/>
            </w:tcBorders>
            <w:shd w:val="clear" w:color="auto" w:fill="auto"/>
            <w:vAlign w:val="center"/>
          </w:tcPr>
          <w:p w14:paraId="01A18392">
            <w:pPr>
              <w:pStyle w:val="38"/>
              <w:keepNext w:val="0"/>
              <w:keepLines w:val="0"/>
              <w:suppressLineNumbers w:val="0"/>
              <w:spacing w:before="0" w:beforeAutospacing="0" w:after="0" w:afterAutospacing="0"/>
              <w:ind w:left="0" w:right="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2.64</w:t>
            </w:r>
            <w:r>
              <w:rPr>
                <w:rFonts w:hint="eastAsia" w:ascii="Times New Roman" w:hAnsi="Times New Roman" w:eastAsia="宋体" w:cs="Times New Roman"/>
                <w:highlight w:val="none"/>
              </w:rPr>
              <w:t>万安时</w:t>
            </w:r>
            <w:r>
              <w:rPr>
                <w:rFonts w:hint="default" w:ascii="Times New Roman" w:hAnsi="Times New Roman" w:eastAsia="宋体" w:cs="Times New Roman"/>
                <w:highlight w:val="none"/>
                <w:lang w:val="en-US"/>
              </w:rPr>
              <w:t>/d</w:t>
            </w:r>
          </w:p>
        </w:tc>
        <w:tc>
          <w:tcPr>
            <w:tcW w:w="1208" w:type="dxa"/>
            <w:tcBorders>
              <w:tl2br w:val="nil"/>
              <w:tr2bl w:val="nil"/>
            </w:tcBorders>
            <w:shd w:val="clear" w:color="auto" w:fill="auto"/>
            <w:vAlign w:val="center"/>
          </w:tcPr>
          <w:p w14:paraId="2F544576">
            <w:pPr>
              <w:pStyle w:val="38"/>
              <w:keepNext w:val="0"/>
              <w:keepLines w:val="0"/>
              <w:suppressLineNumbers w:val="0"/>
              <w:spacing w:before="0" w:beforeAutospacing="0" w:after="0" w:afterAutospacing="0"/>
              <w:ind w:left="0" w:right="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80%</w:t>
            </w:r>
          </w:p>
        </w:tc>
      </w:tr>
      <w:tr w14:paraId="6CDC44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8438" w:type="dxa"/>
            <w:gridSpan w:val="5"/>
            <w:tcBorders>
              <w:tl2br w:val="nil"/>
              <w:tr2bl w:val="nil"/>
            </w:tcBorders>
            <w:shd w:val="clear" w:color="auto" w:fill="auto"/>
            <w:vAlign w:val="center"/>
          </w:tcPr>
          <w:p w14:paraId="12008860">
            <w:pPr>
              <w:pStyle w:val="38"/>
              <w:keepNext w:val="0"/>
              <w:keepLines w:val="0"/>
              <w:suppressLineNumbers w:val="0"/>
              <w:spacing w:before="0" w:beforeAutospacing="0" w:after="0" w:afterAutospacing="0"/>
              <w:ind w:left="0" w:right="0"/>
              <w:rPr>
                <w:rFonts w:hint="default" w:ascii="Times New Roman" w:hAnsi="Times New Roman" w:eastAsia="宋体" w:cs="Times New Roman"/>
                <w:highlight w:val="none"/>
                <w:lang w:val="en-US"/>
              </w:rPr>
            </w:pPr>
            <w:r>
              <w:rPr>
                <w:rFonts w:hint="eastAsia" w:ascii="Times New Roman" w:hAnsi="Times New Roman" w:eastAsia="宋体" w:cs="Times New Roman"/>
                <w:highlight w:val="none"/>
                <w:lang w:val="en-US" w:eastAsia="zh-CN"/>
              </w:rPr>
              <w:t>备注：生产负荷由河南省恒明新能源有限公司提供</w:t>
            </w:r>
            <w:r>
              <w:rPr>
                <w:rFonts w:hint="default" w:ascii="Times New Roman" w:hAnsi="Times New Roman" w:eastAsia="宋体" w:cs="Times New Roman"/>
                <w:highlight w:val="none"/>
                <w:lang w:val="en-US" w:eastAsia="zh-CN"/>
              </w:rPr>
              <w:t xml:space="preserve"> </w:t>
            </w:r>
          </w:p>
        </w:tc>
      </w:tr>
    </w:tbl>
    <w:p w14:paraId="514ACC96">
      <w:pPr>
        <w:pStyle w:val="3"/>
        <w:spacing w:line="500" w:lineRule="exact"/>
        <w:rPr>
          <w:highlight w:val="none"/>
        </w:rPr>
      </w:pPr>
      <w:bookmarkStart w:id="66" w:name="_Toc504492854"/>
      <w:bookmarkStart w:id="67" w:name="_Toc501703556"/>
      <w:r>
        <w:rPr>
          <w:highlight w:val="none"/>
        </w:rPr>
        <w:t>9.2 环境保护设施调试运行效果</w:t>
      </w:r>
      <w:bookmarkEnd w:id="66"/>
      <w:bookmarkEnd w:id="67"/>
    </w:p>
    <w:p w14:paraId="1258C673">
      <w:pPr>
        <w:pStyle w:val="4"/>
        <w:spacing w:line="500" w:lineRule="exact"/>
        <w:rPr>
          <w:rFonts w:cs="Times New Roman"/>
          <w:highlight w:val="none"/>
        </w:rPr>
      </w:pPr>
      <w:bookmarkStart w:id="68" w:name="_Toc504492855"/>
      <w:r>
        <w:rPr>
          <w:rFonts w:cs="Times New Roman"/>
          <w:highlight w:val="none"/>
        </w:rPr>
        <w:t>9.2.1</w:t>
      </w:r>
      <w:bookmarkEnd w:id="68"/>
      <w:r>
        <w:rPr>
          <w:rFonts w:cs="Times New Roman"/>
          <w:highlight w:val="none"/>
        </w:rPr>
        <w:t>废气污染物监测结果与评价</w:t>
      </w:r>
    </w:p>
    <w:p w14:paraId="217A4EAD">
      <w:pPr>
        <w:spacing w:line="520" w:lineRule="exact"/>
        <w:ind w:firstLine="480" w:firstLineChars="200"/>
        <w:rPr>
          <w:rFonts w:cs="Times New Roman"/>
          <w:sz w:val="24"/>
          <w:szCs w:val="24"/>
          <w:highlight w:val="none"/>
        </w:rPr>
      </w:pPr>
      <w:r>
        <w:rPr>
          <w:rFonts w:cs="Times New Roman"/>
          <w:sz w:val="24"/>
          <w:highlight w:val="none"/>
        </w:rPr>
        <w:t>项目</w:t>
      </w:r>
      <w:r>
        <w:rPr>
          <w:rFonts w:hint="eastAsia" w:cs="Times New Roman"/>
          <w:sz w:val="24"/>
          <w:highlight w:val="none"/>
          <w:lang w:val="en-US" w:eastAsia="zh-CN"/>
        </w:rPr>
        <w:t>燃气锅炉采取低氮燃烧后尾气经1根</w:t>
      </w:r>
      <w:r>
        <w:rPr>
          <w:rFonts w:cs="Times New Roman"/>
          <w:sz w:val="24"/>
          <w:highlight w:val="none"/>
        </w:rPr>
        <w:t>经15m高排气筒排放</w:t>
      </w:r>
      <w:r>
        <w:rPr>
          <w:rFonts w:hint="eastAsia" w:cs="Times New Roman"/>
          <w:sz w:val="24"/>
          <w:highlight w:val="none"/>
          <w:lang w:eastAsia="zh-CN"/>
        </w:rPr>
        <w:t>，</w:t>
      </w:r>
      <w:r>
        <w:rPr>
          <w:rFonts w:cs="Times New Roman"/>
          <w:sz w:val="24"/>
          <w:szCs w:val="24"/>
          <w:highlight w:val="none"/>
        </w:rPr>
        <w:t>污染物排放监测结果见下表。</w:t>
      </w:r>
    </w:p>
    <w:p w14:paraId="6C911D99">
      <w:pPr>
        <w:pStyle w:val="37"/>
        <w:spacing w:line="520" w:lineRule="exact"/>
        <w:ind w:firstLine="480"/>
        <w:rPr>
          <w:spacing w:val="0"/>
          <w:position w:val="0"/>
          <w:highlight w:val="none"/>
        </w:rPr>
      </w:pPr>
      <w:r>
        <w:rPr>
          <w:spacing w:val="0"/>
          <w:position w:val="0"/>
          <w:highlight w:val="none"/>
        </w:rPr>
        <w:t>表9-2            正极配料、投料废气排放监测结果</w:t>
      </w:r>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82"/>
        <w:gridCol w:w="998"/>
        <w:gridCol w:w="572"/>
        <w:gridCol w:w="579"/>
        <w:gridCol w:w="1021"/>
        <w:gridCol w:w="776"/>
        <w:gridCol w:w="1177"/>
        <w:gridCol w:w="1177"/>
        <w:gridCol w:w="1044"/>
      </w:tblGrid>
      <w:tr w14:paraId="205DE2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589" w:type="pct"/>
            <w:tcBorders>
              <w:tl2br w:val="nil"/>
              <w:tr2bl w:val="nil"/>
            </w:tcBorders>
            <w:noWrap w:val="0"/>
            <w:vAlign w:val="center"/>
          </w:tcPr>
          <w:p w14:paraId="4406B02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kern w:val="0"/>
                <w:highlight w:val="none"/>
                <w:lang w:eastAsia="zh-CN"/>
              </w:rPr>
            </w:pPr>
            <w:r>
              <w:rPr>
                <w:rFonts w:hint="default" w:ascii="Times New Roman" w:hAnsi="Times New Roman" w:eastAsia="宋体" w:cs="Times New Roman"/>
                <w:b/>
                <w:bCs/>
                <w:kern w:val="0"/>
                <w:highlight w:val="none"/>
                <w:lang w:eastAsia="zh-CN"/>
              </w:rPr>
              <w:t>检测</w:t>
            </w:r>
          </w:p>
          <w:p w14:paraId="32F60D3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kern w:val="0"/>
                <w:highlight w:val="none"/>
                <w:lang w:eastAsia="zh-CN"/>
              </w:rPr>
            </w:pPr>
            <w:r>
              <w:rPr>
                <w:rFonts w:hint="eastAsia" w:ascii="Times New Roman" w:hAnsi="Times New Roman" w:eastAsia="宋体" w:cs="Times New Roman"/>
                <w:b/>
                <w:bCs/>
                <w:kern w:val="0"/>
                <w:highlight w:val="none"/>
                <w:lang w:eastAsia="zh-CN"/>
              </w:rPr>
              <w:t>日期</w:t>
            </w:r>
          </w:p>
        </w:tc>
        <w:tc>
          <w:tcPr>
            <w:tcW w:w="599" w:type="pct"/>
            <w:tcBorders>
              <w:tl2br w:val="nil"/>
              <w:tr2bl w:val="nil"/>
            </w:tcBorders>
            <w:noWrap w:val="0"/>
            <w:vAlign w:val="center"/>
          </w:tcPr>
          <w:p w14:paraId="2843E68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kern w:val="0"/>
                <w:highlight w:val="none"/>
                <w:lang w:eastAsia="zh-CN"/>
              </w:rPr>
            </w:pPr>
            <w:r>
              <w:rPr>
                <w:rFonts w:hint="default" w:ascii="Times New Roman" w:hAnsi="Times New Roman" w:eastAsia="宋体" w:cs="Times New Roman"/>
                <w:b/>
                <w:bCs/>
                <w:kern w:val="0"/>
                <w:highlight w:val="none"/>
                <w:lang w:eastAsia="zh-CN"/>
              </w:rPr>
              <w:t>检测</w:t>
            </w:r>
          </w:p>
          <w:p w14:paraId="4ACB9CD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kern w:val="0"/>
                <w:highlight w:val="none"/>
                <w:lang w:eastAsia="zh-CN"/>
              </w:rPr>
            </w:pPr>
            <w:r>
              <w:rPr>
                <w:rFonts w:hint="default" w:ascii="Times New Roman" w:hAnsi="Times New Roman" w:eastAsia="宋体" w:cs="Times New Roman"/>
                <w:b/>
                <w:bCs/>
                <w:kern w:val="0"/>
                <w:highlight w:val="none"/>
                <w:lang w:eastAsia="zh-CN"/>
              </w:rPr>
              <w:t>点位</w:t>
            </w:r>
          </w:p>
        </w:tc>
        <w:tc>
          <w:tcPr>
            <w:tcW w:w="343" w:type="pct"/>
            <w:tcBorders>
              <w:tl2br w:val="nil"/>
              <w:tr2bl w:val="nil"/>
            </w:tcBorders>
            <w:noWrap w:val="0"/>
            <w:vAlign w:val="center"/>
          </w:tcPr>
          <w:p w14:paraId="548BAD7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kern w:val="0"/>
                <w:highlight w:val="none"/>
                <w:lang w:eastAsia="zh-CN"/>
              </w:rPr>
            </w:pPr>
            <w:r>
              <w:rPr>
                <w:rFonts w:hint="default" w:ascii="Times New Roman" w:hAnsi="Times New Roman" w:eastAsia="宋体" w:cs="Times New Roman"/>
                <w:b/>
                <w:bCs/>
                <w:kern w:val="0"/>
                <w:highlight w:val="none"/>
                <w:lang w:eastAsia="zh-CN"/>
              </w:rPr>
              <w:t>检测</w:t>
            </w:r>
          </w:p>
          <w:p w14:paraId="275D77C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kern w:val="0"/>
                <w:highlight w:val="none"/>
                <w:lang w:eastAsia="zh-CN"/>
              </w:rPr>
            </w:pPr>
            <w:r>
              <w:rPr>
                <w:rFonts w:hint="default" w:ascii="Times New Roman" w:hAnsi="Times New Roman" w:eastAsia="宋体" w:cs="Times New Roman"/>
                <w:b/>
                <w:bCs/>
                <w:kern w:val="0"/>
                <w:highlight w:val="none"/>
                <w:lang w:eastAsia="zh-CN"/>
              </w:rPr>
              <w:t>项目</w:t>
            </w:r>
          </w:p>
        </w:tc>
        <w:tc>
          <w:tcPr>
            <w:tcW w:w="347" w:type="pct"/>
            <w:tcBorders>
              <w:tl2br w:val="nil"/>
              <w:tr2bl w:val="nil"/>
            </w:tcBorders>
            <w:noWrap w:val="0"/>
            <w:vAlign w:val="center"/>
          </w:tcPr>
          <w:p w14:paraId="004580D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kern w:val="0"/>
                <w:highlight w:val="none"/>
                <w:lang w:eastAsia="zh-CN"/>
              </w:rPr>
            </w:pPr>
            <w:r>
              <w:rPr>
                <w:rFonts w:hint="default" w:ascii="Times New Roman" w:hAnsi="Times New Roman" w:eastAsia="宋体" w:cs="Times New Roman"/>
                <w:b/>
                <w:bCs/>
                <w:kern w:val="0"/>
                <w:highlight w:val="none"/>
                <w:lang w:eastAsia="zh-CN"/>
              </w:rPr>
              <w:t>检测</w:t>
            </w:r>
          </w:p>
          <w:p w14:paraId="4304A0A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kern w:val="0"/>
                <w:highlight w:val="none"/>
              </w:rPr>
            </w:pPr>
            <w:r>
              <w:rPr>
                <w:rFonts w:hint="eastAsia" w:ascii="Times New Roman" w:hAnsi="Times New Roman" w:eastAsia="宋体" w:cs="Times New Roman"/>
                <w:b/>
                <w:bCs/>
                <w:kern w:val="0"/>
                <w:highlight w:val="none"/>
                <w:lang w:eastAsia="zh-CN"/>
              </w:rPr>
              <w:t>频次</w:t>
            </w:r>
          </w:p>
        </w:tc>
        <w:tc>
          <w:tcPr>
            <w:tcW w:w="613" w:type="pct"/>
            <w:tcBorders>
              <w:tl2br w:val="nil"/>
              <w:tr2bl w:val="nil"/>
            </w:tcBorders>
            <w:noWrap w:val="0"/>
            <w:vAlign w:val="center"/>
          </w:tcPr>
          <w:p w14:paraId="016787B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kern w:val="0"/>
                <w:highlight w:val="none"/>
              </w:rPr>
            </w:pPr>
            <w:r>
              <w:rPr>
                <w:rFonts w:hint="eastAsia" w:ascii="Times New Roman" w:hAnsi="Times New Roman" w:eastAsia="宋体" w:cs="Times New Roman"/>
                <w:b/>
                <w:bCs/>
                <w:kern w:val="0"/>
                <w:highlight w:val="none"/>
              </w:rPr>
              <w:t>标干流量（m</w:t>
            </w:r>
            <w:r>
              <w:rPr>
                <w:rFonts w:hint="default" w:ascii="Times New Roman" w:hAnsi="Times New Roman" w:eastAsia="宋体" w:cs="Times New Roman"/>
                <w:b/>
                <w:bCs/>
                <w:kern w:val="0"/>
                <w:highlight w:val="none"/>
                <w:vertAlign w:val="superscript"/>
                <w:lang w:val="en-US" w:eastAsia="zh-CN"/>
              </w:rPr>
              <w:t>3</w:t>
            </w:r>
            <w:r>
              <w:rPr>
                <w:rFonts w:hint="eastAsia" w:ascii="Times New Roman" w:hAnsi="Times New Roman" w:eastAsia="宋体" w:cs="Times New Roman"/>
                <w:b/>
                <w:bCs/>
                <w:kern w:val="0"/>
                <w:highlight w:val="none"/>
              </w:rPr>
              <w:t>/h）</w:t>
            </w:r>
          </w:p>
        </w:tc>
        <w:tc>
          <w:tcPr>
            <w:tcW w:w="465" w:type="pct"/>
            <w:tcBorders>
              <w:tl2br w:val="nil"/>
              <w:tr2bl w:val="nil"/>
            </w:tcBorders>
            <w:noWrap w:val="0"/>
            <w:vAlign w:val="center"/>
          </w:tcPr>
          <w:p w14:paraId="2581D4F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kern w:val="0"/>
                <w:highlight w:val="none"/>
                <w:lang w:val="en-US" w:eastAsia="zh-CN"/>
              </w:rPr>
            </w:pPr>
            <w:r>
              <w:rPr>
                <w:rFonts w:hint="default" w:ascii="Times New Roman" w:hAnsi="Times New Roman" w:eastAsia="宋体" w:cs="Times New Roman"/>
                <w:b/>
                <w:bCs/>
                <w:kern w:val="0"/>
                <w:highlight w:val="none"/>
              </w:rPr>
              <w:t>氧含量（%）</w:t>
            </w:r>
          </w:p>
        </w:tc>
        <w:tc>
          <w:tcPr>
            <w:tcW w:w="706" w:type="pct"/>
            <w:tcBorders>
              <w:tl2br w:val="nil"/>
              <w:tr2bl w:val="nil"/>
            </w:tcBorders>
            <w:noWrap w:val="0"/>
            <w:vAlign w:val="center"/>
          </w:tcPr>
          <w:p w14:paraId="255B553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kern w:val="0"/>
                <w:highlight w:val="none"/>
                <w:lang w:val="en-US" w:eastAsia="zh-CN"/>
              </w:rPr>
            </w:pPr>
            <w:r>
              <w:rPr>
                <w:rFonts w:hint="eastAsia" w:ascii="Times New Roman" w:hAnsi="Times New Roman" w:eastAsia="宋体" w:cs="Times New Roman"/>
                <w:b/>
                <w:bCs/>
                <w:kern w:val="0"/>
                <w:highlight w:val="none"/>
                <w:lang w:val="en-US" w:eastAsia="zh-CN"/>
              </w:rPr>
              <w:t>实测浓度</w:t>
            </w:r>
            <w:r>
              <w:rPr>
                <w:rFonts w:hint="default" w:ascii="Times New Roman" w:hAnsi="Times New Roman" w:eastAsia="宋体" w:cs="Times New Roman"/>
                <w:b/>
                <w:bCs/>
                <w:kern w:val="0"/>
                <w:highlight w:val="none"/>
                <w:lang w:eastAsia="zh-CN"/>
              </w:rPr>
              <w:t>（mg/m</w:t>
            </w:r>
            <w:r>
              <w:rPr>
                <w:rFonts w:hint="default" w:ascii="Times New Roman" w:hAnsi="Times New Roman" w:eastAsia="宋体" w:cs="Times New Roman"/>
                <w:b/>
                <w:bCs/>
                <w:kern w:val="0"/>
                <w:highlight w:val="none"/>
                <w:vertAlign w:val="superscript"/>
                <w:lang w:eastAsia="zh-CN"/>
              </w:rPr>
              <w:t>3</w:t>
            </w:r>
            <w:r>
              <w:rPr>
                <w:rFonts w:hint="default" w:ascii="Times New Roman" w:hAnsi="Times New Roman" w:eastAsia="宋体" w:cs="Times New Roman"/>
                <w:b/>
                <w:bCs/>
                <w:kern w:val="0"/>
                <w:highlight w:val="none"/>
                <w:lang w:eastAsia="zh-CN"/>
              </w:rPr>
              <w:t>）</w:t>
            </w:r>
          </w:p>
        </w:tc>
        <w:tc>
          <w:tcPr>
            <w:tcW w:w="706" w:type="pct"/>
            <w:tcBorders>
              <w:tl2br w:val="nil"/>
              <w:tr2bl w:val="nil"/>
            </w:tcBorders>
            <w:noWrap w:val="0"/>
            <w:vAlign w:val="center"/>
          </w:tcPr>
          <w:p w14:paraId="4096606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kern w:val="0"/>
                <w:highlight w:val="none"/>
                <w:lang w:val="en-US" w:eastAsia="zh-CN"/>
              </w:rPr>
            </w:pPr>
            <w:r>
              <w:rPr>
                <w:rFonts w:hint="default" w:ascii="Times New Roman" w:hAnsi="Times New Roman" w:eastAsia="宋体" w:cs="Times New Roman"/>
                <w:b/>
                <w:bCs/>
                <w:kern w:val="0"/>
                <w:highlight w:val="none"/>
              </w:rPr>
              <w:t>折算浓度（mg/m</w:t>
            </w:r>
            <w:r>
              <w:rPr>
                <w:rFonts w:hint="default" w:ascii="Times New Roman" w:hAnsi="Times New Roman" w:eastAsia="宋体" w:cs="Times New Roman"/>
                <w:b/>
                <w:bCs/>
                <w:kern w:val="0"/>
                <w:highlight w:val="none"/>
                <w:vertAlign w:val="superscript"/>
              </w:rPr>
              <w:t>3</w:t>
            </w:r>
            <w:r>
              <w:rPr>
                <w:rFonts w:hint="default" w:ascii="Times New Roman" w:hAnsi="Times New Roman" w:eastAsia="宋体" w:cs="Times New Roman"/>
                <w:b/>
                <w:bCs/>
                <w:kern w:val="0"/>
                <w:highlight w:val="none"/>
              </w:rPr>
              <w:t>）</w:t>
            </w:r>
          </w:p>
        </w:tc>
        <w:tc>
          <w:tcPr>
            <w:tcW w:w="627" w:type="pct"/>
            <w:tcBorders>
              <w:tl2br w:val="nil"/>
              <w:tr2bl w:val="nil"/>
            </w:tcBorders>
            <w:noWrap w:val="0"/>
            <w:vAlign w:val="center"/>
          </w:tcPr>
          <w:p w14:paraId="2DF4137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kern w:val="0"/>
                <w:highlight w:val="none"/>
              </w:rPr>
            </w:pPr>
            <w:r>
              <w:rPr>
                <w:rFonts w:hint="eastAsia" w:ascii="Times New Roman" w:hAnsi="Times New Roman" w:eastAsia="宋体" w:cs="Times New Roman"/>
                <w:b/>
                <w:bCs/>
                <w:kern w:val="0"/>
                <w:highlight w:val="none"/>
              </w:rPr>
              <w:t>排放速率（kg/h）</w:t>
            </w:r>
          </w:p>
        </w:tc>
      </w:tr>
      <w:tr w14:paraId="55181F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89" w:type="pct"/>
            <w:vMerge w:val="restart"/>
            <w:tcBorders>
              <w:tl2br w:val="nil"/>
              <w:tr2bl w:val="nil"/>
            </w:tcBorders>
            <w:noWrap w:val="0"/>
            <w:vAlign w:val="center"/>
          </w:tcPr>
          <w:p w14:paraId="3E4FD55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2026.04.23</w:t>
            </w:r>
          </w:p>
        </w:tc>
        <w:tc>
          <w:tcPr>
            <w:tcW w:w="599" w:type="pct"/>
            <w:vMerge w:val="restart"/>
            <w:tcBorders>
              <w:tl2br w:val="nil"/>
              <w:tr2bl w:val="nil"/>
            </w:tcBorders>
            <w:noWrap w:val="0"/>
            <w:vAlign w:val="center"/>
          </w:tcPr>
          <w:p w14:paraId="36A0B47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燃气锅炉排气筒（DA007）</w:t>
            </w:r>
          </w:p>
        </w:tc>
        <w:tc>
          <w:tcPr>
            <w:tcW w:w="343" w:type="pct"/>
            <w:vMerge w:val="restart"/>
            <w:tcBorders>
              <w:tl2br w:val="nil"/>
              <w:tr2bl w:val="nil"/>
            </w:tcBorders>
            <w:noWrap w:val="0"/>
            <w:vAlign w:val="center"/>
          </w:tcPr>
          <w:p w14:paraId="0DAE178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t>颗粒物</w:t>
            </w:r>
          </w:p>
        </w:tc>
        <w:tc>
          <w:tcPr>
            <w:tcW w:w="347" w:type="pct"/>
            <w:tcBorders>
              <w:tl2br w:val="nil"/>
              <w:tr2bl w:val="nil"/>
            </w:tcBorders>
            <w:noWrap w:val="0"/>
            <w:vAlign w:val="center"/>
          </w:tcPr>
          <w:p w14:paraId="575BC17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t>1</w:t>
            </w:r>
          </w:p>
        </w:tc>
        <w:tc>
          <w:tcPr>
            <w:tcW w:w="613" w:type="pct"/>
            <w:tcBorders>
              <w:tl2br w:val="nil"/>
              <w:tr2bl w:val="nil"/>
            </w:tcBorders>
            <w:noWrap w:val="0"/>
            <w:vAlign w:val="center"/>
          </w:tcPr>
          <w:p w14:paraId="2C3B8F4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1408</w:t>
            </w:r>
          </w:p>
        </w:tc>
        <w:tc>
          <w:tcPr>
            <w:tcW w:w="465" w:type="pct"/>
            <w:tcBorders>
              <w:tl2br w:val="nil"/>
              <w:tr2bl w:val="nil"/>
            </w:tcBorders>
            <w:noWrap w:val="0"/>
            <w:vAlign w:val="center"/>
          </w:tcPr>
          <w:p w14:paraId="17B48D2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5.8</w:t>
            </w:r>
          </w:p>
        </w:tc>
        <w:tc>
          <w:tcPr>
            <w:tcW w:w="706" w:type="pct"/>
            <w:tcBorders>
              <w:tl2br w:val="nil"/>
              <w:tr2bl w:val="nil"/>
            </w:tcBorders>
            <w:noWrap w:val="0"/>
            <w:vAlign w:val="center"/>
          </w:tcPr>
          <w:p w14:paraId="27D09D6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3.1</w:t>
            </w:r>
          </w:p>
        </w:tc>
        <w:tc>
          <w:tcPr>
            <w:tcW w:w="706" w:type="pct"/>
            <w:tcBorders>
              <w:tl2br w:val="nil"/>
              <w:tr2bl w:val="nil"/>
            </w:tcBorders>
            <w:noWrap w:val="0"/>
            <w:vAlign w:val="center"/>
          </w:tcPr>
          <w:p w14:paraId="0F4E9B6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3.6</w:t>
            </w:r>
          </w:p>
        </w:tc>
        <w:tc>
          <w:tcPr>
            <w:tcW w:w="627" w:type="pct"/>
            <w:tcBorders>
              <w:tl2br w:val="nil"/>
              <w:tr2bl w:val="nil"/>
            </w:tcBorders>
            <w:noWrap w:val="0"/>
            <w:vAlign w:val="center"/>
          </w:tcPr>
          <w:p w14:paraId="284B78D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4.36</w:t>
            </w:r>
            <w:r>
              <w:rPr>
                <w:rFonts w:hint="default" w:ascii="Times New Roman" w:hAnsi="Times New Roman" w:eastAsia="宋体" w:cs="Times New Roman"/>
                <w:kern w:val="0"/>
                <w:highlight w:val="none"/>
                <w:lang w:val="en-US" w:eastAsia="zh-CN"/>
              </w:rPr>
              <w:t>×10</w:t>
            </w:r>
            <w:r>
              <w:rPr>
                <w:rFonts w:hint="eastAsia" w:ascii="Times New Roman" w:hAnsi="Times New Roman" w:eastAsia="宋体" w:cs="Times New Roman"/>
                <w:kern w:val="0"/>
                <w:highlight w:val="none"/>
                <w:vertAlign w:val="superscript"/>
                <w:lang w:val="en-US" w:eastAsia="zh-CN"/>
              </w:rPr>
              <w:t>-3</w:t>
            </w:r>
          </w:p>
        </w:tc>
      </w:tr>
      <w:tr w14:paraId="0CC73E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89" w:type="pct"/>
            <w:vMerge w:val="continue"/>
            <w:tcBorders>
              <w:tl2br w:val="nil"/>
              <w:tr2bl w:val="nil"/>
            </w:tcBorders>
            <w:noWrap w:val="0"/>
            <w:vAlign w:val="center"/>
          </w:tcPr>
          <w:p w14:paraId="572AFD3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599" w:type="pct"/>
            <w:vMerge w:val="continue"/>
            <w:tcBorders>
              <w:tl2br w:val="nil"/>
              <w:tr2bl w:val="nil"/>
            </w:tcBorders>
            <w:noWrap w:val="0"/>
            <w:vAlign w:val="center"/>
          </w:tcPr>
          <w:p w14:paraId="0EE7BB5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3" w:type="pct"/>
            <w:vMerge w:val="continue"/>
            <w:tcBorders>
              <w:tl2br w:val="nil"/>
              <w:tr2bl w:val="nil"/>
            </w:tcBorders>
            <w:noWrap w:val="0"/>
            <w:vAlign w:val="center"/>
          </w:tcPr>
          <w:p w14:paraId="338D395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7" w:type="pct"/>
            <w:tcBorders>
              <w:tl2br w:val="nil"/>
              <w:tr2bl w:val="nil"/>
            </w:tcBorders>
            <w:noWrap w:val="0"/>
            <w:vAlign w:val="center"/>
          </w:tcPr>
          <w:p w14:paraId="2649E0D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t>2</w:t>
            </w:r>
          </w:p>
        </w:tc>
        <w:tc>
          <w:tcPr>
            <w:tcW w:w="613" w:type="pct"/>
            <w:tcBorders>
              <w:tl2br w:val="nil"/>
              <w:tr2bl w:val="nil"/>
            </w:tcBorders>
            <w:noWrap w:val="0"/>
            <w:vAlign w:val="center"/>
          </w:tcPr>
          <w:p w14:paraId="3BE4CF5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1481</w:t>
            </w:r>
          </w:p>
        </w:tc>
        <w:tc>
          <w:tcPr>
            <w:tcW w:w="465" w:type="pct"/>
            <w:tcBorders>
              <w:tl2br w:val="nil"/>
              <w:tr2bl w:val="nil"/>
            </w:tcBorders>
            <w:noWrap w:val="0"/>
            <w:vAlign w:val="center"/>
          </w:tcPr>
          <w:p w14:paraId="1FFDBF1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5.9</w:t>
            </w:r>
          </w:p>
        </w:tc>
        <w:tc>
          <w:tcPr>
            <w:tcW w:w="706" w:type="pct"/>
            <w:tcBorders>
              <w:tl2br w:val="nil"/>
              <w:tr2bl w:val="nil"/>
            </w:tcBorders>
            <w:noWrap w:val="0"/>
            <w:vAlign w:val="center"/>
          </w:tcPr>
          <w:p w14:paraId="673FADD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2.3</w:t>
            </w:r>
          </w:p>
        </w:tc>
        <w:tc>
          <w:tcPr>
            <w:tcW w:w="706" w:type="pct"/>
            <w:tcBorders>
              <w:tl2br w:val="nil"/>
              <w:tr2bl w:val="nil"/>
            </w:tcBorders>
            <w:noWrap w:val="0"/>
            <w:vAlign w:val="center"/>
          </w:tcPr>
          <w:p w14:paraId="6E34ABB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2.7</w:t>
            </w:r>
          </w:p>
        </w:tc>
        <w:tc>
          <w:tcPr>
            <w:tcW w:w="627" w:type="pct"/>
            <w:tcBorders>
              <w:tl2br w:val="nil"/>
              <w:tr2bl w:val="nil"/>
            </w:tcBorders>
            <w:noWrap w:val="0"/>
            <w:vAlign w:val="center"/>
          </w:tcPr>
          <w:p w14:paraId="20047B9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3.41</w:t>
            </w:r>
            <w:r>
              <w:rPr>
                <w:rFonts w:hint="default" w:ascii="Times New Roman" w:hAnsi="Times New Roman" w:eastAsia="宋体" w:cs="Times New Roman"/>
                <w:kern w:val="0"/>
                <w:highlight w:val="none"/>
                <w:lang w:val="en-US" w:eastAsia="zh-CN"/>
              </w:rPr>
              <w:t>×10</w:t>
            </w:r>
            <w:r>
              <w:rPr>
                <w:rFonts w:hint="eastAsia" w:ascii="Times New Roman" w:hAnsi="Times New Roman" w:eastAsia="宋体" w:cs="Times New Roman"/>
                <w:kern w:val="0"/>
                <w:highlight w:val="none"/>
                <w:vertAlign w:val="superscript"/>
                <w:lang w:val="en-US" w:eastAsia="zh-CN"/>
              </w:rPr>
              <w:t>-3</w:t>
            </w:r>
          </w:p>
        </w:tc>
      </w:tr>
      <w:tr w14:paraId="5BF2C3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89" w:type="pct"/>
            <w:vMerge w:val="continue"/>
            <w:tcBorders>
              <w:tl2br w:val="nil"/>
              <w:tr2bl w:val="nil"/>
            </w:tcBorders>
            <w:noWrap w:val="0"/>
            <w:vAlign w:val="center"/>
          </w:tcPr>
          <w:p w14:paraId="00CAC58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599" w:type="pct"/>
            <w:vMerge w:val="continue"/>
            <w:tcBorders>
              <w:tl2br w:val="nil"/>
              <w:tr2bl w:val="nil"/>
            </w:tcBorders>
            <w:noWrap w:val="0"/>
            <w:vAlign w:val="center"/>
          </w:tcPr>
          <w:p w14:paraId="6232A8E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3" w:type="pct"/>
            <w:vMerge w:val="continue"/>
            <w:tcBorders>
              <w:tl2br w:val="nil"/>
              <w:tr2bl w:val="nil"/>
            </w:tcBorders>
            <w:noWrap w:val="0"/>
            <w:vAlign w:val="center"/>
          </w:tcPr>
          <w:p w14:paraId="7101595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7" w:type="pct"/>
            <w:tcBorders>
              <w:tl2br w:val="nil"/>
              <w:tr2bl w:val="nil"/>
            </w:tcBorders>
            <w:noWrap w:val="0"/>
            <w:vAlign w:val="center"/>
          </w:tcPr>
          <w:p w14:paraId="4A8BCA5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t>3</w:t>
            </w:r>
          </w:p>
        </w:tc>
        <w:tc>
          <w:tcPr>
            <w:tcW w:w="613" w:type="pct"/>
            <w:tcBorders>
              <w:tl2br w:val="nil"/>
              <w:tr2bl w:val="nil"/>
            </w:tcBorders>
            <w:noWrap w:val="0"/>
            <w:vAlign w:val="center"/>
          </w:tcPr>
          <w:p w14:paraId="1C4852F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1462</w:t>
            </w:r>
          </w:p>
        </w:tc>
        <w:tc>
          <w:tcPr>
            <w:tcW w:w="465" w:type="pct"/>
            <w:tcBorders>
              <w:tl2br w:val="nil"/>
              <w:tr2bl w:val="nil"/>
            </w:tcBorders>
            <w:noWrap w:val="0"/>
            <w:vAlign w:val="center"/>
          </w:tcPr>
          <w:p w14:paraId="4DB4BEC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5.8</w:t>
            </w:r>
          </w:p>
        </w:tc>
        <w:tc>
          <w:tcPr>
            <w:tcW w:w="706" w:type="pct"/>
            <w:tcBorders>
              <w:tl2br w:val="nil"/>
              <w:tr2bl w:val="nil"/>
            </w:tcBorders>
            <w:noWrap w:val="0"/>
            <w:vAlign w:val="center"/>
          </w:tcPr>
          <w:p w14:paraId="1819F83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2.8</w:t>
            </w:r>
          </w:p>
        </w:tc>
        <w:tc>
          <w:tcPr>
            <w:tcW w:w="706" w:type="pct"/>
            <w:tcBorders>
              <w:tl2br w:val="nil"/>
              <w:tr2bl w:val="nil"/>
            </w:tcBorders>
            <w:noWrap w:val="0"/>
            <w:vAlign w:val="center"/>
          </w:tcPr>
          <w:p w14:paraId="5AA93E6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3.2</w:t>
            </w:r>
          </w:p>
        </w:tc>
        <w:tc>
          <w:tcPr>
            <w:tcW w:w="627" w:type="pct"/>
            <w:tcBorders>
              <w:tl2br w:val="nil"/>
              <w:tr2bl w:val="nil"/>
            </w:tcBorders>
            <w:noWrap w:val="0"/>
            <w:vAlign w:val="center"/>
          </w:tcPr>
          <w:p w14:paraId="01A6204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4.09</w:t>
            </w:r>
            <w:r>
              <w:rPr>
                <w:rFonts w:hint="default" w:ascii="Times New Roman" w:hAnsi="Times New Roman" w:eastAsia="宋体" w:cs="Times New Roman"/>
                <w:kern w:val="0"/>
                <w:highlight w:val="none"/>
                <w:lang w:val="en-US" w:eastAsia="zh-CN"/>
              </w:rPr>
              <w:t>×10</w:t>
            </w:r>
            <w:r>
              <w:rPr>
                <w:rFonts w:hint="eastAsia" w:ascii="Times New Roman" w:hAnsi="Times New Roman" w:eastAsia="宋体" w:cs="Times New Roman"/>
                <w:kern w:val="0"/>
                <w:highlight w:val="none"/>
                <w:vertAlign w:val="superscript"/>
                <w:lang w:val="en-US" w:eastAsia="zh-CN"/>
              </w:rPr>
              <w:t>-3</w:t>
            </w:r>
          </w:p>
        </w:tc>
      </w:tr>
      <w:tr w14:paraId="78F749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89" w:type="pct"/>
            <w:vMerge w:val="continue"/>
            <w:tcBorders>
              <w:tl2br w:val="nil"/>
              <w:tr2bl w:val="nil"/>
            </w:tcBorders>
            <w:noWrap w:val="0"/>
            <w:vAlign w:val="center"/>
          </w:tcPr>
          <w:p w14:paraId="3267BB2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599" w:type="pct"/>
            <w:vMerge w:val="continue"/>
            <w:tcBorders>
              <w:tl2br w:val="nil"/>
              <w:tr2bl w:val="nil"/>
            </w:tcBorders>
            <w:noWrap w:val="0"/>
            <w:vAlign w:val="center"/>
          </w:tcPr>
          <w:p w14:paraId="197730A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3" w:type="pct"/>
            <w:vMerge w:val="continue"/>
            <w:tcBorders>
              <w:tl2br w:val="nil"/>
              <w:tr2bl w:val="nil"/>
            </w:tcBorders>
            <w:noWrap w:val="0"/>
            <w:vAlign w:val="center"/>
          </w:tcPr>
          <w:p w14:paraId="1C7DDDC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7" w:type="pct"/>
            <w:tcBorders>
              <w:tl2br w:val="nil"/>
              <w:tr2bl w:val="nil"/>
            </w:tcBorders>
            <w:noWrap w:val="0"/>
            <w:vAlign w:val="center"/>
          </w:tcPr>
          <w:p w14:paraId="1148ACB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t>均值</w:t>
            </w:r>
          </w:p>
        </w:tc>
        <w:tc>
          <w:tcPr>
            <w:tcW w:w="613" w:type="pct"/>
            <w:tcBorders>
              <w:tl2br w:val="nil"/>
              <w:tr2bl w:val="nil"/>
            </w:tcBorders>
            <w:noWrap w:val="0"/>
            <w:vAlign w:val="center"/>
          </w:tcPr>
          <w:p w14:paraId="00115C2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fldChar w:fldCharType="begin"/>
            </w:r>
            <w:r>
              <w:rPr>
                <w:rFonts w:hint="default" w:ascii="Times New Roman" w:hAnsi="Times New Roman" w:eastAsia="宋体" w:cs="Times New Roman"/>
                <w:kern w:val="0"/>
                <w:highlight w:val="none"/>
                <w:lang w:val="en-US" w:eastAsia="zh-CN"/>
              </w:rPr>
              <w:instrText xml:space="preserve"> = average(E2:E4) \* MERGEFORMAT </w:instrText>
            </w:r>
            <w:r>
              <w:rPr>
                <w:rFonts w:hint="default" w:ascii="Times New Roman" w:hAnsi="Times New Roman" w:eastAsia="宋体" w:cs="Times New Roman"/>
                <w:kern w:val="0"/>
                <w:highlight w:val="none"/>
                <w:lang w:val="en-US" w:eastAsia="zh-CN"/>
              </w:rPr>
              <w:fldChar w:fldCharType="separate"/>
            </w:r>
            <w:r>
              <w:rPr>
                <w:rFonts w:hint="default" w:ascii="Times New Roman" w:hAnsi="Times New Roman" w:eastAsia="宋体" w:cs="Times New Roman"/>
                <w:kern w:val="0"/>
                <w:highlight w:val="none"/>
                <w:lang w:val="en-US" w:eastAsia="zh-CN"/>
              </w:rPr>
              <w:t>1450</w:t>
            </w:r>
            <w:r>
              <w:rPr>
                <w:rFonts w:hint="default" w:ascii="Times New Roman" w:hAnsi="Times New Roman" w:eastAsia="宋体" w:cs="Times New Roman"/>
                <w:kern w:val="0"/>
                <w:highlight w:val="none"/>
                <w:lang w:val="en-US" w:eastAsia="zh-CN"/>
              </w:rPr>
              <w:fldChar w:fldCharType="end"/>
            </w:r>
          </w:p>
        </w:tc>
        <w:tc>
          <w:tcPr>
            <w:tcW w:w="465" w:type="pct"/>
            <w:tcBorders>
              <w:tl2br w:val="nil"/>
              <w:tr2bl w:val="nil"/>
            </w:tcBorders>
            <w:noWrap w:val="0"/>
            <w:vAlign w:val="center"/>
          </w:tcPr>
          <w:p w14:paraId="539BFF9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5.8</w:t>
            </w:r>
          </w:p>
        </w:tc>
        <w:tc>
          <w:tcPr>
            <w:tcW w:w="706" w:type="pct"/>
            <w:tcBorders>
              <w:tl2br w:val="nil"/>
              <w:tr2bl w:val="nil"/>
            </w:tcBorders>
            <w:noWrap w:val="0"/>
            <w:vAlign w:val="center"/>
          </w:tcPr>
          <w:p w14:paraId="0583D90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fldChar w:fldCharType="begin"/>
            </w:r>
            <w:r>
              <w:rPr>
                <w:rFonts w:hint="default" w:ascii="Times New Roman" w:hAnsi="Times New Roman" w:eastAsia="宋体" w:cs="Times New Roman"/>
                <w:kern w:val="0"/>
                <w:highlight w:val="none"/>
                <w:lang w:val="en-US" w:eastAsia="zh-CN"/>
              </w:rPr>
              <w:instrText xml:space="preserve"> = average(G2:G4) \* MERGEFORMAT </w:instrText>
            </w:r>
            <w:r>
              <w:rPr>
                <w:rFonts w:hint="default" w:ascii="Times New Roman" w:hAnsi="Times New Roman" w:eastAsia="宋体" w:cs="Times New Roman"/>
                <w:kern w:val="0"/>
                <w:highlight w:val="none"/>
                <w:lang w:val="en-US" w:eastAsia="zh-CN"/>
              </w:rPr>
              <w:fldChar w:fldCharType="separate"/>
            </w:r>
            <w:r>
              <w:rPr>
                <w:rFonts w:hint="default" w:ascii="Times New Roman" w:hAnsi="Times New Roman" w:eastAsia="宋体" w:cs="Times New Roman"/>
                <w:kern w:val="0"/>
                <w:highlight w:val="none"/>
                <w:lang w:val="en-US" w:eastAsia="zh-CN"/>
              </w:rPr>
              <w:t>2.7</w:t>
            </w:r>
            <w:r>
              <w:rPr>
                <w:rFonts w:hint="default" w:ascii="Times New Roman" w:hAnsi="Times New Roman" w:eastAsia="宋体" w:cs="Times New Roman"/>
                <w:kern w:val="0"/>
                <w:highlight w:val="none"/>
                <w:lang w:val="en-US" w:eastAsia="zh-CN"/>
              </w:rPr>
              <w:fldChar w:fldCharType="end"/>
            </w:r>
          </w:p>
        </w:tc>
        <w:tc>
          <w:tcPr>
            <w:tcW w:w="706" w:type="pct"/>
            <w:tcBorders>
              <w:tl2br w:val="nil"/>
              <w:tr2bl w:val="nil"/>
            </w:tcBorders>
            <w:noWrap w:val="0"/>
            <w:vAlign w:val="center"/>
          </w:tcPr>
          <w:p w14:paraId="7172EE8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3.2</w:t>
            </w:r>
          </w:p>
        </w:tc>
        <w:tc>
          <w:tcPr>
            <w:tcW w:w="627" w:type="pct"/>
            <w:tcBorders>
              <w:tl2br w:val="nil"/>
              <w:tr2bl w:val="nil"/>
            </w:tcBorders>
            <w:noWrap w:val="0"/>
            <w:vAlign w:val="center"/>
          </w:tcPr>
          <w:p w14:paraId="0A33EBF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fldChar w:fldCharType="begin"/>
            </w:r>
            <w:r>
              <w:rPr>
                <w:rFonts w:hint="default" w:ascii="Times New Roman" w:hAnsi="Times New Roman" w:eastAsia="宋体" w:cs="Times New Roman"/>
                <w:kern w:val="0"/>
                <w:highlight w:val="none"/>
                <w:lang w:val="en-US" w:eastAsia="zh-CN"/>
              </w:rPr>
              <w:instrText xml:space="preserve"> = average(I2:I4) \* MERGEFORMAT </w:instrText>
            </w:r>
            <w:r>
              <w:rPr>
                <w:rFonts w:hint="default" w:ascii="Times New Roman" w:hAnsi="Times New Roman" w:eastAsia="宋体" w:cs="Times New Roman"/>
                <w:kern w:val="0"/>
                <w:highlight w:val="none"/>
                <w:lang w:val="en-US" w:eastAsia="zh-CN"/>
              </w:rPr>
              <w:fldChar w:fldCharType="separate"/>
            </w:r>
            <w:r>
              <w:rPr>
                <w:rFonts w:hint="default" w:ascii="Times New Roman" w:hAnsi="Times New Roman" w:eastAsia="宋体" w:cs="Times New Roman"/>
                <w:kern w:val="0"/>
                <w:highlight w:val="none"/>
                <w:lang w:val="en-US" w:eastAsia="zh-CN"/>
              </w:rPr>
              <w:t>3.95×10</w:t>
            </w:r>
            <w:r>
              <w:rPr>
                <w:rFonts w:hint="eastAsia" w:ascii="Times New Roman" w:hAnsi="Times New Roman" w:eastAsia="宋体" w:cs="Times New Roman"/>
                <w:kern w:val="0"/>
                <w:highlight w:val="none"/>
                <w:vertAlign w:val="superscript"/>
                <w:lang w:val="en-US" w:eastAsia="zh-CN"/>
              </w:rPr>
              <w:t>-3</w:t>
            </w:r>
            <w:r>
              <w:rPr>
                <w:rFonts w:hint="default" w:ascii="Times New Roman" w:hAnsi="Times New Roman" w:eastAsia="宋体" w:cs="Times New Roman"/>
                <w:kern w:val="0"/>
                <w:highlight w:val="none"/>
                <w:lang w:val="en-US" w:eastAsia="zh-CN"/>
              </w:rPr>
              <w:fldChar w:fldCharType="end"/>
            </w:r>
          </w:p>
        </w:tc>
      </w:tr>
      <w:tr w14:paraId="6EB1AE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89" w:type="pct"/>
            <w:vMerge w:val="continue"/>
            <w:tcBorders>
              <w:tl2br w:val="nil"/>
              <w:tr2bl w:val="nil"/>
            </w:tcBorders>
            <w:noWrap w:val="0"/>
            <w:vAlign w:val="center"/>
          </w:tcPr>
          <w:p w14:paraId="6E7F68A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599" w:type="pct"/>
            <w:vMerge w:val="continue"/>
            <w:tcBorders>
              <w:tl2br w:val="nil"/>
              <w:tr2bl w:val="nil"/>
            </w:tcBorders>
            <w:noWrap w:val="0"/>
            <w:vAlign w:val="center"/>
          </w:tcPr>
          <w:p w14:paraId="71AAB32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3" w:type="pct"/>
            <w:vMerge w:val="restart"/>
            <w:tcBorders>
              <w:tl2br w:val="nil"/>
              <w:tr2bl w:val="nil"/>
            </w:tcBorders>
            <w:noWrap w:val="0"/>
            <w:vAlign w:val="center"/>
          </w:tcPr>
          <w:p w14:paraId="0885CDB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t>二氧化硫</w:t>
            </w:r>
          </w:p>
        </w:tc>
        <w:tc>
          <w:tcPr>
            <w:tcW w:w="347" w:type="pct"/>
            <w:tcBorders>
              <w:tl2br w:val="nil"/>
              <w:tr2bl w:val="nil"/>
            </w:tcBorders>
            <w:noWrap w:val="0"/>
            <w:vAlign w:val="center"/>
          </w:tcPr>
          <w:p w14:paraId="380C43F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t>1</w:t>
            </w:r>
          </w:p>
        </w:tc>
        <w:tc>
          <w:tcPr>
            <w:tcW w:w="613" w:type="pct"/>
            <w:tcBorders>
              <w:tl2br w:val="nil"/>
              <w:tr2bl w:val="nil"/>
            </w:tcBorders>
            <w:shd w:val="clear" w:color="auto" w:fill="auto"/>
            <w:noWrap w:val="0"/>
            <w:vAlign w:val="center"/>
          </w:tcPr>
          <w:p w14:paraId="4A23AE0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1408</w:t>
            </w:r>
          </w:p>
        </w:tc>
        <w:tc>
          <w:tcPr>
            <w:tcW w:w="465" w:type="pct"/>
            <w:tcBorders>
              <w:tl2br w:val="nil"/>
              <w:tr2bl w:val="nil"/>
            </w:tcBorders>
            <w:noWrap w:val="0"/>
            <w:vAlign w:val="center"/>
          </w:tcPr>
          <w:p w14:paraId="4C6EBBA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5.8</w:t>
            </w:r>
          </w:p>
        </w:tc>
        <w:tc>
          <w:tcPr>
            <w:tcW w:w="706" w:type="pct"/>
            <w:tcBorders>
              <w:tl2br w:val="nil"/>
              <w:tr2bl w:val="nil"/>
            </w:tcBorders>
            <w:noWrap w:val="0"/>
            <w:vAlign w:val="center"/>
          </w:tcPr>
          <w:p w14:paraId="2BC243F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ND</w:t>
            </w:r>
          </w:p>
        </w:tc>
        <w:tc>
          <w:tcPr>
            <w:tcW w:w="706" w:type="pct"/>
            <w:tcBorders>
              <w:tl2br w:val="nil"/>
              <w:tr2bl w:val="nil"/>
            </w:tcBorders>
            <w:noWrap w:val="0"/>
            <w:vAlign w:val="center"/>
          </w:tcPr>
          <w:p w14:paraId="0C48FD2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w:t>
            </w:r>
          </w:p>
        </w:tc>
        <w:tc>
          <w:tcPr>
            <w:tcW w:w="627" w:type="pct"/>
            <w:tcBorders>
              <w:tl2br w:val="nil"/>
              <w:tr2bl w:val="nil"/>
            </w:tcBorders>
            <w:noWrap w:val="0"/>
            <w:vAlign w:val="center"/>
          </w:tcPr>
          <w:p w14:paraId="6EAA34A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w:t>
            </w:r>
          </w:p>
        </w:tc>
      </w:tr>
      <w:tr w14:paraId="645BDD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89" w:type="pct"/>
            <w:vMerge w:val="continue"/>
            <w:tcBorders>
              <w:tl2br w:val="nil"/>
              <w:tr2bl w:val="nil"/>
            </w:tcBorders>
            <w:noWrap w:val="0"/>
            <w:vAlign w:val="center"/>
          </w:tcPr>
          <w:p w14:paraId="398AFBF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599" w:type="pct"/>
            <w:vMerge w:val="continue"/>
            <w:tcBorders>
              <w:tl2br w:val="nil"/>
              <w:tr2bl w:val="nil"/>
            </w:tcBorders>
            <w:noWrap w:val="0"/>
            <w:vAlign w:val="center"/>
          </w:tcPr>
          <w:p w14:paraId="79E5CA1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3" w:type="pct"/>
            <w:vMerge w:val="continue"/>
            <w:tcBorders>
              <w:tl2br w:val="nil"/>
              <w:tr2bl w:val="nil"/>
            </w:tcBorders>
            <w:noWrap w:val="0"/>
            <w:vAlign w:val="center"/>
          </w:tcPr>
          <w:p w14:paraId="3693009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eastAsia="zh-CN"/>
              </w:rPr>
            </w:pPr>
          </w:p>
        </w:tc>
        <w:tc>
          <w:tcPr>
            <w:tcW w:w="347" w:type="pct"/>
            <w:tcBorders>
              <w:tl2br w:val="nil"/>
              <w:tr2bl w:val="nil"/>
            </w:tcBorders>
            <w:noWrap w:val="0"/>
            <w:vAlign w:val="center"/>
          </w:tcPr>
          <w:p w14:paraId="45A4774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t>2</w:t>
            </w:r>
          </w:p>
        </w:tc>
        <w:tc>
          <w:tcPr>
            <w:tcW w:w="613" w:type="pct"/>
            <w:tcBorders>
              <w:tl2br w:val="nil"/>
              <w:tr2bl w:val="nil"/>
            </w:tcBorders>
            <w:shd w:val="clear" w:color="auto" w:fill="auto"/>
            <w:noWrap w:val="0"/>
            <w:vAlign w:val="center"/>
          </w:tcPr>
          <w:p w14:paraId="2B44F73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1481</w:t>
            </w:r>
          </w:p>
        </w:tc>
        <w:tc>
          <w:tcPr>
            <w:tcW w:w="465" w:type="pct"/>
            <w:tcBorders>
              <w:tl2br w:val="nil"/>
              <w:tr2bl w:val="nil"/>
            </w:tcBorders>
            <w:noWrap w:val="0"/>
            <w:vAlign w:val="center"/>
          </w:tcPr>
          <w:p w14:paraId="383D739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5.9</w:t>
            </w:r>
          </w:p>
        </w:tc>
        <w:tc>
          <w:tcPr>
            <w:tcW w:w="706" w:type="pct"/>
            <w:tcBorders>
              <w:tl2br w:val="nil"/>
              <w:tr2bl w:val="nil"/>
            </w:tcBorders>
            <w:noWrap w:val="0"/>
            <w:vAlign w:val="center"/>
          </w:tcPr>
          <w:p w14:paraId="3CB9775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ND</w:t>
            </w:r>
          </w:p>
        </w:tc>
        <w:tc>
          <w:tcPr>
            <w:tcW w:w="706" w:type="pct"/>
            <w:tcBorders>
              <w:tl2br w:val="nil"/>
              <w:tr2bl w:val="nil"/>
            </w:tcBorders>
            <w:noWrap w:val="0"/>
            <w:vAlign w:val="center"/>
          </w:tcPr>
          <w:p w14:paraId="787C56B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w:t>
            </w:r>
          </w:p>
        </w:tc>
        <w:tc>
          <w:tcPr>
            <w:tcW w:w="627" w:type="pct"/>
            <w:tcBorders>
              <w:tl2br w:val="nil"/>
              <w:tr2bl w:val="nil"/>
            </w:tcBorders>
            <w:noWrap w:val="0"/>
            <w:vAlign w:val="center"/>
          </w:tcPr>
          <w:p w14:paraId="6A01BD6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w:t>
            </w:r>
          </w:p>
        </w:tc>
      </w:tr>
      <w:tr w14:paraId="29DB2D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89" w:type="pct"/>
            <w:vMerge w:val="continue"/>
            <w:tcBorders>
              <w:tl2br w:val="nil"/>
              <w:tr2bl w:val="nil"/>
            </w:tcBorders>
            <w:noWrap w:val="0"/>
            <w:vAlign w:val="center"/>
          </w:tcPr>
          <w:p w14:paraId="45492AB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599" w:type="pct"/>
            <w:vMerge w:val="continue"/>
            <w:tcBorders>
              <w:tl2br w:val="nil"/>
              <w:tr2bl w:val="nil"/>
            </w:tcBorders>
            <w:noWrap w:val="0"/>
            <w:vAlign w:val="center"/>
          </w:tcPr>
          <w:p w14:paraId="5FC97DE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3" w:type="pct"/>
            <w:vMerge w:val="continue"/>
            <w:tcBorders>
              <w:tl2br w:val="nil"/>
              <w:tr2bl w:val="nil"/>
            </w:tcBorders>
            <w:noWrap w:val="0"/>
            <w:vAlign w:val="center"/>
          </w:tcPr>
          <w:p w14:paraId="74EEC59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eastAsia="zh-CN"/>
              </w:rPr>
            </w:pPr>
          </w:p>
        </w:tc>
        <w:tc>
          <w:tcPr>
            <w:tcW w:w="347" w:type="pct"/>
            <w:tcBorders>
              <w:tl2br w:val="nil"/>
              <w:tr2bl w:val="nil"/>
            </w:tcBorders>
            <w:noWrap w:val="0"/>
            <w:vAlign w:val="center"/>
          </w:tcPr>
          <w:p w14:paraId="7DE42EC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t>3</w:t>
            </w:r>
          </w:p>
        </w:tc>
        <w:tc>
          <w:tcPr>
            <w:tcW w:w="613" w:type="pct"/>
            <w:tcBorders>
              <w:tl2br w:val="nil"/>
              <w:tr2bl w:val="nil"/>
            </w:tcBorders>
            <w:shd w:val="clear" w:color="auto" w:fill="auto"/>
            <w:noWrap w:val="0"/>
            <w:vAlign w:val="center"/>
          </w:tcPr>
          <w:p w14:paraId="30FE214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1462</w:t>
            </w:r>
          </w:p>
        </w:tc>
        <w:tc>
          <w:tcPr>
            <w:tcW w:w="465" w:type="pct"/>
            <w:tcBorders>
              <w:tl2br w:val="nil"/>
              <w:tr2bl w:val="nil"/>
            </w:tcBorders>
            <w:noWrap w:val="0"/>
            <w:vAlign w:val="center"/>
          </w:tcPr>
          <w:p w14:paraId="62D8CF1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5.8</w:t>
            </w:r>
          </w:p>
        </w:tc>
        <w:tc>
          <w:tcPr>
            <w:tcW w:w="706" w:type="pct"/>
            <w:tcBorders>
              <w:tl2br w:val="nil"/>
              <w:tr2bl w:val="nil"/>
            </w:tcBorders>
            <w:noWrap w:val="0"/>
            <w:vAlign w:val="center"/>
          </w:tcPr>
          <w:p w14:paraId="2BCB8ED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ND</w:t>
            </w:r>
          </w:p>
        </w:tc>
        <w:tc>
          <w:tcPr>
            <w:tcW w:w="706" w:type="pct"/>
            <w:tcBorders>
              <w:tl2br w:val="nil"/>
              <w:tr2bl w:val="nil"/>
            </w:tcBorders>
            <w:noWrap w:val="0"/>
            <w:vAlign w:val="center"/>
          </w:tcPr>
          <w:p w14:paraId="5C62F68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w:t>
            </w:r>
          </w:p>
        </w:tc>
        <w:tc>
          <w:tcPr>
            <w:tcW w:w="627" w:type="pct"/>
            <w:tcBorders>
              <w:tl2br w:val="nil"/>
              <w:tr2bl w:val="nil"/>
            </w:tcBorders>
            <w:noWrap w:val="0"/>
            <w:vAlign w:val="center"/>
          </w:tcPr>
          <w:p w14:paraId="07C77CD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w:t>
            </w:r>
          </w:p>
        </w:tc>
      </w:tr>
      <w:tr w14:paraId="28E26D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89" w:type="pct"/>
            <w:vMerge w:val="continue"/>
            <w:tcBorders>
              <w:tl2br w:val="nil"/>
              <w:tr2bl w:val="nil"/>
            </w:tcBorders>
            <w:noWrap w:val="0"/>
            <w:vAlign w:val="center"/>
          </w:tcPr>
          <w:p w14:paraId="23A7BEA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599" w:type="pct"/>
            <w:vMerge w:val="continue"/>
            <w:tcBorders>
              <w:tl2br w:val="nil"/>
              <w:tr2bl w:val="nil"/>
            </w:tcBorders>
            <w:noWrap w:val="0"/>
            <w:vAlign w:val="center"/>
          </w:tcPr>
          <w:p w14:paraId="3406527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3" w:type="pct"/>
            <w:vMerge w:val="continue"/>
            <w:tcBorders>
              <w:tl2br w:val="nil"/>
              <w:tr2bl w:val="nil"/>
            </w:tcBorders>
            <w:noWrap w:val="0"/>
            <w:vAlign w:val="center"/>
          </w:tcPr>
          <w:p w14:paraId="09A92EC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eastAsia="zh-CN"/>
              </w:rPr>
            </w:pPr>
          </w:p>
        </w:tc>
        <w:tc>
          <w:tcPr>
            <w:tcW w:w="347" w:type="pct"/>
            <w:tcBorders>
              <w:tl2br w:val="nil"/>
              <w:tr2bl w:val="nil"/>
            </w:tcBorders>
            <w:noWrap w:val="0"/>
            <w:vAlign w:val="center"/>
          </w:tcPr>
          <w:p w14:paraId="7CE3A62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t>均值</w:t>
            </w:r>
          </w:p>
        </w:tc>
        <w:tc>
          <w:tcPr>
            <w:tcW w:w="613" w:type="pct"/>
            <w:tcBorders>
              <w:tl2br w:val="nil"/>
              <w:tr2bl w:val="nil"/>
            </w:tcBorders>
            <w:shd w:val="clear" w:color="auto" w:fill="auto"/>
            <w:noWrap w:val="0"/>
            <w:vAlign w:val="center"/>
          </w:tcPr>
          <w:p w14:paraId="1FFD964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fldChar w:fldCharType="begin"/>
            </w:r>
            <w:r>
              <w:rPr>
                <w:rFonts w:hint="default" w:ascii="Times New Roman" w:hAnsi="Times New Roman" w:eastAsia="宋体" w:cs="Times New Roman"/>
                <w:kern w:val="0"/>
                <w:highlight w:val="none"/>
                <w:lang w:val="en-US" w:eastAsia="zh-CN"/>
              </w:rPr>
              <w:instrText xml:space="preserve"> = average(E2:E4) \* MERGEFORMAT </w:instrText>
            </w:r>
            <w:r>
              <w:rPr>
                <w:rFonts w:hint="default" w:ascii="Times New Roman" w:hAnsi="Times New Roman" w:eastAsia="宋体" w:cs="Times New Roman"/>
                <w:kern w:val="0"/>
                <w:highlight w:val="none"/>
                <w:lang w:val="en-US" w:eastAsia="zh-CN"/>
              </w:rPr>
              <w:fldChar w:fldCharType="separate"/>
            </w:r>
            <w:r>
              <w:rPr>
                <w:rFonts w:hint="default" w:ascii="Times New Roman" w:hAnsi="Times New Roman" w:eastAsia="宋体" w:cs="Times New Roman"/>
                <w:kern w:val="0"/>
                <w:highlight w:val="none"/>
                <w:lang w:val="en-US" w:eastAsia="zh-CN"/>
              </w:rPr>
              <w:t>1450</w:t>
            </w:r>
            <w:r>
              <w:rPr>
                <w:rFonts w:hint="default" w:ascii="Times New Roman" w:hAnsi="Times New Roman" w:eastAsia="宋体" w:cs="Times New Roman"/>
                <w:kern w:val="0"/>
                <w:highlight w:val="none"/>
                <w:lang w:val="en-US" w:eastAsia="zh-CN"/>
              </w:rPr>
              <w:fldChar w:fldCharType="end"/>
            </w:r>
          </w:p>
        </w:tc>
        <w:tc>
          <w:tcPr>
            <w:tcW w:w="465" w:type="pct"/>
            <w:tcBorders>
              <w:tl2br w:val="nil"/>
              <w:tr2bl w:val="nil"/>
            </w:tcBorders>
            <w:noWrap w:val="0"/>
            <w:vAlign w:val="center"/>
          </w:tcPr>
          <w:p w14:paraId="2036AB2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5.8</w:t>
            </w:r>
          </w:p>
        </w:tc>
        <w:tc>
          <w:tcPr>
            <w:tcW w:w="706" w:type="pct"/>
            <w:tcBorders>
              <w:tl2br w:val="nil"/>
              <w:tr2bl w:val="nil"/>
            </w:tcBorders>
            <w:noWrap w:val="0"/>
            <w:vAlign w:val="center"/>
          </w:tcPr>
          <w:p w14:paraId="7722428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ND</w:t>
            </w:r>
          </w:p>
        </w:tc>
        <w:tc>
          <w:tcPr>
            <w:tcW w:w="706" w:type="pct"/>
            <w:tcBorders>
              <w:tl2br w:val="nil"/>
              <w:tr2bl w:val="nil"/>
            </w:tcBorders>
            <w:noWrap w:val="0"/>
            <w:vAlign w:val="center"/>
          </w:tcPr>
          <w:p w14:paraId="48F7A36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w:t>
            </w:r>
          </w:p>
        </w:tc>
        <w:tc>
          <w:tcPr>
            <w:tcW w:w="627" w:type="pct"/>
            <w:tcBorders>
              <w:tl2br w:val="nil"/>
              <w:tr2bl w:val="nil"/>
            </w:tcBorders>
            <w:noWrap w:val="0"/>
            <w:vAlign w:val="center"/>
          </w:tcPr>
          <w:p w14:paraId="7E175BF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w:t>
            </w:r>
          </w:p>
        </w:tc>
      </w:tr>
      <w:tr w14:paraId="48F92E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89" w:type="pct"/>
            <w:vMerge w:val="continue"/>
            <w:tcBorders>
              <w:tl2br w:val="nil"/>
              <w:tr2bl w:val="nil"/>
            </w:tcBorders>
            <w:noWrap w:val="0"/>
            <w:vAlign w:val="center"/>
          </w:tcPr>
          <w:p w14:paraId="75249AE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599" w:type="pct"/>
            <w:vMerge w:val="continue"/>
            <w:tcBorders>
              <w:tl2br w:val="nil"/>
              <w:tr2bl w:val="nil"/>
            </w:tcBorders>
            <w:noWrap w:val="0"/>
            <w:vAlign w:val="center"/>
          </w:tcPr>
          <w:p w14:paraId="4FA3666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3" w:type="pct"/>
            <w:vMerge w:val="restart"/>
            <w:tcBorders>
              <w:tl2br w:val="nil"/>
              <w:tr2bl w:val="nil"/>
            </w:tcBorders>
            <w:shd w:val="clear" w:color="auto" w:fill="auto"/>
            <w:noWrap w:val="0"/>
            <w:vAlign w:val="center"/>
          </w:tcPr>
          <w:p w14:paraId="0DE41BC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t>氮氧化物</w:t>
            </w:r>
          </w:p>
        </w:tc>
        <w:tc>
          <w:tcPr>
            <w:tcW w:w="347" w:type="pct"/>
            <w:tcBorders>
              <w:tl2br w:val="nil"/>
              <w:tr2bl w:val="nil"/>
            </w:tcBorders>
            <w:shd w:val="clear" w:color="auto" w:fill="auto"/>
            <w:noWrap w:val="0"/>
            <w:vAlign w:val="center"/>
          </w:tcPr>
          <w:p w14:paraId="2AB8407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t>1</w:t>
            </w:r>
          </w:p>
        </w:tc>
        <w:tc>
          <w:tcPr>
            <w:tcW w:w="613" w:type="pct"/>
            <w:tcBorders>
              <w:tl2br w:val="nil"/>
              <w:tr2bl w:val="nil"/>
            </w:tcBorders>
            <w:shd w:val="clear" w:color="auto" w:fill="auto"/>
            <w:noWrap w:val="0"/>
            <w:vAlign w:val="center"/>
          </w:tcPr>
          <w:p w14:paraId="47E8516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1408</w:t>
            </w:r>
          </w:p>
        </w:tc>
        <w:tc>
          <w:tcPr>
            <w:tcW w:w="465" w:type="pct"/>
            <w:tcBorders>
              <w:tl2br w:val="nil"/>
              <w:tr2bl w:val="nil"/>
            </w:tcBorders>
            <w:noWrap w:val="0"/>
            <w:vAlign w:val="center"/>
          </w:tcPr>
          <w:p w14:paraId="71B4F84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5.8</w:t>
            </w:r>
          </w:p>
        </w:tc>
        <w:tc>
          <w:tcPr>
            <w:tcW w:w="706" w:type="pct"/>
            <w:tcBorders>
              <w:tl2br w:val="nil"/>
              <w:tr2bl w:val="nil"/>
            </w:tcBorders>
            <w:noWrap w:val="0"/>
            <w:vAlign w:val="center"/>
          </w:tcPr>
          <w:p w14:paraId="59BD496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12</w:t>
            </w:r>
          </w:p>
        </w:tc>
        <w:tc>
          <w:tcPr>
            <w:tcW w:w="706" w:type="pct"/>
            <w:tcBorders>
              <w:tl2br w:val="nil"/>
              <w:tr2bl w:val="nil"/>
            </w:tcBorders>
            <w:noWrap w:val="0"/>
            <w:vAlign w:val="center"/>
          </w:tcPr>
          <w:p w14:paraId="591EE23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14</w:t>
            </w:r>
          </w:p>
        </w:tc>
        <w:tc>
          <w:tcPr>
            <w:tcW w:w="627" w:type="pct"/>
            <w:tcBorders>
              <w:tl2br w:val="nil"/>
              <w:tr2bl w:val="nil"/>
            </w:tcBorders>
            <w:noWrap w:val="0"/>
            <w:vAlign w:val="center"/>
          </w:tcPr>
          <w:p w14:paraId="3CA4D3D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1.69</w:t>
            </w:r>
            <w:r>
              <w:rPr>
                <w:rFonts w:hint="default" w:ascii="Times New Roman" w:hAnsi="Times New Roman" w:eastAsia="宋体" w:cs="Times New Roman"/>
                <w:kern w:val="0"/>
                <w:highlight w:val="none"/>
                <w:lang w:val="en-US" w:eastAsia="zh-CN"/>
              </w:rPr>
              <w:t>×10</w:t>
            </w:r>
            <w:r>
              <w:rPr>
                <w:rFonts w:hint="eastAsia" w:ascii="Times New Roman" w:hAnsi="Times New Roman" w:eastAsia="宋体" w:cs="Times New Roman"/>
                <w:kern w:val="0"/>
                <w:highlight w:val="none"/>
                <w:vertAlign w:val="superscript"/>
                <w:lang w:val="en-US" w:eastAsia="zh-CN"/>
              </w:rPr>
              <w:t>-2</w:t>
            </w:r>
          </w:p>
        </w:tc>
      </w:tr>
      <w:tr w14:paraId="095302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89" w:type="pct"/>
            <w:vMerge w:val="continue"/>
            <w:tcBorders>
              <w:tl2br w:val="nil"/>
              <w:tr2bl w:val="nil"/>
            </w:tcBorders>
            <w:noWrap w:val="0"/>
            <w:vAlign w:val="center"/>
          </w:tcPr>
          <w:p w14:paraId="60B786F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599" w:type="pct"/>
            <w:vMerge w:val="continue"/>
            <w:tcBorders>
              <w:tl2br w:val="nil"/>
              <w:tr2bl w:val="nil"/>
            </w:tcBorders>
            <w:noWrap w:val="0"/>
            <w:vAlign w:val="center"/>
          </w:tcPr>
          <w:p w14:paraId="44D6F03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3" w:type="pct"/>
            <w:vMerge w:val="continue"/>
            <w:tcBorders>
              <w:tl2br w:val="nil"/>
              <w:tr2bl w:val="nil"/>
            </w:tcBorders>
            <w:noWrap w:val="0"/>
            <w:vAlign w:val="center"/>
          </w:tcPr>
          <w:p w14:paraId="133C730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eastAsia="zh-CN"/>
              </w:rPr>
            </w:pPr>
          </w:p>
        </w:tc>
        <w:tc>
          <w:tcPr>
            <w:tcW w:w="347" w:type="pct"/>
            <w:tcBorders>
              <w:tl2br w:val="nil"/>
              <w:tr2bl w:val="nil"/>
            </w:tcBorders>
            <w:shd w:val="clear" w:color="auto" w:fill="auto"/>
            <w:noWrap w:val="0"/>
            <w:vAlign w:val="center"/>
          </w:tcPr>
          <w:p w14:paraId="15D5A18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t>2</w:t>
            </w:r>
          </w:p>
        </w:tc>
        <w:tc>
          <w:tcPr>
            <w:tcW w:w="613" w:type="pct"/>
            <w:tcBorders>
              <w:tl2br w:val="nil"/>
              <w:tr2bl w:val="nil"/>
            </w:tcBorders>
            <w:shd w:val="clear" w:color="auto" w:fill="auto"/>
            <w:noWrap w:val="0"/>
            <w:vAlign w:val="center"/>
          </w:tcPr>
          <w:p w14:paraId="0038B7A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1481</w:t>
            </w:r>
          </w:p>
        </w:tc>
        <w:tc>
          <w:tcPr>
            <w:tcW w:w="465" w:type="pct"/>
            <w:tcBorders>
              <w:tl2br w:val="nil"/>
              <w:tr2bl w:val="nil"/>
            </w:tcBorders>
            <w:noWrap w:val="0"/>
            <w:vAlign w:val="center"/>
          </w:tcPr>
          <w:p w14:paraId="0C185A2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5.9</w:t>
            </w:r>
          </w:p>
        </w:tc>
        <w:tc>
          <w:tcPr>
            <w:tcW w:w="706" w:type="pct"/>
            <w:tcBorders>
              <w:tl2br w:val="nil"/>
              <w:tr2bl w:val="nil"/>
            </w:tcBorders>
            <w:noWrap w:val="0"/>
            <w:vAlign w:val="center"/>
          </w:tcPr>
          <w:p w14:paraId="1C7A79A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15</w:t>
            </w:r>
          </w:p>
        </w:tc>
        <w:tc>
          <w:tcPr>
            <w:tcW w:w="706" w:type="pct"/>
            <w:tcBorders>
              <w:tl2br w:val="nil"/>
              <w:tr2bl w:val="nil"/>
            </w:tcBorders>
            <w:noWrap w:val="0"/>
            <w:vAlign w:val="center"/>
          </w:tcPr>
          <w:p w14:paraId="1C00229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17</w:t>
            </w:r>
          </w:p>
        </w:tc>
        <w:tc>
          <w:tcPr>
            <w:tcW w:w="627" w:type="pct"/>
            <w:tcBorders>
              <w:tl2br w:val="nil"/>
              <w:tr2bl w:val="nil"/>
            </w:tcBorders>
            <w:noWrap w:val="0"/>
            <w:vAlign w:val="center"/>
          </w:tcPr>
          <w:p w14:paraId="1B1F770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2.22</w:t>
            </w:r>
            <w:r>
              <w:rPr>
                <w:rFonts w:hint="default" w:ascii="Times New Roman" w:hAnsi="Times New Roman" w:eastAsia="宋体" w:cs="Times New Roman"/>
                <w:kern w:val="0"/>
                <w:highlight w:val="none"/>
                <w:lang w:val="en-US" w:eastAsia="zh-CN"/>
              </w:rPr>
              <w:t>×10</w:t>
            </w:r>
            <w:r>
              <w:rPr>
                <w:rFonts w:hint="eastAsia" w:ascii="Times New Roman" w:hAnsi="Times New Roman" w:eastAsia="宋体" w:cs="Times New Roman"/>
                <w:kern w:val="0"/>
                <w:highlight w:val="none"/>
                <w:vertAlign w:val="superscript"/>
                <w:lang w:val="en-US" w:eastAsia="zh-CN"/>
              </w:rPr>
              <w:t>-2</w:t>
            </w:r>
          </w:p>
        </w:tc>
      </w:tr>
      <w:tr w14:paraId="33F0C8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89" w:type="pct"/>
            <w:vMerge w:val="continue"/>
            <w:tcBorders>
              <w:tl2br w:val="nil"/>
              <w:tr2bl w:val="nil"/>
            </w:tcBorders>
            <w:noWrap w:val="0"/>
            <w:vAlign w:val="center"/>
          </w:tcPr>
          <w:p w14:paraId="5127FE65">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cs="Times New Roman"/>
                <w:color w:val="auto"/>
                <w:spacing w:val="-6"/>
                <w:sz w:val="24"/>
                <w:szCs w:val="24"/>
                <w:highlight w:val="none"/>
                <w:lang w:val="en-US" w:eastAsia="zh-CN"/>
              </w:rPr>
            </w:pPr>
          </w:p>
        </w:tc>
        <w:tc>
          <w:tcPr>
            <w:tcW w:w="599" w:type="pct"/>
            <w:vMerge w:val="continue"/>
            <w:tcBorders>
              <w:tl2br w:val="nil"/>
              <w:tr2bl w:val="nil"/>
            </w:tcBorders>
            <w:noWrap w:val="0"/>
            <w:vAlign w:val="center"/>
          </w:tcPr>
          <w:p w14:paraId="08860A9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Cs/>
                <w:color w:val="auto"/>
                <w:kern w:val="2"/>
                <w:sz w:val="24"/>
                <w:szCs w:val="24"/>
                <w:highlight w:val="none"/>
                <w:lang w:val="en-US" w:eastAsia="zh-CN" w:bidi="ar-SA"/>
              </w:rPr>
            </w:pPr>
          </w:p>
        </w:tc>
        <w:tc>
          <w:tcPr>
            <w:tcW w:w="343" w:type="pct"/>
            <w:vMerge w:val="continue"/>
            <w:tcBorders>
              <w:tl2br w:val="nil"/>
              <w:tr2bl w:val="nil"/>
            </w:tcBorders>
            <w:noWrap w:val="0"/>
            <w:vAlign w:val="center"/>
          </w:tcPr>
          <w:p w14:paraId="734F2E00">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cs="Times New Roman"/>
                <w:color w:val="auto"/>
                <w:sz w:val="24"/>
                <w:szCs w:val="24"/>
                <w:highlight w:val="none"/>
                <w:lang w:eastAsia="zh-CN"/>
              </w:rPr>
            </w:pPr>
          </w:p>
        </w:tc>
        <w:tc>
          <w:tcPr>
            <w:tcW w:w="347" w:type="pct"/>
            <w:tcBorders>
              <w:tl2br w:val="nil"/>
              <w:tr2bl w:val="nil"/>
            </w:tcBorders>
            <w:shd w:val="clear" w:color="auto" w:fill="auto"/>
            <w:noWrap w:val="0"/>
            <w:vAlign w:val="center"/>
          </w:tcPr>
          <w:p w14:paraId="413CE5F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t>3</w:t>
            </w:r>
          </w:p>
        </w:tc>
        <w:tc>
          <w:tcPr>
            <w:tcW w:w="613" w:type="pct"/>
            <w:tcBorders>
              <w:tl2br w:val="nil"/>
              <w:tr2bl w:val="nil"/>
            </w:tcBorders>
            <w:shd w:val="clear" w:color="auto" w:fill="auto"/>
            <w:noWrap w:val="0"/>
            <w:vAlign w:val="center"/>
          </w:tcPr>
          <w:p w14:paraId="1D79FD6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1462</w:t>
            </w:r>
          </w:p>
        </w:tc>
        <w:tc>
          <w:tcPr>
            <w:tcW w:w="465" w:type="pct"/>
            <w:tcBorders>
              <w:tl2br w:val="nil"/>
              <w:tr2bl w:val="nil"/>
            </w:tcBorders>
            <w:noWrap w:val="0"/>
            <w:vAlign w:val="center"/>
          </w:tcPr>
          <w:p w14:paraId="446FC48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5.8</w:t>
            </w:r>
          </w:p>
        </w:tc>
        <w:tc>
          <w:tcPr>
            <w:tcW w:w="706" w:type="pct"/>
            <w:tcBorders>
              <w:tl2br w:val="nil"/>
              <w:tr2bl w:val="nil"/>
            </w:tcBorders>
            <w:noWrap w:val="0"/>
            <w:vAlign w:val="center"/>
          </w:tcPr>
          <w:p w14:paraId="574853A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13</w:t>
            </w:r>
          </w:p>
        </w:tc>
        <w:tc>
          <w:tcPr>
            <w:tcW w:w="706" w:type="pct"/>
            <w:tcBorders>
              <w:tl2br w:val="nil"/>
              <w:tr2bl w:val="nil"/>
            </w:tcBorders>
            <w:noWrap w:val="0"/>
            <w:vAlign w:val="center"/>
          </w:tcPr>
          <w:p w14:paraId="19751C6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15</w:t>
            </w:r>
          </w:p>
        </w:tc>
        <w:tc>
          <w:tcPr>
            <w:tcW w:w="627" w:type="pct"/>
            <w:tcBorders>
              <w:tl2br w:val="nil"/>
              <w:tr2bl w:val="nil"/>
            </w:tcBorders>
            <w:noWrap w:val="0"/>
            <w:vAlign w:val="center"/>
          </w:tcPr>
          <w:p w14:paraId="0CAB9DE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1.90</w:t>
            </w:r>
            <w:r>
              <w:rPr>
                <w:rFonts w:hint="default" w:ascii="Times New Roman" w:hAnsi="Times New Roman" w:eastAsia="宋体" w:cs="Times New Roman"/>
                <w:kern w:val="0"/>
                <w:highlight w:val="none"/>
                <w:lang w:val="en-US" w:eastAsia="zh-CN"/>
              </w:rPr>
              <w:t>×10</w:t>
            </w:r>
            <w:r>
              <w:rPr>
                <w:rFonts w:hint="eastAsia" w:ascii="Times New Roman" w:hAnsi="Times New Roman" w:eastAsia="宋体" w:cs="Times New Roman"/>
                <w:kern w:val="0"/>
                <w:highlight w:val="none"/>
                <w:vertAlign w:val="superscript"/>
                <w:lang w:val="en-US" w:eastAsia="zh-CN"/>
              </w:rPr>
              <w:t>-2</w:t>
            </w:r>
          </w:p>
        </w:tc>
      </w:tr>
      <w:tr w14:paraId="738278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89" w:type="pct"/>
            <w:vMerge w:val="continue"/>
            <w:tcBorders>
              <w:tl2br w:val="nil"/>
              <w:tr2bl w:val="nil"/>
            </w:tcBorders>
            <w:noWrap w:val="0"/>
            <w:vAlign w:val="center"/>
          </w:tcPr>
          <w:p w14:paraId="5A18FAF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cs="Times New Roman"/>
                <w:color w:val="auto"/>
                <w:spacing w:val="-6"/>
                <w:sz w:val="24"/>
                <w:szCs w:val="24"/>
                <w:highlight w:val="none"/>
                <w:lang w:val="en-US" w:eastAsia="zh-CN"/>
              </w:rPr>
            </w:pPr>
          </w:p>
        </w:tc>
        <w:tc>
          <w:tcPr>
            <w:tcW w:w="599" w:type="pct"/>
            <w:vMerge w:val="continue"/>
            <w:tcBorders>
              <w:tl2br w:val="nil"/>
              <w:tr2bl w:val="nil"/>
            </w:tcBorders>
            <w:noWrap w:val="0"/>
            <w:vAlign w:val="center"/>
          </w:tcPr>
          <w:p w14:paraId="21B6B6F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eastAsia="宋体" w:cs="Times New Roman"/>
                <w:bCs/>
                <w:color w:val="auto"/>
                <w:kern w:val="2"/>
                <w:sz w:val="24"/>
                <w:szCs w:val="24"/>
                <w:highlight w:val="none"/>
                <w:lang w:val="en-US" w:eastAsia="zh-CN" w:bidi="ar-SA"/>
              </w:rPr>
            </w:pPr>
          </w:p>
        </w:tc>
        <w:tc>
          <w:tcPr>
            <w:tcW w:w="343" w:type="pct"/>
            <w:vMerge w:val="continue"/>
            <w:tcBorders>
              <w:tl2br w:val="nil"/>
              <w:tr2bl w:val="nil"/>
            </w:tcBorders>
            <w:noWrap w:val="0"/>
            <w:vAlign w:val="center"/>
          </w:tcPr>
          <w:p w14:paraId="0479C681">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left="-105" w:leftChars="-50" w:right="-105" w:rightChars="-50" w:firstLine="0" w:firstLineChars="0"/>
              <w:jc w:val="center"/>
              <w:textAlignment w:val="auto"/>
              <w:rPr>
                <w:rFonts w:hint="eastAsia" w:ascii="Times New Roman" w:hAnsi="Times New Roman" w:cs="Times New Roman"/>
                <w:color w:val="auto"/>
                <w:sz w:val="24"/>
                <w:szCs w:val="24"/>
                <w:highlight w:val="none"/>
                <w:lang w:eastAsia="zh-CN"/>
              </w:rPr>
            </w:pPr>
          </w:p>
        </w:tc>
        <w:tc>
          <w:tcPr>
            <w:tcW w:w="347" w:type="pct"/>
            <w:tcBorders>
              <w:tl2br w:val="nil"/>
              <w:tr2bl w:val="nil"/>
            </w:tcBorders>
            <w:shd w:val="clear" w:color="auto" w:fill="auto"/>
            <w:noWrap w:val="0"/>
            <w:vAlign w:val="center"/>
          </w:tcPr>
          <w:p w14:paraId="3FAAE6C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t>均值</w:t>
            </w:r>
          </w:p>
        </w:tc>
        <w:tc>
          <w:tcPr>
            <w:tcW w:w="613" w:type="pct"/>
            <w:tcBorders>
              <w:tl2br w:val="nil"/>
              <w:tr2bl w:val="nil"/>
            </w:tcBorders>
            <w:shd w:val="clear" w:color="auto" w:fill="auto"/>
            <w:noWrap w:val="0"/>
            <w:vAlign w:val="center"/>
          </w:tcPr>
          <w:p w14:paraId="59F994C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fldChar w:fldCharType="begin"/>
            </w:r>
            <w:r>
              <w:rPr>
                <w:rFonts w:hint="default" w:ascii="Times New Roman" w:hAnsi="Times New Roman" w:eastAsia="宋体" w:cs="Times New Roman"/>
                <w:kern w:val="0"/>
                <w:highlight w:val="none"/>
                <w:lang w:val="en-US" w:eastAsia="zh-CN"/>
              </w:rPr>
              <w:instrText xml:space="preserve"> = average(E2:E4) \* MERGEFORMAT </w:instrText>
            </w:r>
            <w:r>
              <w:rPr>
                <w:rFonts w:hint="default" w:ascii="Times New Roman" w:hAnsi="Times New Roman" w:eastAsia="宋体" w:cs="Times New Roman"/>
                <w:kern w:val="0"/>
                <w:highlight w:val="none"/>
                <w:lang w:val="en-US" w:eastAsia="zh-CN"/>
              </w:rPr>
              <w:fldChar w:fldCharType="separate"/>
            </w:r>
            <w:r>
              <w:rPr>
                <w:rFonts w:hint="default" w:ascii="Times New Roman" w:hAnsi="Times New Roman" w:eastAsia="宋体" w:cs="Times New Roman"/>
                <w:kern w:val="0"/>
                <w:highlight w:val="none"/>
                <w:lang w:val="en-US" w:eastAsia="zh-CN"/>
              </w:rPr>
              <w:t>1450</w:t>
            </w:r>
            <w:r>
              <w:rPr>
                <w:rFonts w:hint="default" w:ascii="Times New Roman" w:hAnsi="Times New Roman" w:eastAsia="宋体" w:cs="Times New Roman"/>
                <w:kern w:val="0"/>
                <w:highlight w:val="none"/>
                <w:lang w:val="en-US" w:eastAsia="zh-CN"/>
              </w:rPr>
              <w:fldChar w:fldCharType="end"/>
            </w:r>
          </w:p>
        </w:tc>
        <w:tc>
          <w:tcPr>
            <w:tcW w:w="465" w:type="pct"/>
            <w:tcBorders>
              <w:tl2br w:val="nil"/>
              <w:tr2bl w:val="nil"/>
            </w:tcBorders>
            <w:noWrap w:val="0"/>
            <w:vAlign w:val="center"/>
          </w:tcPr>
          <w:p w14:paraId="20D981A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5.8</w:t>
            </w:r>
          </w:p>
        </w:tc>
        <w:tc>
          <w:tcPr>
            <w:tcW w:w="706" w:type="pct"/>
            <w:tcBorders>
              <w:tl2br w:val="nil"/>
              <w:tr2bl w:val="nil"/>
            </w:tcBorders>
            <w:noWrap w:val="0"/>
            <w:vAlign w:val="center"/>
          </w:tcPr>
          <w:p w14:paraId="14D6AAA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fldChar w:fldCharType="begin"/>
            </w:r>
            <w:r>
              <w:rPr>
                <w:rFonts w:hint="eastAsia" w:ascii="Times New Roman" w:hAnsi="Times New Roman" w:eastAsia="宋体" w:cs="Times New Roman"/>
                <w:kern w:val="0"/>
                <w:highlight w:val="none"/>
                <w:lang w:val="en-US" w:eastAsia="zh-CN"/>
              </w:rPr>
              <w:instrText xml:space="preserve"> = average(G10:G12) \* MERGEFORMAT </w:instrText>
            </w:r>
            <w:r>
              <w:rPr>
                <w:rFonts w:hint="eastAsia" w:ascii="Times New Roman" w:hAnsi="Times New Roman" w:eastAsia="宋体" w:cs="Times New Roman"/>
                <w:kern w:val="0"/>
                <w:highlight w:val="none"/>
                <w:lang w:val="en-US" w:eastAsia="zh-CN"/>
              </w:rPr>
              <w:fldChar w:fldCharType="separate"/>
            </w:r>
            <w:r>
              <w:rPr>
                <w:rFonts w:hint="eastAsia" w:ascii="Times New Roman" w:hAnsi="Times New Roman" w:eastAsia="宋体" w:cs="Times New Roman"/>
                <w:kern w:val="0"/>
                <w:highlight w:val="none"/>
                <w:lang w:val="en-US" w:eastAsia="zh-CN"/>
              </w:rPr>
              <w:t>13</w:t>
            </w:r>
            <w:r>
              <w:rPr>
                <w:rFonts w:hint="eastAsia" w:ascii="Times New Roman" w:hAnsi="Times New Roman" w:eastAsia="宋体" w:cs="Times New Roman"/>
                <w:kern w:val="0"/>
                <w:highlight w:val="none"/>
                <w:lang w:val="en-US" w:eastAsia="zh-CN"/>
              </w:rPr>
              <w:fldChar w:fldCharType="end"/>
            </w:r>
          </w:p>
        </w:tc>
        <w:tc>
          <w:tcPr>
            <w:tcW w:w="706" w:type="pct"/>
            <w:tcBorders>
              <w:tl2br w:val="nil"/>
              <w:tr2bl w:val="nil"/>
            </w:tcBorders>
            <w:noWrap w:val="0"/>
            <w:vAlign w:val="center"/>
          </w:tcPr>
          <w:p w14:paraId="4A8036D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15</w:t>
            </w:r>
          </w:p>
        </w:tc>
        <w:tc>
          <w:tcPr>
            <w:tcW w:w="627" w:type="pct"/>
            <w:tcBorders>
              <w:tl2br w:val="nil"/>
              <w:tr2bl w:val="nil"/>
            </w:tcBorders>
            <w:noWrap w:val="0"/>
            <w:vAlign w:val="center"/>
          </w:tcPr>
          <w:p w14:paraId="12C160E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1.94</w:t>
            </w:r>
            <w:r>
              <w:rPr>
                <w:rFonts w:hint="default" w:ascii="Times New Roman" w:hAnsi="Times New Roman" w:eastAsia="宋体" w:cs="Times New Roman"/>
                <w:kern w:val="0"/>
                <w:highlight w:val="none"/>
                <w:lang w:val="en-US" w:eastAsia="zh-CN"/>
              </w:rPr>
              <w:t>×10</w:t>
            </w:r>
            <w:r>
              <w:rPr>
                <w:rFonts w:hint="eastAsia" w:ascii="Times New Roman" w:hAnsi="Times New Roman" w:eastAsia="宋体" w:cs="Times New Roman"/>
                <w:kern w:val="0"/>
                <w:highlight w:val="none"/>
                <w:vertAlign w:val="superscript"/>
                <w:lang w:val="en-US" w:eastAsia="zh-CN"/>
              </w:rPr>
              <w:t>-2</w:t>
            </w:r>
          </w:p>
        </w:tc>
      </w:tr>
      <w:tr w14:paraId="72D30B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89" w:type="pct"/>
            <w:vMerge w:val="restart"/>
            <w:tcBorders>
              <w:tl2br w:val="nil"/>
              <w:tr2bl w:val="nil"/>
            </w:tcBorders>
            <w:noWrap w:val="0"/>
            <w:vAlign w:val="center"/>
          </w:tcPr>
          <w:p w14:paraId="65098D9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2026.04.24</w:t>
            </w:r>
          </w:p>
        </w:tc>
        <w:tc>
          <w:tcPr>
            <w:tcW w:w="599" w:type="pct"/>
            <w:vMerge w:val="restart"/>
            <w:tcBorders>
              <w:tl2br w:val="nil"/>
              <w:tr2bl w:val="nil"/>
            </w:tcBorders>
            <w:noWrap w:val="0"/>
            <w:vAlign w:val="center"/>
          </w:tcPr>
          <w:p w14:paraId="519218C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燃气锅炉排气筒（DA007）</w:t>
            </w:r>
          </w:p>
        </w:tc>
        <w:tc>
          <w:tcPr>
            <w:tcW w:w="343" w:type="pct"/>
            <w:vMerge w:val="restart"/>
            <w:tcBorders>
              <w:tl2br w:val="nil"/>
              <w:tr2bl w:val="nil"/>
            </w:tcBorders>
            <w:noWrap w:val="0"/>
            <w:vAlign w:val="center"/>
          </w:tcPr>
          <w:p w14:paraId="6E75698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t>颗粒物</w:t>
            </w:r>
          </w:p>
        </w:tc>
        <w:tc>
          <w:tcPr>
            <w:tcW w:w="347" w:type="pct"/>
            <w:tcBorders>
              <w:tl2br w:val="nil"/>
              <w:tr2bl w:val="nil"/>
            </w:tcBorders>
            <w:noWrap w:val="0"/>
            <w:vAlign w:val="center"/>
          </w:tcPr>
          <w:p w14:paraId="1CB486E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t>1</w:t>
            </w:r>
          </w:p>
        </w:tc>
        <w:tc>
          <w:tcPr>
            <w:tcW w:w="613" w:type="pct"/>
            <w:tcBorders>
              <w:tl2br w:val="nil"/>
              <w:tr2bl w:val="nil"/>
            </w:tcBorders>
            <w:noWrap w:val="0"/>
            <w:vAlign w:val="center"/>
          </w:tcPr>
          <w:p w14:paraId="7CAB65E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1478</w:t>
            </w:r>
          </w:p>
        </w:tc>
        <w:tc>
          <w:tcPr>
            <w:tcW w:w="465" w:type="pct"/>
            <w:tcBorders>
              <w:tl2br w:val="nil"/>
              <w:tr2bl w:val="nil"/>
            </w:tcBorders>
            <w:shd w:val="clear" w:color="auto" w:fill="auto"/>
            <w:noWrap w:val="0"/>
            <w:vAlign w:val="center"/>
          </w:tcPr>
          <w:p w14:paraId="1DFE763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5.8</w:t>
            </w:r>
          </w:p>
        </w:tc>
        <w:tc>
          <w:tcPr>
            <w:tcW w:w="706" w:type="pct"/>
            <w:tcBorders>
              <w:tl2br w:val="nil"/>
              <w:tr2bl w:val="nil"/>
            </w:tcBorders>
            <w:noWrap w:val="0"/>
            <w:vAlign w:val="center"/>
          </w:tcPr>
          <w:p w14:paraId="4C68020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2.7</w:t>
            </w:r>
          </w:p>
        </w:tc>
        <w:tc>
          <w:tcPr>
            <w:tcW w:w="706" w:type="pct"/>
            <w:tcBorders>
              <w:tl2br w:val="nil"/>
              <w:tr2bl w:val="nil"/>
            </w:tcBorders>
            <w:noWrap w:val="0"/>
            <w:vAlign w:val="center"/>
          </w:tcPr>
          <w:p w14:paraId="5E80622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3.1</w:t>
            </w:r>
          </w:p>
        </w:tc>
        <w:tc>
          <w:tcPr>
            <w:tcW w:w="627" w:type="pct"/>
            <w:tcBorders>
              <w:tl2br w:val="nil"/>
              <w:tr2bl w:val="nil"/>
            </w:tcBorders>
            <w:noWrap w:val="0"/>
            <w:vAlign w:val="center"/>
          </w:tcPr>
          <w:p w14:paraId="7D46028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3.99</w:t>
            </w:r>
            <w:r>
              <w:rPr>
                <w:rFonts w:hint="default" w:ascii="Times New Roman" w:hAnsi="Times New Roman" w:eastAsia="宋体" w:cs="Times New Roman"/>
                <w:kern w:val="0"/>
                <w:highlight w:val="none"/>
                <w:lang w:val="en-US" w:eastAsia="zh-CN"/>
              </w:rPr>
              <w:t>×10</w:t>
            </w:r>
            <w:r>
              <w:rPr>
                <w:rFonts w:hint="eastAsia" w:ascii="Times New Roman" w:hAnsi="Times New Roman" w:eastAsia="宋体" w:cs="Times New Roman"/>
                <w:kern w:val="0"/>
                <w:highlight w:val="none"/>
                <w:vertAlign w:val="superscript"/>
                <w:lang w:val="en-US" w:eastAsia="zh-CN"/>
              </w:rPr>
              <w:t>-3</w:t>
            </w:r>
          </w:p>
        </w:tc>
      </w:tr>
      <w:tr w14:paraId="19A705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89" w:type="pct"/>
            <w:vMerge w:val="continue"/>
            <w:tcBorders>
              <w:tl2br w:val="nil"/>
              <w:tr2bl w:val="nil"/>
            </w:tcBorders>
            <w:noWrap w:val="0"/>
            <w:vAlign w:val="center"/>
          </w:tcPr>
          <w:p w14:paraId="15B9AD1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599" w:type="pct"/>
            <w:vMerge w:val="continue"/>
            <w:tcBorders>
              <w:tl2br w:val="nil"/>
              <w:tr2bl w:val="nil"/>
            </w:tcBorders>
            <w:noWrap w:val="0"/>
            <w:vAlign w:val="center"/>
          </w:tcPr>
          <w:p w14:paraId="4FD1105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3" w:type="pct"/>
            <w:vMerge w:val="continue"/>
            <w:tcBorders>
              <w:tl2br w:val="nil"/>
              <w:tr2bl w:val="nil"/>
            </w:tcBorders>
            <w:noWrap w:val="0"/>
            <w:vAlign w:val="center"/>
          </w:tcPr>
          <w:p w14:paraId="2E5E449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7" w:type="pct"/>
            <w:tcBorders>
              <w:tl2br w:val="nil"/>
              <w:tr2bl w:val="nil"/>
            </w:tcBorders>
            <w:noWrap w:val="0"/>
            <w:vAlign w:val="center"/>
          </w:tcPr>
          <w:p w14:paraId="3B3A7DE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t>2</w:t>
            </w:r>
          </w:p>
        </w:tc>
        <w:tc>
          <w:tcPr>
            <w:tcW w:w="613" w:type="pct"/>
            <w:tcBorders>
              <w:tl2br w:val="nil"/>
              <w:tr2bl w:val="nil"/>
            </w:tcBorders>
            <w:noWrap w:val="0"/>
            <w:vAlign w:val="center"/>
          </w:tcPr>
          <w:p w14:paraId="1367EBE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1441</w:t>
            </w:r>
          </w:p>
        </w:tc>
        <w:tc>
          <w:tcPr>
            <w:tcW w:w="465" w:type="pct"/>
            <w:tcBorders>
              <w:tl2br w:val="nil"/>
              <w:tr2bl w:val="nil"/>
            </w:tcBorders>
            <w:shd w:val="clear" w:color="auto" w:fill="auto"/>
            <w:noWrap w:val="0"/>
            <w:vAlign w:val="center"/>
          </w:tcPr>
          <w:p w14:paraId="58257BA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5.9</w:t>
            </w:r>
          </w:p>
        </w:tc>
        <w:tc>
          <w:tcPr>
            <w:tcW w:w="706" w:type="pct"/>
            <w:tcBorders>
              <w:tl2br w:val="nil"/>
              <w:tr2bl w:val="nil"/>
            </w:tcBorders>
            <w:noWrap w:val="0"/>
            <w:vAlign w:val="center"/>
          </w:tcPr>
          <w:p w14:paraId="1BB3809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3.4</w:t>
            </w:r>
          </w:p>
        </w:tc>
        <w:tc>
          <w:tcPr>
            <w:tcW w:w="706" w:type="pct"/>
            <w:tcBorders>
              <w:tl2br w:val="nil"/>
              <w:tr2bl w:val="nil"/>
            </w:tcBorders>
            <w:noWrap w:val="0"/>
            <w:vAlign w:val="center"/>
          </w:tcPr>
          <w:p w14:paraId="76DCA43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3.9</w:t>
            </w:r>
          </w:p>
        </w:tc>
        <w:tc>
          <w:tcPr>
            <w:tcW w:w="627" w:type="pct"/>
            <w:tcBorders>
              <w:tl2br w:val="nil"/>
              <w:tr2bl w:val="nil"/>
            </w:tcBorders>
            <w:noWrap w:val="0"/>
            <w:vAlign w:val="center"/>
          </w:tcPr>
          <w:p w14:paraId="6DE8CB9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4.90</w:t>
            </w:r>
            <w:r>
              <w:rPr>
                <w:rFonts w:hint="default" w:ascii="Times New Roman" w:hAnsi="Times New Roman" w:eastAsia="宋体" w:cs="Times New Roman"/>
                <w:kern w:val="0"/>
                <w:highlight w:val="none"/>
                <w:lang w:val="en-US" w:eastAsia="zh-CN"/>
              </w:rPr>
              <w:t>×10</w:t>
            </w:r>
            <w:r>
              <w:rPr>
                <w:rFonts w:hint="eastAsia" w:ascii="Times New Roman" w:hAnsi="Times New Roman" w:eastAsia="宋体" w:cs="Times New Roman"/>
                <w:kern w:val="0"/>
                <w:highlight w:val="none"/>
                <w:vertAlign w:val="superscript"/>
                <w:lang w:val="en-US" w:eastAsia="zh-CN"/>
              </w:rPr>
              <w:t>-3</w:t>
            </w:r>
          </w:p>
        </w:tc>
      </w:tr>
      <w:tr w14:paraId="16A976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89" w:type="pct"/>
            <w:vMerge w:val="continue"/>
            <w:tcBorders>
              <w:tl2br w:val="nil"/>
              <w:tr2bl w:val="nil"/>
            </w:tcBorders>
            <w:noWrap w:val="0"/>
            <w:vAlign w:val="center"/>
          </w:tcPr>
          <w:p w14:paraId="62EBBE0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599" w:type="pct"/>
            <w:vMerge w:val="continue"/>
            <w:tcBorders>
              <w:tl2br w:val="nil"/>
              <w:tr2bl w:val="nil"/>
            </w:tcBorders>
            <w:noWrap w:val="0"/>
            <w:vAlign w:val="center"/>
          </w:tcPr>
          <w:p w14:paraId="3918C11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3" w:type="pct"/>
            <w:vMerge w:val="continue"/>
            <w:tcBorders>
              <w:tl2br w:val="nil"/>
              <w:tr2bl w:val="nil"/>
            </w:tcBorders>
            <w:noWrap w:val="0"/>
            <w:vAlign w:val="center"/>
          </w:tcPr>
          <w:p w14:paraId="1809CE0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7" w:type="pct"/>
            <w:tcBorders>
              <w:tl2br w:val="nil"/>
              <w:tr2bl w:val="nil"/>
            </w:tcBorders>
            <w:noWrap w:val="0"/>
            <w:vAlign w:val="center"/>
          </w:tcPr>
          <w:p w14:paraId="7EA5C9E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t>3</w:t>
            </w:r>
          </w:p>
        </w:tc>
        <w:tc>
          <w:tcPr>
            <w:tcW w:w="613" w:type="pct"/>
            <w:tcBorders>
              <w:tl2br w:val="nil"/>
              <w:tr2bl w:val="nil"/>
            </w:tcBorders>
            <w:noWrap w:val="0"/>
            <w:vAlign w:val="center"/>
          </w:tcPr>
          <w:p w14:paraId="4B530EE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1491</w:t>
            </w:r>
          </w:p>
        </w:tc>
        <w:tc>
          <w:tcPr>
            <w:tcW w:w="465" w:type="pct"/>
            <w:tcBorders>
              <w:tl2br w:val="nil"/>
              <w:tr2bl w:val="nil"/>
            </w:tcBorders>
            <w:shd w:val="clear" w:color="auto" w:fill="auto"/>
            <w:noWrap w:val="0"/>
            <w:vAlign w:val="center"/>
          </w:tcPr>
          <w:p w14:paraId="76410A5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5.9</w:t>
            </w:r>
          </w:p>
        </w:tc>
        <w:tc>
          <w:tcPr>
            <w:tcW w:w="706" w:type="pct"/>
            <w:tcBorders>
              <w:tl2br w:val="nil"/>
              <w:tr2bl w:val="nil"/>
            </w:tcBorders>
            <w:noWrap w:val="0"/>
            <w:vAlign w:val="center"/>
          </w:tcPr>
          <w:p w14:paraId="7D6784F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2.5</w:t>
            </w:r>
          </w:p>
        </w:tc>
        <w:tc>
          <w:tcPr>
            <w:tcW w:w="706" w:type="pct"/>
            <w:tcBorders>
              <w:tl2br w:val="nil"/>
              <w:tr2bl w:val="nil"/>
            </w:tcBorders>
            <w:noWrap w:val="0"/>
            <w:vAlign w:val="center"/>
          </w:tcPr>
          <w:p w14:paraId="7C44856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2.9</w:t>
            </w:r>
          </w:p>
        </w:tc>
        <w:tc>
          <w:tcPr>
            <w:tcW w:w="627" w:type="pct"/>
            <w:tcBorders>
              <w:tl2br w:val="nil"/>
              <w:tr2bl w:val="nil"/>
            </w:tcBorders>
            <w:noWrap w:val="0"/>
            <w:vAlign w:val="center"/>
          </w:tcPr>
          <w:p w14:paraId="3A9E9A2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3.73</w:t>
            </w:r>
            <w:r>
              <w:rPr>
                <w:rFonts w:hint="default" w:ascii="Times New Roman" w:hAnsi="Times New Roman" w:eastAsia="宋体" w:cs="Times New Roman"/>
                <w:kern w:val="0"/>
                <w:highlight w:val="none"/>
                <w:lang w:val="en-US" w:eastAsia="zh-CN"/>
              </w:rPr>
              <w:t>×10</w:t>
            </w:r>
            <w:r>
              <w:rPr>
                <w:rFonts w:hint="eastAsia" w:ascii="Times New Roman" w:hAnsi="Times New Roman" w:eastAsia="宋体" w:cs="Times New Roman"/>
                <w:kern w:val="0"/>
                <w:highlight w:val="none"/>
                <w:vertAlign w:val="superscript"/>
                <w:lang w:val="en-US" w:eastAsia="zh-CN"/>
              </w:rPr>
              <w:t>-3</w:t>
            </w:r>
          </w:p>
        </w:tc>
      </w:tr>
      <w:tr w14:paraId="331E79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89" w:type="pct"/>
            <w:vMerge w:val="continue"/>
            <w:tcBorders>
              <w:tl2br w:val="nil"/>
              <w:tr2bl w:val="nil"/>
            </w:tcBorders>
            <w:noWrap w:val="0"/>
            <w:vAlign w:val="center"/>
          </w:tcPr>
          <w:p w14:paraId="04A9B6C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599" w:type="pct"/>
            <w:vMerge w:val="continue"/>
            <w:tcBorders>
              <w:tl2br w:val="nil"/>
              <w:tr2bl w:val="nil"/>
            </w:tcBorders>
            <w:noWrap w:val="0"/>
            <w:vAlign w:val="center"/>
          </w:tcPr>
          <w:p w14:paraId="1A09BB9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3" w:type="pct"/>
            <w:vMerge w:val="continue"/>
            <w:tcBorders>
              <w:tl2br w:val="nil"/>
              <w:tr2bl w:val="nil"/>
            </w:tcBorders>
            <w:noWrap w:val="0"/>
            <w:vAlign w:val="center"/>
          </w:tcPr>
          <w:p w14:paraId="2B416F5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7" w:type="pct"/>
            <w:tcBorders>
              <w:tl2br w:val="nil"/>
              <w:tr2bl w:val="nil"/>
            </w:tcBorders>
            <w:noWrap w:val="0"/>
            <w:vAlign w:val="center"/>
          </w:tcPr>
          <w:p w14:paraId="7875C64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t>均值</w:t>
            </w:r>
          </w:p>
        </w:tc>
        <w:tc>
          <w:tcPr>
            <w:tcW w:w="613" w:type="pct"/>
            <w:tcBorders>
              <w:tl2br w:val="nil"/>
              <w:tr2bl w:val="nil"/>
            </w:tcBorders>
            <w:noWrap w:val="0"/>
            <w:vAlign w:val="center"/>
          </w:tcPr>
          <w:p w14:paraId="0906167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fldChar w:fldCharType="begin"/>
            </w:r>
            <w:r>
              <w:rPr>
                <w:rFonts w:hint="default" w:ascii="Times New Roman" w:hAnsi="Times New Roman" w:eastAsia="宋体" w:cs="Times New Roman"/>
                <w:kern w:val="0"/>
                <w:highlight w:val="none"/>
                <w:lang w:val="en-US" w:eastAsia="zh-CN"/>
              </w:rPr>
              <w:instrText xml:space="preserve"> = average(E14:E16) \* MERGEFORMAT </w:instrText>
            </w:r>
            <w:r>
              <w:rPr>
                <w:rFonts w:hint="default" w:ascii="Times New Roman" w:hAnsi="Times New Roman" w:eastAsia="宋体" w:cs="Times New Roman"/>
                <w:kern w:val="0"/>
                <w:highlight w:val="none"/>
                <w:lang w:val="en-US" w:eastAsia="zh-CN"/>
              </w:rPr>
              <w:fldChar w:fldCharType="separate"/>
            </w:r>
            <w:r>
              <w:rPr>
                <w:rFonts w:hint="default" w:ascii="Times New Roman" w:hAnsi="Times New Roman" w:eastAsia="宋体" w:cs="Times New Roman"/>
                <w:kern w:val="0"/>
                <w:highlight w:val="none"/>
                <w:lang w:val="en-US" w:eastAsia="zh-CN"/>
              </w:rPr>
              <w:t>1470</w:t>
            </w:r>
            <w:r>
              <w:rPr>
                <w:rFonts w:hint="default" w:ascii="Times New Roman" w:hAnsi="Times New Roman" w:eastAsia="宋体" w:cs="Times New Roman"/>
                <w:kern w:val="0"/>
                <w:highlight w:val="none"/>
                <w:lang w:val="en-US" w:eastAsia="zh-CN"/>
              </w:rPr>
              <w:fldChar w:fldCharType="end"/>
            </w:r>
          </w:p>
        </w:tc>
        <w:tc>
          <w:tcPr>
            <w:tcW w:w="465" w:type="pct"/>
            <w:tcBorders>
              <w:tl2br w:val="nil"/>
              <w:tr2bl w:val="nil"/>
            </w:tcBorders>
            <w:shd w:val="clear" w:color="auto" w:fill="auto"/>
            <w:noWrap w:val="0"/>
            <w:vAlign w:val="center"/>
          </w:tcPr>
          <w:p w14:paraId="402AD76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5.9</w:t>
            </w:r>
          </w:p>
        </w:tc>
        <w:tc>
          <w:tcPr>
            <w:tcW w:w="706" w:type="pct"/>
            <w:tcBorders>
              <w:tl2br w:val="nil"/>
              <w:tr2bl w:val="nil"/>
            </w:tcBorders>
            <w:noWrap w:val="0"/>
            <w:vAlign w:val="center"/>
          </w:tcPr>
          <w:p w14:paraId="40B07DE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2.9</w:t>
            </w:r>
          </w:p>
        </w:tc>
        <w:tc>
          <w:tcPr>
            <w:tcW w:w="706" w:type="pct"/>
            <w:tcBorders>
              <w:tl2br w:val="nil"/>
              <w:tr2bl w:val="nil"/>
            </w:tcBorders>
            <w:noWrap w:val="0"/>
            <w:vAlign w:val="center"/>
          </w:tcPr>
          <w:p w14:paraId="5813326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fldChar w:fldCharType="begin"/>
            </w:r>
            <w:r>
              <w:rPr>
                <w:rFonts w:hint="default" w:ascii="Times New Roman" w:hAnsi="Times New Roman" w:eastAsia="宋体" w:cs="Times New Roman"/>
                <w:kern w:val="0"/>
                <w:highlight w:val="none"/>
                <w:lang w:val="en-US" w:eastAsia="zh-CN"/>
              </w:rPr>
              <w:instrText xml:space="preserve"> = average(H14:H16) \* MERGEFORMAT </w:instrText>
            </w:r>
            <w:r>
              <w:rPr>
                <w:rFonts w:hint="default" w:ascii="Times New Roman" w:hAnsi="Times New Roman" w:eastAsia="宋体" w:cs="Times New Roman"/>
                <w:kern w:val="0"/>
                <w:highlight w:val="none"/>
                <w:lang w:val="en-US" w:eastAsia="zh-CN"/>
              </w:rPr>
              <w:fldChar w:fldCharType="separate"/>
            </w:r>
            <w:r>
              <w:rPr>
                <w:rFonts w:hint="default" w:ascii="Times New Roman" w:hAnsi="Times New Roman" w:eastAsia="宋体" w:cs="Times New Roman"/>
                <w:kern w:val="0"/>
                <w:highlight w:val="none"/>
                <w:lang w:val="en-US" w:eastAsia="zh-CN"/>
              </w:rPr>
              <w:t>3.3</w:t>
            </w:r>
            <w:r>
              <w:rPr>
                <w:rFonts w:hint="default" w:ascii="Times New Roman" w:hAnsi="Times New Roman" w:eastAsia="宋体" w:cs="Times New Roman"/>
                <w:kern w:val="0"/>
                <w:highlight w:val="none"/>
                <w:lang w:val="en-US" w:eastAsia="zh-CN"/>
              </w:rPr>
              <w:fldChar w:fldCharType="end"/>
            </w:r>
          </w:p>
        </w:tc>
        <w:tc>
          <w:tcPr>
            <w:tcW w:w="627" w:type="pct"/>
            <w:tcBorders>
              <w:tl2br w:val="nil"/>
              <w:tr2bl w:val="nil"/>
            </w:tcBorders>
            <w:noWrap w:val="0"/>
            <w:vAlign w:val="center"/>
          </w:tcPr>
          <w:p w14:paraId="41D911D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fldChar w:fldCharType="begin"/>
            </w:r>
            <w:r>
              <w:rPr>
                <w:rFonts w:hint="default" w:ascii="Times New Roman" w:hAnsi="Times New Roman" w:eastAsia="宋体" w:cs="Times New Roman"/>
                <w:kern w:val="0"/>
                <w:highlight w:val="none"/>
                <w:lang w:val="en-US" w:eastAsia="zh-CN"/>
              </w:rPr>
              <w:instrText xml:space="preserve"> = average(I14:I16) \* MERGEFORMAT </w:instrText>
            </w:r>
            <w:r>
              <w:rPr>
                <w:rFonts w:hint="default" w:ascii="Times New Roman" w:hAnsi="Times New Roman" w:eastAsia="宋体" w:cs="Times New Roman"/>
                <w:kern w:val="0"/>
                <w:highlight w:val="none"/>
                <w:lang w:val="en-US" w:eastAsia="zh-CN"/>
              </w:rPr>
              <w:fldChar w:fldCharType="separate"/>
            </w:r>
            <w:r>
              <w:rPr>
                <w:rFonts w:hint="default" w:ascii="Times New Roman" w:hAnsi="Times New Roman" w:eastAsia="宋体" w:cs="Times New Roman"/>
                <w:kern w:val="0"/>
                <w:highlight w:val="none"/>
                <w:lang w:val="en-US" w:eastAsia="zh-CN"/>
              </w:rPr>
              <w:t>4.2</w:t>
            </w:r>
            <w:r>
              <w:rPr>
                <w:rFonts w:hint="eastAsia" w:ascii="Times New Roman" w:hAnsi="Times New Roman" w:eastAsia="宋体" w:cs="Times New Roman"/>
                <w:kern w:val="0"/>
                <w:highlight w:val="none"/>
                <w:lang w:val="en-US" w:eastAsia="zh-CN"/>
              </w:rPr>
              <w:t>1</w:t>
            </w:r>
            <w:r>
              <w:rPr>
                <w:rFonts w:hint="default" w:ascii="Times New Roman" w:hAnsi="Times New Roman" w:eastAsia="宋体" w:cs="Times New Roman"/>
                <w:kern w:val="0"/>
                <w:highlight w:val="none"/>
                <w:lang w:val="en-US" w:eastAsia="zh-CN"/>
              </w:rPr>
              <w:fldChar w:fldCharType="end"/>
            </w:r>
            <w:r>
              <w:rPr>
                <w:rFonts w:hint="default" w:ascii="Times New Roman" w:hAnsi="Times New Roman" w:eastAsia="宋体" w:cs="Times New Roman"/>
                <w:kern w:val="0"/>
                <w:highlight w:val="none"/>
                <w:lang w:val="en-US" w:eastAsia="zh-CN"/>
              </w:rPr>
              <w:t>×10</w:t>
            </w:r>
            <w:r>
              <w:rPr>
                <w:rFonts w:hint="eastAsia" w:ascii="Times New Roman" w:hAnsi="Times New Roman" w:eastAsia="宋体" w:cs="Times New Roman"/>
                <w:kern w:val="0"/>
                <w:highlight w:val="none"/>
                <w:vertAlign w:val="superscript"/>
                <w:lang w:val="en-US" w:eastAsia="zh-CN"/>
              </w:rPr>
              <w:t>-3</w:t>
            </w:r>
          </w:p>
        </w:tc>
      </w:tr>
      <w:tr w14:paraId="0F8555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89" w:type="pct"/>
            <w:vMerge w:val="continue"/>
            <w:tcBorders>
              <w:tl2br w:val="nil"/>
              <w:tr2bl w:val="nil"/>
            </w:tcBorders>
            <w:noWrap w:val="0"/>
            <w:vAlign w:val="center"/>
          </w:tcPr>
          <w:p w14:paraId="2CDD1DC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599" w:type="pct"/>
            <w:vMerge w:val="continue"/>
            <w:tcBorders>
              <w:tl2br w:val="nil"/>
              <w:tr2bl w:val="nil"/>
            </w:tcBorders>
            <w:noWrap w:val="0"/>
            <w:vAlign w:val="center"/>
          </w:tcPr>
          <w:p w14:paraId="241932B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3" w:type="pct"/>
            <w:vMerge w:val="restart"/>
            <w:tcBorders>
              <w:tl2br w:val="nil"/>
              <w:tr2bl w:val="nil"/>
            </w:tcBorders>
            <w:noWrap w:val="0"/>
            <w:vAlign w:val="center"/>
          </w:tcPr>
          <w:p w14:paraId="5BD98BA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t>二氧化硫</w:t>
            </w:r>
          </w:p>
        </w:tc>
        <w:tc>
          <w:tcPr>
            <w:tcW w:w="347" w:type="pct"/>
            <w:tcBorders>
              <w:tl2br w:val="nil"/>
              <w:tr2bl w:val="nil"/>
            </w:tcBorders>
            <w:noWrap w:val="0"/>
            <w:vAlign w:val="center"/>
          </w:tcPr>
          <w:p w14:paraId="67F1DEE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t>1</w:t>
            </w:r>
          </w:p>
        </w:tc>
        <w:tc>
          <w:tcPr>
            <w:tcW w:w="613" w:type="pct"/>
            <w:tcBorders>
              <w:tl2br w:val="nil"/>
              <w:tr2bl w:val="nil"/>
            </w:tcBorders>
            <w:noWrap w:val="0"/>
            <w:vAlign w:val="center"/>
          </w:tcPr>
          <w:p w14:paraId="0771F35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1478</w:t>
            </w:r>
          </w:p>
        </w:tc>
        <w:tc>
          <w:tcPr>
            <w:tcW w:w="465" w:type="pct"/>
            <w:tcBorders>
              <w:tl2br w:val="nil"/>
              <w:tr2bl w:val="nil"/>
            </w:tcBorders>
            <w:noWrap w:val="0"/>
            <w:vAlign w:val="center"/>
          </w:tcPr>
          <w:p w14:paraId="338EAF2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5.8</w:t>
            </w:r>
          </w:p>
        </w:tc>
        <w:tc>
          <w:tcPr>
            <w:tcW w:w="706" w:type="pct"/>
            <w:tcBorders>
              <w:tl2br w:val="nil"/>
              <w:tr2bl w:val="nil"/>
            </w:tcBorders>
            <w:noWrap w:val="0"/>
            <w:vAlign w:val="center"/>
          </w:tcPr>
          <w:p w14:paraId="462C3B3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ND</w:t>
            </w:r>
          </w:p>
        </w:tc>
        <w:tc>
          <w:tcPr>
            <w:tcW w:w="706" w:type="pct"/>
            <w:tcBorders>
              <w:tl2br w:val="nil"/>
              <w:tr2bl w:val="nil"/>
            </w:tcBorders>
            <w:noWrap w:val="0"/>
            <w:vAlign w:val="center"/>
          </w:tcPr>
          <w:p w14:paraId="518DDB5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w:t>
            </w:r>
          </w:p>
        </w:tc>
        <w:tc>
          <w:tcPr>
            <w:tcW w:w="627" w:type="pct"/>
            <w:tcBorders>
              <w:tl2br w:val="nil"/>
              <w:tr2bl w:val="nil"/>
            </w:tcBorders>
            <w:noWrap w:val="0"/>
            <w:vAlign w:val="center"/>
          </w:tcPr>
          <w:p w14:paraId="232E693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w:t>
            </w:r>
          </w:p>
        </w:tc>
      </w:tr>
      <w:tr w14:paraId="4BE8A3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89" w:type="pct"/>
            <w:vMerge w:val="continue"/>
            <w:tcBorders>
              <w:tl2br w:val="nil"/>
              <w:tr2bl w:val="nil"/>
            </w:tcBorders>
            <w:noWrap w:val="0"/>
            <w:vAlign w:val="center"/>
          </w:tcPr>
          <w:p w14:paraId="7BCEC5F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599" w:type="pct"/>
            <w:vMerge w:val="continue"/>
            <w:tcBorders>
              <w:tl2br w:val="nil"/>
              <w:tr2bl w:val="nil"/>
            </w:tcBorders>
            <w:noWrap w:val="0"/>
            <w:vAlign w:val="center"/>
          </w:tcPr>
          <w:p w14:paraId="5315D2B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3" w:type="pct"/>
            <w:vMerge w:val="continue"/>
            <w:tcBorders>
              <w:tl2br w:val="nil"/>
              <w:tr2bl w:val="nil"/>
            </w:tcBorders>
            <w:noWrap w:val="0"/>
            <w:vAlign w:val="center"/>
          </w:tcPr>
          <w:p w14:paraId="4055D13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7" w:type="pct"/>
            <w:tcBorders>
              <w:tl2br w:val="nil"/>
              <w:tr2bl w:val="nil"/>
            </w:tcBorders>
            <w:noWrap w:val="0"/>
            <w:vAlign w:val="center"/>
          </w:tcPr>
          <w:p w14:paraId="63B37F6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t>2</w:t>
            </w:r>
          </w:p>
        </w:tc>
        <w:tc>
          <w:tcPr>
            <w:tcW w:w="613" w:type="pct"/>
            <w:tcBorders>
              <w:tl2br w:val="nil"/>
              <w:tr2bl w:val="nil"/>
            </w:tcBorders>
            <w:noWrap w:val="0"/>
            <w:vAlign w:val="center"/>
          </w:tcPr>
          <w:p w14:paraId="10575C1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1441</w:t>
            </w:r>
          </w:p>
        </w:tc>
        <w:tc>
          <w:tcPr>
            <w:tcW w:w="465" w:type="pct"/>
            <w:tcBorders>
              <w:tl2br w:val="nil"/>
              <w:tr2bl w:val="nil"/>
            </w:tcBorders>
            <w:noWrap w:val="0"/>
            <w:vAlign w:val="center"/>
          </w:tcPr>
          <w:p w14:paraId="1EADE1C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5.9</w:t>
            </w:r>
          </w:p>
        </w:tc>
        <w:tc>
          <w:tcPr>
            <w:tcW w:w="706" w:type="pct"/>
            <w:tcBorders>
              <w:tl2br w:val="nil"/>
              <w:tr2bl w:val="nil"/>
            </w:tcBorders>
            <w:noWrap w:val="0"/>
            <w:vAlign w:val="center"/>
          </w:tcPr>
          <w:p w14:paraId="0E53982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ND</w:t>
            </w:r>
          </w:p>
        </w:tc>
        <w:tc>
          <w:tcPr>
            <w:tcW w:w="706" w:type="pct"/>
            <w:tcBorders>
              <w:tl2br w:val="nil"/>
              <w:tr2bl w:val="nil"/>
            </w:tcBorders>
            <w:noWrap w:val="0"/>
            <w:vAlign w:val="center"/>
          </w:tcPr>
          <w:p w14:paraId="62EC4AE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w:t>
            </w:r>
          </w:p>
        </w:tc>
        <w:tc>
          <w:tcPr>
            <w:tcW w:w="627" w:type="pct"/>
            <w:tcBorders>
              <w:tl2br w:val="nil"/>
              <w:tr2bl w:val="nil"/>
            </w:tcBorders>
            <w:noWrap w:val="0"/>
            <w:vAlign w:val="center"/>
          </w:tcPr>
          <w:p w14:paraId="74E7358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w:t>
            </w:r>
          </w:p>
        </w:tc>
      </w:tr>
      <w:tr w14:paraId="4D9EF5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89" w:type="pct"/>
            <w:vMerge w:val="continue"/>
            <w:tcBorders>
              <w:tl2br w:val="nil"/>
              <w:tr2bl w:val="nil"/>
            </w:tcBorders>
            <w:noWrap w:val="0"/>
            <w:vAlign w:val="center"/>
          </w:tcPr>
          <w:p w14:paraId="6146E66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599" w:type="pct"/>
            <w:vMerge w:val="continue"/>
            <w:tcBorders>
              <w:tl2br w:val="nil"/>
              <w:tr2bl w:val="nil"/>
            </w:tcBorders>
            <w:noWrap w:val="0"/>
            <w:vAlign w:val="center"/>
          </w:tcPr>
          <w:p w14:paraId="62DEF29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3" w:type="pct"/>
            <w:vMerge w:val="continue"/>
            <w:tcBorders>
              <w:tl2br w:val="nil"/>
              <w:tr2bl w:val="nil"/>
            </w:tcBorders>
            <w:noWrap w:val="0"/>
            <w:vAlign w:val="center"/>
          </w:tcPr>
          <w:p w14:paraId="65D63BB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7" w:type="pct"/>
            <w:tcBorders>
              <w:tl2br w:val="nil"/>
              <w:tr2bl w:val="nil"/>
            </w:tcBorders>
            <w:noWrap w:val="0"/>
            <w:vAlign w:val="center"/>
          </w:tcPr>
          <w:p w14:paraId="7DADFFD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t>3</w:t>
            </w:r>
          </w:p>
        </w:tc>
        <w:tc>
          <w:tcPr>
            <w:tcW w:w="613" w:type="pct"/>
            <w:tcBorders>
              <w:tl2br w:val="nil"/>
              <w:tr2bl w:val="nil"/>
            </w:tcBorders>
            <w:noWrap w:val="0"/>
            <w:vAlign w:val="center"/>
          </w:tcPr>
          <w:p w14:paraId="0CB9FEB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1491</w:t>
            </w:r>
          </w:p>
        </w:tc>
        <w:tc>
          <w:tcPr>
            <w:tcW w:w="465" w:type="pct"/>
            <w:tcBorders>
              <w:tl2br w:val="nil"/>
              <w:tr2bl w:val="nil"/>
            </w:tcBorders>
            <w:noWrap w:val="0"/>
            <w:vAlign w:val="center"/>
          </w:tcPr>
          <w:p w14:paraId="26BFD0B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5.9</w:t>
            </w:r>
          </w:p>
        </w:tc>
        <w:tc>
          <w:tcPr>
            <w:tcW w:w="706" w:type="pct"/>
            <w:tcBorders>
              <w:tl2br w:val="nil"/>
              <w:tr2bl w:val="nil"/>
            </w:tcBorders>
            <w:noWrap w:val="0"/>
            <w:vAlign w:val="center"/>
          </w:tcPr>
          <w:p w14:paraId="4B9E28E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ND</w:t>
            </w:r>
          </w:p>
        </w:tc>
        <w:tc>
          <w:tcPr>
            <w:tcW w:w="706" w:type="pct"/>
            <w:tcBorders>
              <w:tl2br w:val="nil"/>
              <w:tr2bl w:val="nil"/>
            </w:tcBorders>
            <w:noWrap w:val="0"/>
            <w:vAlign w:val="center"/>
          </w:tcPr>
          <w:p w14:paraId="01AAD94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w:t>
            </w:r>
          </w:p>
        </w:tc>
        <w:tc>
          <w:tcPr>
            <w:tcW w:w="627" w:type="pct"/>
            <w:tcBorders>
              <w:tl2br w:val="nil"/>
              <w:tr2bl w:val="nil"/>
            </w:tcBorders>
            <w:noWrap w:val="0"/>
            <w:vAlign w:val="center"/>
          </w:tcPr>
          <w:p w14:paraId="4CBE248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w:t>
            </w:r>
          </w:p>
        </w:tc>
      </w:tr>
      <w:tr w14:paraId="2B8A04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89" w:type="pct"/>
            <w:vMerge w:val="continue"/>
            <w:tcBorders>
              <w:tl2br w:val="nil"/>
              <w:tr2bl w:val="nil"/>
            </w:tcBorders>
            <w:noWrap w:val="0"/>
            <w:vAlign w:val="center"/>
          </w:tcPr>
          <w:p w14:paraId="6E92552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599" w:type="pct"/>
            <w:vMerge w:val="continue"/>
            <w:tcBorders>
              <w:tl2br w:val="nil"/>
              <w:tr2bl w:val="nil"/>
            </w:tcBorders>
            <w:noWrap w:val="0"/>
            <w:vAlign w:val="center"/>
          </w:tcPr>
          <w:p w14:paraId="7AF45AC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3" w:type="pct"/>
            <w:vMerge w:val="continue"/>
            <w:tcBorders>
              <w:tl2br w:val="nil"/>
              <w:tr2bl w:val="nil"/>
            </w:tcBorders>
            <w:noWrap w:val="0"/>
            <w:vAlign w:val="center"/>
          </w:tcPr>
          <w:p w14:paraId="313D2E9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7" w:type="pct"/>
            <w:tcBorders>
              <w:tl2br w:val="nil"/>
              <w:tr2bl w:val="nil"/>
            </w:tcBorders>
            <w:noWrap w:val="0"/>
            <w:vAlign w:val="center"/>
          </w:tcPr>
          <w:p w14:paraId="595E5C7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t>均值</w:t>
            </w:r>
          </w:p>
        </w:tc>
        <w:tc>
          <w:tcPr>
            <w:tcW w:w="613" w:type="pct"/>
            <w:tcBorders>
              <w:tl2br w:val="nil"/>
              <w:tr2bl w:val="nil"/>
            </w:tcBorders>
            <w:noWrap w:val="0"/>
            <w:vAlign w:val="center"/>
          </w:tcPr>
          <w:p w14:paraId="0659BD3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fldChar w:fldCharType="begin"/>
            </w:r>
            <w:r>
              <w:rPr>
                <w:rFonts w:hint="default" w:ascii="Times New Roman" w:hAnsi="Times New Roman" w:eastAsia="宋体" w:cs="Times New Roman"/>
                <w:kern w:val="0"/>
                <w:highlight w:val="none"/>
                <w:lang w:val="en-US" w:eastAsia="zh-CN"/>
              </w:rPr>
              <w:instrText xml:space="preserve"> = average(E14:E16) \* MERGEFORMAT </w:instrText>
            </w:r>
            <w:r>
              <w:rPr>
                <w:rFonts w:hint="default" w:ascii="Times New Roman" w:hAnsi="Times New Roman" w:eastAsia="宋体" w:cs="Times New Roman"/>
                <w:kern w:val="0"/>
                <w:highlight w:val="none"/>
                <w:lang w:val="en-US" w:eastAsia="zh-CN"/>
              </w:rPr>
              <w:fldChar w:fldCharType="separate"/>
            </w:r>
            <w:r>
              <w:rPr>
                <w:rFonts w:hint="default" w:ascii="Times New Roman" w:hAnsi="Times New Roman" w:eastAsia="宋体" w:cs="Times New Roman"/>
                <w:kern w:val="0"/>
                <w:highlight w:val="none"/>
                <w:lang w:val="en-US" w:eastAsia="zh-CN"/>
              </w:rPr>
              <w:t>1470</w:t>
            </w:r>
            <w:r>
              <w:rPr>
                <w:rFonts w:hint="default" w:ascii="Times New Roman" w:hAnsi="Times New Roman" w:eastAsia="宋体" w:cs="Times New Roman"/>
                <w:kern w:val="0"/>
                <w:highlight w:val="none"/>
                <w:lang w:val="en-US" w:eastAsia="zh-CN"/>
              </w:rPr>
              <w:fldChar w:fldCharType="end"/>
            </w:r>
          </w:p>
        </w:tc>
        <w:tc>
          <w:tcPr>
            <w:tcW w:w="465" w:type="pct"/>
            <w:tcBorders>
              <w:tl2br w:val="nil"/>
              <w:tr2bl w:val="nil"/>
            </w:tcBorders>
            <w:noWrap w:val="0"/>
            <w:vAlign w:val="center"/>
          </w:tcPr>
          <w:p w14:paraId="5C81F95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5.9</w:t>
            </w:r>
          </w:p>
        </w:tc>
        <w:tc>
          <w:tcPr>
            <w:tcW w:w="706" w:type="pct"/>
            <w:tcBorders>
              <w:tl2br w:val="nil"/>
              <w:tr2bl w:val="nil"/>
            </w:tcBorders>
            <w:noWrap w:val="0"/>
            <w:vAlign w:val="center"/>
          </w:tcPr>
          <w:p w14:paraId="4EFDC02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ND</w:t>
            </w:r>
          </w:p>
        </w:tc>
        <w:tc>
          <w:tcPr>
            <w:tcW w:w="706" w:type="pct"/>
            <w:tcBorders>
              <w:tl2br w:val="nil"/>
              <w:tr2bl w:val="nil"/>
            </w:tcBorders>
            <w:noWrap w:val="0"/>
            <w:vAlign w:val="center"/>
          </w:tcPr>
          <w:p w14:paraId="40C72A0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w:t>
            </w:r>
          </w:p>
        </w:tc>
        <w:tc>
          <w:tcPr>
            <w:tcW w:w="627" w:type="pct"/>
            <w:tcBorders>
              <w:tl2br w:val="nil"/>
              <w:tr2bl w:val="nil"/>
            </w:tcBorders>
            <w:noWrap w:val="0"/>
            <w:vAlign w:val="center"/>
          </w:tcPr>
          <w:p w14:paraId="36BB441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w:t>
            </w:r>
          </w:p>
        </w:tc>
      </w:tr>
      <w:tr w14:paraId="53FF26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89" w:type="pct"/>
            <w:vMerge w:val="continue"/>
            <w:tcBorders>
              <w:tl2br w:val="nil"/>
              <w:tr2bl w:val="nil"/>
            </w:tcBorders>
            <w:noWrap w:val="0"/>
            <w:vAlign w:val="center"/>
          </w:tcPr>
          <w:p w14:paraId="6C24701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599" w:type="pct"/>
            <w:vMerge w:val="continue"/>
            <w:tcBorders>
              <w:tl2br w:val="nil"/>
              <w:tr2bl w:val="nil"/>
            </w:tcBorders>
            <w:noWrap w:val="0"/>
            <w:vAlign w:val="center"/>
          </w:tcPr>
          <w:p w14:paraId="7115529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3" w:type="pct"/>
            <w:vMerge w:val="restart"/>
            <w:tcBorders>
              <w:tl2br w:val="nil"/>
              <w:tr2bl w:val="nil"/>
            </w:tcBorders>
            <w:shd w:val="clear" w:color="auto" w:fill="auto"/>
            <w:noWrap w:val="0"/>
            <w:vAlign w:val="center"/>
          </w:tcPr>
          <w:p w14:paraId="16AB3B6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t>氮氧化物</w:t>
            </w:r>
          </w:p>
          <w:p w14:paraId="67DDE9A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7" w:type="pct"/>
            <w:tcBorders>
              <w:tl2br w:val="nil"/>
              <w:tr2bl w:val="nil"/>
            </w:tcBorders>
            <w:shd w:val="clear" w:color="auto" w:fill="auto"/>
            <w:noWrap w:val="0"/>
            <w:vAlign w:val="center"/>
          </w:tcPr>
          <w:p w14:paraId="7DF44E3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t>1</w:t>
            </w:r>
          </w:p>
        </w:tc>
        <w:tc>
          <w:tcPr>
            <w:tcW w:w="613" w:type="pct"/>
            <w:tcBorders>
              <w:tl2br w:val="nil"/>
              <w:tr2bl w:val="nil"/>
            </w:tcBorders>
            <w:noWrap w:val="0"/>
            <w:vAlign w:val="center"/>
          </w:tcPr>
          <w:p w14:paraId="7FB77E7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1478</w:t>
            </w:r>
          </w:p>
        </w:tc>
        <w:tc>
          <w:tcPr>
            <w:tcW w:w="465" w:type="pct"/>
            <w:tcBorders>
              <w:tl2br w:val="nil"/>
              <w:tr2bl w:val="nil"/>
            </w:tcBorders>
            <w:noWrap w:val="0"/>
            <w:vAlign w:val="center"/>
          </w:tcPr>
          <w:p w14:paraId="0F3F900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5.8</w:t>
            </w:r>
          </w:p>
        </w:tc>
        <w:tc>
          <w:tcPr>
            <w:tcW w:w="706" w:type="pct"/>
            <w:tcBorders>
              <w:tl2br w:val="nil"/>
              <w:tr2bl w:val="nil"/>
            </w:tcBorders>
            <w:noWrap w:val="0"/>
            <w:vAlign w:val="center"/>
          </w:tcPr>
          <w:p w14:paraId="35D6761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14</w:t>
            </w:r>
          </w:p>
        </w:tc>
        <w:tc>
          <w:tcPr>
            <w:tcW w:w="706" w:type="pct"/>
            <w:tcBorders>
              <w:tl2br w:val="nil"/>
              <w:tr2bl w:val="nil"/>
            </w:tcBorders>
            <w:noWrap w:val="0"/>
            <w:vAlign w:val="center"/>
          </w:tcPr>
          <w:p w14:paraId="107D8FB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16</w:t>
            </w:r>
          </w:p>
        </w:tc>
        <w:tc>
          <w:tcPr>
            <w:tcW w:w="627" w:type="pct"/>
            <w:tcBorders>
              <w:tl2br w:val="nil"/>
              <w:tr2bl w:val="nil"/>
            </w:tcBorders>
            <w:noWrap w:val="0"/>
            <w:vAlign w:val="center"/>
          </w:tcPr>
          <w:p w14:paraId="0675055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2.07</w:t>
            </w:r>
            <w:r>
              <w:rPr>
                <w:rFonts w:hint="default" w:ascii="Times New Roman" w:hAnsi="Times New Roman" w:eastAsia="宋体" w:cs="Times New Roman"/>
                <w:kern w:val="0"/>
                <w:highlight w:val="none"/>
                <w:lang w:val="en-US" w:eastAsia="zh-CN"/>
              </w:rPr>
              <w:t>×10</w:t>
            </w:r>
            <w:r>
              <w:rPr>
                <w:rFonts w:hint="eastAsia" w:ascii="Times New Roman" w:hAnsi="Times New Roman" w:eastAsia="宋体" w:cs="Times New Roman"/>
                <w:kern w:val="0"/>
                <w:highlight w:val="none"/>
                <w:vertAlign w:val="superscript"/>
                <w:lang w:val="en-US" w:eastAsia="zh-CN"/>
              </w:rPr>
              <w:t>-2</w:t>
            </w:r>
          </w:p>
        </w:tc>
      </w:tr>
      <w:tr w14:paraId="12510A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89" w:type="pct"/>
            <w:vMerge w:val="continue"/>
            <w:tcBorders>
              <w:tl2br w:val="nil"/>
              <w:tr2bl w:val="nil"/>
            </w:tcBorders>
            <w:noWrap w:val="0"/>
            <w:vAlign w:val="center"/>
          </w:tcPr>
          <w:p w14:paraId="314D9CD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599" w:type="pct"/>
            <w:vMerge w:val="continue"/>
            <w:tcBorders>
              <w:tl2br w:val="nil"/>
              <w:tr2bl w:val="nil"/>
            </w:tcBorders>
            <w:noWrap w:val="0"/>
            <w:vAlign w:val="center"/>
          </w:tcPr>
          <w:p w14:paraId="1F0B98B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3" w:type="pct"/>
            <w:vMerge w:val="continue"/>
            <w:tcBorders>
              <w:tl2br w:val="nil"/>
              <w:tr2bl w:val="nil"/>
            </w:tcBorders>
            <w:noWrap w:val="0"/>
            <w:vAlign w:val="center"/>
          </w:tcPr>
          <w:p w14:paraId="1FCDD42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7" w:type="pct"/>
            <w:tcBorders>
              <w:tl2br w:val="nil"/>
              <w:tr2bl w:val="nil"/>
            </w:tcBorders>
            <w:shd w:val="clear" w:color="auto" w:fill="auto"/>
            <w:noWrap w:val="0"/>
            <w:vAlign w:val="center"/>
          </w:tcPr>
          <w:p w14:paraId="0320C34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t>2</w:t>
            </w:r>
          </w:p>
        </w:tc>
        <w:tc>
          <w:tcPr>
            <w:tcW w:w="613" w:type="pct"/>
            <w:tcBorders>
              <w:tl2br w:val="nil"/>
              <w:tr2bl w:val="nil"/>
            </w:tcBorders>
            <w:noWrap w:val="0"/>
            <w:vAlign w:val="center"/>
          </w:tcPr>
          <w:p w14:paraId="04B37BC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1441</w:t>
            </w:r>
          </w:p>
        </w:tc>
        <w:tc>
          <w:tcPr>
            <w:tcW w:w="465" w:type="pct"/>
            <w:tcBorders>
              <w:tl2br w:val="nil"/>
              <w:tr2bl w:val="nil"/>
            </w:tcBorders>
            <w:noWrap w:val="0"/>
            <w:vAlign w:val="center"/>
          </w:tcPr>
          <w:p w14:paraId="4A5F9A8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5.9</w:t>
            </w:r>
          </w:p>
        </w:tc>
        <w:tc>
          <w:tcPr>
            <w:tcW w:w="706" w:type="pct"/>
            <w:tcBorders>
              <w:tl2br w:val="nil"/>
              <w:tr2bl w:val="nil"/>
            </w:tcBorders>
            <w:noWrap w:val="0"/>
            <w:vAlign w:val="center"/>
          </w:tcPr>
          <w:p w14:paraId="1802E61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12</w:t>
            </w:r>
          </w:p>
        </w:tc>
        <w:tc>
          <w:tcPr>
            <w:tcW w:w="706" w:type="pct"/>
            <w:tcBorders>
              <w:tl2br w:val="nil"/>
              <w:tr2bl w:val="nil"/>
            </w:tcBorders>
            <w:noWrap w:val="0"/>
            <w:vAlign w:val="center"/>
          </w:tcPr>
          <w:p w14:paraId="5EE560C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14</w:t>
            </w:r>
          </w:p>
        </w:tc>
        <w:tc>
          <w:tcPr>
            <w:tcW w:w="627" w:type="pct"/>
            <w:tcBorders>
              <w:tl2br w:val="nil"/>
              <w:tr2bl w:val="nil"/>
            </w:tcBorders>
            <w:noWrap w:val="0"/>
            <w:vAlign w:val="center"/>
          </w:tcPr>
          <w:p w14:paraId="6C5F963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1.73</w:t>
            </w:r>
            <w:r>
              <w:rPr>
                <w:rFonts w:hint="default" w:ascii="Times New Roman" w:hAnsi="Times New Roman" w:eastAsia="宋体" w:cs="Times New Roman"/>
                <w:kern w:val="0"/>
                <w:highlight w:val="none"/>
                <w:lang w:val="en-US" w:eastAsia="zh-CN"/>
              </w:rPr>
              <w:t>×10</w:t>
            </w:r>
            <w:r>
              <w:rPr>
                <w:rFonts w:hint="eastAsia" w:ascii="Times New Roman" w:hAnsi="Times New Roman" w:eastAsia="宋体" w:cs="Times New Roman"/>
                <w:kern w:val="0"/>
                <w:highlight w:val="none"/>
                <w:vertAlign w:val="superscript"/>
                <w:lang w:val="en-US" w:eastAsia="zh-CN"/>
              </w:rPr>
              <w:t>-2</w:t>
            </w:r>
          </w:p>
        </w:tc>
      </w:tr>
      <w:tr w14:paraId="4A7048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89" w:type="pct"/>
            <w:vMerge w:val="continue"/>
            <w:tcBorders>
              <w:tl2br w:val="nil"/>
              <w:tr2bl w:val="nil"/>
            </w:tcBorders>
            <w:noWrap w:val="0"/>
            <w:vAlign w:val="center"/>
          </w:tcPr>
          <w:p w14:paraId="75FC395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599" w:type="pct"/>
            <w:vMerge w:val="continue"/>
            <w:tcBorders>
              <w:tl2br w:val="nil"/>
              <w:tr2bl w:val="nil"/>
            </w:tcBorders>
            <w:noWrap w:val="0"/>
            <w:vAlign w:val="center"/>
          </w:tcPr>
          <w:p w14:paraId="48F5CF5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3" w:type="pct"/>
            <w:vMerge w:val="continue"/>
            <w:tcBorders>
              <w:tl2br w:val="nil"/>
              <w:tr2bl w:val="nil"/>
            </w:tcBorders>
            <w:noWrap w:val="0"/>
            <w:vAlign w:val="center"/>
          </w:tcPr>
          <w:p w14:paraId="043FDD4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7" w:type="pct"/>
            <w:tcBorders>
              <w:tl2br w:val="nil"/>
              <w:tr2bl w:val="nil"/>
            </w:tcBorders>
            <w:shd w:val="clear" w:color="auto" w:fill="auto"/>
            <w:noWrap w:val="0"/>
            <w:vAlign w:val="center"/>
          </w:tcPr>
          <w:p w14:paraId="7DA5BA8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t>3</w:t>
            </w:r>
          </w:p>
        </w:tc>
        <w:tc>
          <w:tcPr>
            <w:tcW w:w="613" w:type="pct"/>
            <w:tcBorders>
              <w:tl2br w:val="nil"/>
              <w:tr2bl w:val="nil"/>
            </w:tcBorders>
            <w:noWrap w:val="0"/>
            <w:vAlign w:val="center"/>
          </w:tcPr>
          <w:p w14:paraId="56DB7F1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1491</w:t>
            </w:r>
          </w:p>
        </w:tc>
        <w:tc>
          <w:tcPr>
            <w:tcW w:w="465" w:type="pct"/>
            <w:tcBorders>
              <w:tl2br w:val="nil"/>
              <w:tr2bl w:val="nil"/>
            </w:tcBorders>
            <w:noWrap w:val="0"/>
            <w:vAlign w:val="center"/>
          </w:tcPr>
          <w:p w14:paraId="0F9451D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5.9</w:t>
            </w:r>
          </w:p>
        </w:tc>
        <w:tc>
          <w:tcPr>
            <w:tcW w:w="706" w:type="pct"/>
            <w:tcBorders>
              <w:tl2br w:val="nil"/>
              <w:tr2bl w:val="nil"/>
            </w:tcBorders>
            <w:noWrap w:val="0"/>
            <w:vAlign w:val="center"/>
          </w:tcPr>
          <w:p w14:paraId="5EEFFE6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9</w:t>
            </w:r>
          </w:p>
        </w:tc>
        <w:tc>
          <w:tcPr>
            <w:tcW w:w="706" w:type="pct"/>
            <w:tcBorders>
              <w:tl2br w:val="nil"/>
              <w:tr2bl w:val="nil"/>
            </w:tcBorders>
            <w:noWrap w:val="0"/>
            <w:vAlign w:val="center"/>
          </w:tcPr>
          <w:p w14:paraId="7564008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10</w:t>
            </w:r>
          </w:p>
        </w:tc>
        <w:tc>
          <w:tcPr>
            <w:tcW w:w="627" w:type="pct"/>
            <w:tcBorders>
              <w:tl2br w:val="nil"/>
              <w:tr2bl w:val="nil"/>
            </w:tcBorders>
            <w:noWrap w:val="0"/>
            <w:vAlign w:val="center"/>
          </w:tcPr>
          <w:p w14:paraId="7480951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1.34</w:t>
            </w:r>
            <w:r>
              <w:rPr>
                <w:rFonts w:hint="default" w:ascii="Times New Roman" w:hAnsi="Times New Roman" w:eastAsia="宋体" w:cs="Times New Roman"/>
                <w:kern w:val="0"/>
                <w:highlight w:val="none"/>
                <w:lang w:val="en-US" w:eastAsia="zh-CN"/>
              </w:rPr>
              <w:t>×10</w:t>
            </w:r>
            <w:r>
              <w:rPr>
                <w:rFonts w:hint="eastAsia" w:ascii="Times New Roman" w:hAnsi="Times New Roman" w:eastAsia="宋体" w:cs="Times New Roman"/>
                <w:kern w:val="0"/>
                <w:highlight w:val="none"/>
                <w:vertAlign w:val="superscript"/>
                <w:lang w:val="en-US" w:eastAsia="zh-CN"/>
              </w:rPr>
              <w:t>-2</w:t>
            </w:r>
          </w:p>
        </w:tc>
      </w:tr>
      <w:tr w14:paraId="1CD195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89" w:type="pct"/>
            <w:vMerge w:val="continue"/>
            <w:tcBorders>
              <w:tl2br w:val="nil"/>
              <w:tr2bl w:val="nil"/>
            </w:tcBorders>
            <w:noWrap w:val="0"/>
            <w:vAlign w:val="center"/>
          </w:tcPr>
          <w:p w14:paraId="7358B74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599" w:type="pct"/>
            <w:vMerge w:val="continue"/>
            <w:tcBorders>
              <w:tl2br w:val="nil"/>
              <w:tr2bl w:val="nil"/>
            </w:tcBorders>
            <w:noWrap w:val="0"/>
            <w:vAlign w:val="center"/>
          </w:tcPr>
          <w:p w14:paraId="56D29A8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3" w:type="pct"/>
            <w:vMerge w:val="continue"/>
            <w:tcBorders>
              <w:tl2br w:val="nil"/>
              <w:tr2bl w:val="nil"/>
            </w:tcBorders>
            <w:noWrap w:val="0"/>
            <w:vAlign w:val="center"/>
          </w:tcPr>
          <w:p w14:paraId="1516A6B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p>
        </w:tc>
        <w:tc>
          <w:tcPr>
            <w:tcW w:w="347" w:type="pct"/>
            <w:tcBorders>
              <w:tl2br w:val="nil"/>
              <w:tr2bl w:val="nil"/>
            </w:tcBorders>
            <w:shd w:val="clear" w:color="auto" w:fill="auto"/>
            <w:noWrap w:val="0"/>
            <w:vAlign w:val="center"/>
          </w:tcPr>
          <w:p w14:paraId="4A43574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t>均值</w:t>
            </w:r>
          </w:p>
        </w:tc>
        <w:tc>
          <w:tcPr>
            <w:tcW w:w="613" w:type="pct"/>
            <w:tcBorders>
              <w:tl2br w:val="nil"/>
              <w:tr2bl w:val="nil"/>
            </w:tcBorders>
            <w:noWrap w:val="0"/>
            <w:vAlign w:val="center"/>
          </w:tcPr>
          <w:p w14:paraId="4067E03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fldChar w:fldCharType="begin"/>
            </w:r>
            <w:r>
              <w:rPr>
                <w:rFonts w:hint="default" w:ascii="Times New Roman" w:hAnsi="Times New Roman" w:eastAsia="宋体" w:cs="Times New Roman"/>
                <w:kern w:val="0"/>
                <w:highlight w:val="none"/>
                <w:lang w:val="en-US" w:eastAsia="zh-CN"/>
              </w:rPr>
              <w:instrText xml:space="preserve"> = average(E14:E16) \* MERGEFORMAT </w:instrText>
            </w:r>
            <w:r>
              <w:rPr>
                <w:rFonts w:hint="default" w:ascii="Times New Roman" w:hAnsi="Times New Roman" w:eastAsia="宋体" w:cs="Times New Roman"/>
                <w:kern w:val="0"/>
                <w:highlight w:val="none"/>
                <w:lang w:val="en-US" w:eastAsia="zh-CN"/>
              </w:rPr>
              <w:fldChar w:fldCharType="separate"/>
            </w:r>
            <w:r>
              <w:rPr>
                <w:rFonts w:hint="default" w:ascii="Times New Roman" w:hAnsi="Times New Roman" w:eastAsia="宋体" w:cs="Times New Roman"/>
                <w:kern w:val="0"/>
                <w:highlight w:val="none"/>
                <w:lang w:val="en-US" w:eastAsia="zh-CN"/>
              </w:rPr>
              <w:t>1470</w:t>
            </w:r>
            <w:r>
              <w:rPr>
                <w:rFonts w:hint="default" w:ascii="Times New Roman" w:hAnsi="Times New Roman" w:eastAsia="宋体" w:cs="Times New Roman"/>
                <w:kern w:val="0"/>
                <w:highlight w:val="none"/>
                <w:lang w:val="en-US" w:eastAsia="zh-CN"/>
              </w:rPr>
              <w:fldChar w:fldCharType="end"/>
            </w:r>
          </w:p>
        </w:tc>
        <w:tc>
          <w:tcPr>
            <w:tcW w:w="465" w:type="pct"/>
            <w:tcBorders>
              <w:tl2br w:val="nil"/>
              <w:tr2bl w:val="nil"/>
            </w:tcBorders>
            <w:noWrap w:val="0"/>
            <w:vAlign w:val="center"/>
          </w:tcPr>
          <w:p w14:paraId="45B0EEE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5.9</w:t>
            </w:r>
          </w:p>
        </w:tc>
        <w:tc>
          <w:tcPr>
            <w:tcW w:w="706" w:type="pct"/>
            <w:tcBorders>
              <w:tl2br w:val="nil"/>
              <w:tr2bl w:val="nil"/>
            </w:tcBorders>
            <w:noWrap w:val="0"/>
            <w:vAlign w:val="center"/>
          </w:tcPr>
          <w:p w14:paraId="78E1D03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12</w:t>
            </w:r>
          </w:p>
        </w:tc>
        <w:tc>
          <w:tcPr>
            <w:tcW w:w="706" w:type="pct"/>
            <w:tcBorders>
              <w:tl2br w:val="nil"/>
              <w:tr2bl w:val="nil"/>
            </w:tcBorders>
            <w:noWrap w:val="0"/>
            <w:vAlign w:val="center"/>
          </w:tcPr>
          <w:p w14:paraId="15C5241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13</w:t>
            </w:r>
          </w:p>
        </w:tc>
        <w:tc>
          <w:tcPr>
            <w:tcW w:w="627" w:type="pct"/>
            <w:tcBorders>
              <w:tl2br w:val="nil"/>
              <w:tr2bl w:val="nil"/>
            </w:tcBorders>
            <w:noWrap w:val="0"/>
            <w:vAlign w:val="center"/>
          </w:tcPr>
          <w:p w14:paraId="43FE503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fldChar w:fldCharType="begin"/>
            </w:r>
            <w:r>
              <w:rPr>
                <w:rFonts w:hint="eastAsia" w:ascii="Times New Roman" w:hAnsi="Times New Roman" w:eastAsia="宋体" w:cs="Times New Roman"/>
                <w:kern w:val="0"/>
                <w:highlight w:val="none"/>
                <w:lang w:val="en-US" w:eastAsia="zh-CN"/>
              </w:rPr>
              <w:instrText xml:space="preserve"> = average(I22:I24) \* MERGEFORMAT </w:instrText>
            </w:r>
            <w:r>
              <w:rPr>
                <w:rFonts w:hint="eastAsia" w:ascii="Times New Roman" w:hAnsi="Times New Roman" w:eastAsia="宋体" w:cs="Times New Roman"/>
                <w:kern w:val="0"/>
                <w:highlight w:val="none"/>
                <w:lang w:val="en-US" w:eastAsia="zh-CN"/>
              </w:rPr>
              <w:fldChar w:fldCharType="separate"/>
            </w:r>
            <w:r>
              <w:rPr>
                <w:rFonts w:hint="eastAsia" w:ascii="Times New Roman" w:hAnsi="Times New Roman" w:eastAsia="宋体" w:cs="Times New Roman"/>
                <w:kern w:val="0"/>
                <w:highlight w:val="none"/>
                <w:lang w:val="en-US" w:eastAsia="zh-CN"/>
              </w:rPr>
              <w:t>1.71</w:t>
            </w:r>
            <w:r>
              <w:rPr>
                <w:rFonts w:hint="default" w:ascii="Times New Roman" w:hAnsi="Times New Roman" w:eastAsia="宋体" w:cs="Times New Roman"/>
                <w:kern w:val="0"/>
                <w:highlight w:val="none"/>
                <w:lang w:val="en-US" w:eastAsia="zh-CN"/>
              </w:rPr>
              <w:t>×10</w:t>
            </w:r>
            <w:r>
              <w:rPr>
                <w:rFonts w:hint="eastAsia" w:ascii="Times New Roman" w:hAnsi="Times New Roman" w:eastAsia="宋体" w:cs="Times New Roman"/>
                <w:kern w:val="0"/>
                <w:highlight w:val="none"/>
                <w:vertAlign w:val="superscript"/>
                <w:lang w:val="en-US" w:eastAsia="zh-CN"/>
              </w:rPr>
              <w:t>-2</w:t>
            </w:r>
            <w:r>
              <w:rPr>
                <w:rFonts w:hint="eastAsia" w:ascii="Times New Roman" w:hAnsi="Times New Roman" w:eastAsia="宋体" w:cs="Times New Roman"/>
                <w:kern w:val="0"/>
                <w:highlight w:val="none"/>
                <w:lang w:val="en-US" w:eastAsia="zh-CN"/>
              </w:rPr>
              <w:fldChar w:fldCharType="end"/>
            </w:r>
          </w:p>
        </w:tc>
      </w:tr>
      <w:tr w14:paraId="3C2B9B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000" w:type="pct"/>
            <w:gridSpan w:val="9"/>
            <w:tcBorders>
              <w:tl2br w:val="nil"/>
              <w:tr2bl w:val="nil"/>
            </w:tcBorders>
            <w:noWrap w:val="0"/>
            <w:vAlign w:val="center"/>
          </w:tcPr>
          <w:p w14:paraId="6D73BA7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highlight w:val="none"/>
                <w:lang w:val="en-US" w:eastAsia="zh-CN"/>
              </w:rPr>
            </w:pPr>
            <w:r>
              <w:rPr>
                <w:rFonts w:hint="default" w:ascii="Times New Roman" w:hAnsi="Times New Roman" w:eastAsia="宋体" w:cs="Times New Roman"/>
                <w:kern w:val="0"/>
                <w:highlight w:val="none"/>
                <w:lang w:val="en-US" w:eastAsia="zh-CN"/>
              </w:rPr>
              <w:t>备注：1、废气样品检测结果低于所列方法检出限时表示为“ND”，</w:t>
            </w:r>
          </w:p>
          <w:p w14:paraId="4D53B06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val="en-US" w:eastAsia="zh-CN"/>
              </w:rPr>
            </w:pPr>
            <w:r>
              <w:rPr>
                <w:rFonts w:hint="eastAsia" w:ascii="Times New Roman" w:hAnsi="Times New Roman" w:eastAsia="宋体" w:cs="Times New Roman"/>
                <w:kern w:val="0"/>
                <w:highlight w:val="none"/>
                <w:lang w:val="en-US" w:eastAsia="zh-CN"/>
              </w:rPr>
              <w:t>2、</w:t>
            </w:r>
            <w:r>
              <w:rPr>
                <w:rFonts w:hint="default" w:ascii="Times New Roman" w:hAnsi="Times New Roman" w:eastAsia="宋体" w:cs="Times New Roman"/>
                <w:kern w:val="0"/>
                <w:highlight w:val="none"/>
                <w:lang w:val="en-US" w:eastAsia="zh-CN"/>
              </w:rPr>
              <w:t>折算浓度基准氧按</w:t>
            </w:r>
            <w:r>
              <w:rPr>
                <w:rFonts w:hint="eastAsia" w:ascii="Times New Roman" w:hAnsi="Times New Roman" w:eastAsia="宋体" w:cs="Times New Roman"/>
                <w:kern w:val="0"/>
                <w:highlight w:val="none"/>
                <w:lang w:val="en-US" w:eastAsia="zh-CN"/>
              </w:rPr>
              <w:t>3.5</w:t>
            </w:r>
            <w:r>
              <w:rPr>
                <w:rFonts w:hint="default" w:ascii="Times New Roman" w:hAnsi="Times New Roman" w:eastAsia="宋体" w:cs="Times New Roman"/>
                <w:kern w:val="0"/>
                <w:highlight w:val="none"/>
                <w:lang w:val="en-US" w:eastAsia="zh-CN"/>
              </w:rPr>
              <w:t>%计算</w:t>
            </w:r>
            <w:r>
              <w:rPr>
                <w:rFonts w:hint="eastAsia" w:ascii="Times New Roman" w:hAnsi="Times New Roman" w:eastAsia="宋体" w:cs="Times New Roman"/>
                <w:kern w:val="0"/>
                <w:highlight w:val="none"/>
                <w:lang w:val="en-US" w:eastAsia="zh-CN"/>
              </w:rPr>
              <w:t>。</w:t>
            </w:r>
          </w:p>
        </w:tc>
      </w:tr>
    </w:tbl>
    <w:p w14:paraId="6BC3E06C">
      <w:pPr>
        <w:tabs>
          <w:tab w:val="left" w:pos="360"/>
        </w:tabs>
        <w:spacing w:line="480" w:lineRule="exact"/>
        <w:ind w:firstLine="480"/>
        <w:rPr>
          <w:rFonts w:cs="Times New Roman" w:eastAsiaTheme="minorEastAsia"/>
          <w:color w:val="auto"/>
          <w:sz w:val="24"/>
          <w:szCs w:val="24"/>
          <w:highlight w:val="yellow"/>
        </w:rPr>
      </w:pPr>
      <w:r>
        <w:rPr>
          <w:rFonts w:hint="eastAsia" w:ascii="Times New Roman" w:hAnsi="Times New Roman" w:eastAsia="宋体"/>
          <w:bCs/>
          <w:color w:val="auto"/>
          <w:sz w:val="24"/>
          <w:szCs w:val="24"/>
          <w:lang w:val="en-US" w:eastAsia="zh-CN"/>
        </w:rPr>
        <w:t>由上表可知，</w:t>
      </w:r>
      <w:r>
        <w:rPr>
          <w:rFonts w:ascii="Times New Roman" w:hAnsi="Times New Roman" w:eastAsia="宋体"/>
          <w:bCs/>
          <w:color w:val="auto"/>
          <w:sz w:val="24"/>
          <w:szCs w:val="24"/>
        </w:rPr>
        <w:t>燃气锅炉</w:t>
      </w:r>
      <w:r>
        <w:rPr>
          <w:rFonts w:hint="eastAsia" w:ascii="Times New Roman" w:hAnsi="Times New Roman" w:eastAsia="宋体"/>
          <w:bCs/>
          <w:color w:val="auto"/>
          <w:sz w:val="24"/>
          <w:szCs w:val="24"/>
        </w:rPr>
        <w:t>采取低氮燃烧后尾气经1根</w:t>
      </w:r>
      <w:r>
        <w:rPr>
          <w:rFonts w:ascii="Times New Roman" w:hAnsi="Times New Roman" w:eastAsia="宋体"/>
          <w:bCs/>
          <w:color w:val="auto"/>
          <w:sz w:val="24"/>
          <w:szCs w:val="24"/>
        </w:rPr>
        <w:t>15米高排气筒排放。按3.5%基准氧</w:t>
      </w:r>
      <w:r>
        <w:rPr>
          <w:rFonts w:hint="eastAsia" w:ascii="Times New Roman" w:hAnsi="Times New Roman" w:eastAsia="宋体"/>
          <w:bCs/>
          <w:color w:val="auto"/>
          <w:sz w:val="24"/>
          <w:szCs w:val="24"/>
        </w:rPr>
        <w:t>折算后污染物排放情况为：颗粒物</w:t>
      </w:r>
      <w:r>
        <w:rPr>
          <w:rFonts w:ascii="Times New Roman" w:hAnsi="Times New Roman" w:eastAsia="宋体"/>
          <w:bCs/>
          <w:color w:val="auto"/>
          <w:sz w:val="24"/>
          <w:szCs w:val="24"/>
        </w:rPr>
        <w:t>排放浓度为</w:t>
      </w:r>
      <w:r>
        <w:rPr>
          <w:rFonts w:hint="eastAsia" w:ascii="Times New Roman" w:hAnsi="Times New Roman" w:eastAsia="宋体"/>
          <w:bCs/>
          <w:color w:val="auto"/>
          <w:sz w:val="24"/>
          <w:szCs w:val="24"/>
        </w:rPr>
        <w:t>2.7</w:t>
      </w:r>
      <w:r>
        <w:rPr>
          <w:rFonts w:ascii="Times New Roman" w:hAnsi="Times New Roman" w:eastAsia="宋体"/>
          <w:bCs/>
          <w:color w:val="auto"/>
          <w:sz w:val="24"/>
          <w:szCs w:val="24"/>
        </w:rPr>
        <w:t>~</w:t>
      </w:r>
      <w:r>
        <w:rPr>
          <w:rFonts w:hint="eastAsia" w:ascii="Times New Roman" w:hAnsi="Times New Roman" w:eastAsia="宋体"/>
          <w:bCs/>
          <w:color w:val="auto"/>
          <w:sz w:val="24"/>
          <w:szCs w:val="24"/>
        </w:rPr>
        <w:t>3.9</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ascii="Times New Roman" w:hAnsi="Times New Roman" w:eastAsia="宋体"/>
          <w:bCs/>
          <w:color w:val="auto"/>
          <w:sz w:val="24"/>
          <w:szCs w:val="24"/>
        </w:rPr>
        <w:t>，排放速率为3.41×10</w:t>
      </w:r>
      <w:r>
        <w:rPr>
          <w:rFonts w:ascii="Times New Roman" w:hAnsi="Times New Roman" w:eastAsia="宋体"/>
          <w:bCs/>
          <w:color w:val="auto"/>
          <w:sz w:val="24"/>
          <w:szCs w:val="24"/>
          <w:vertAlign w:val="superscript"/>
        </w:rPr>
        <w:t>-3</w:t>
      </w:r>
      <w:r>
        <w:rPr>
          <w:rFonts w:ascii="Times New Roman" w:hAnsi="Times New Roman" w:eastAsia="宋体"/>
          <w:bCs/>
          <w:color w:val="auto"/>
          <w:sz w:val="24"/>
          <w:szCs w:val="24"/>
        </w:rPr>
        <w:t>~</w:t>
      </w:r>
      <w:bookmarkStart w:id="69" w:name="OLE_LINK77"/>
      <w:r>
        <w:rPr>
          <w:rFonts w:ascii="Times New Roman" w:hAnsi="Times New Roman" w:eastAsia="宋体"/>
          <w:bCs/>
          <w:color w:val="auto"/>
          <w:sz w:val="24"/>
          <w:szCs w:val="24"/>
        </w:rPr>
        <w:t>4.90×10</w:t>
      </w:r>
      <w:r>
        <w:rPr>
          <w:rFonts w:ascii="Times New Roman" w:hAnsi="Times New Roman" w:eastAsia="宋体"/>
          <w:bCs/>
          <w:color w:val="auto"/>
          <w:sz w:val="24"/>
          <w:szCs w:val="24"/>
          <w:vertAlign w:val="superscript"/>
        </w:rPr>
        <w:t>-3</w:t>
      </w:r>
      <w:bookmarkEnd w:id="69"/>
      <w:r>
        <w:rPr>
          <w:rFonts w:ascii="Times New Roman" w:hAnsi="Times New Roman" w:eastAsia="宋体"/>
          <w:bCs/>
          <w:color w:val="auto"/>
          <w:sz w:val="24"/>
          <w:szCs w:val="24"/>
        </w:rPr>
        <w:t>kg/h</w:t>
      </w:r>
      <w:r>
        <w:rPr>
          <w:rFonts w:hint="eastAsia" w:ascii="Times New Roman" w:hAnsi="Times New Roman" w:eastAsia="宋体"/>
          <w:bCs/>
          <w:color w:val="auto"/>
          <w:sz w:val="24"/>
          <w:szCs w:val="24"/>
        </w:rPr>
        <w:t>，二氧化硫未检出，氮氧化物</w:t>
      </w:r>
      <w:r>
        <w:rPr>
          <w:rFonts w:ascii="Times New Roman" w:hAnsi="Times New Roman" w:eastAsia="宋体"/>
          <w:bCs/>
          <w:color w:val="auto"/>
          <w:sz w:val="24"/>
          <w:szCs w:val="24"/>
        </w:rPr>
        <w:t>排放浓度为</w:t>
      </w:r>
      <w:r>
        <w:rPr>
          <w:rFonts w:hint="eastAsia" w:ascii="Times New Roman" w:hAnsi="Times New Roman" w:eastAsia="宋体"/>
          <w:bCs/>
          <w:color w:val="auto"/>
          <w:sz w:val="24"/>
          <w:szCs w:val="24"/>
        </w:rPr>
        <w:t>10</w:t>
      </w:r>
      <w:r>
        <w:rPr>
          <w:rFonts w:ascii="Times New Roman" w:hAnsi="Times New Roman" w:eastAsia="宋体"/>
          <w:bCs/>
          <w:color w:val="auto"/>
          <w:sz w:val="24"/>
          <w:szCs w:val="24"/>
        </w:rPr>
        <w:t>~</w:t>
      </w:r>
      <w:r>
        <w:rPr>
          <w:rFonts w:hint="eastAsia" w:ascii="Times New Roman" w:hAnsi="Times New Roman" w:eastAsia="宋体"/>
          <w:bCs/>
          <w:color w:val="auto"/>
          <w:sz w:val="24"/>
          <w:szCs w:val="24"/>
        </w:rPr>
        <w:t>17</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ascii="Times New Roman" w:hAnsi="Times New Roman" w:eastAsia="宋体"/>
          <w:bCs/>
          <w:color w:val="auto"/>
          <w:sz w:val="24"/>
          <w:szCs w:val="24"/>
        </w:rPr>
        <w:t>，排放速率为1.34×10</w:t>
      </w:r>
      <w:r>
        <w:rPr>
          <w:rFonts w:ascii="Times New Roman" w:hAnsi="Times New Roman" w:eastAsia="宋体"/>
          <w:bCs/>
          <w:color w:val="auto"/>
          <w:sz w:val="24"/>
          <w:szCs w:val="24"/>
          <w:vertAlign w:val="superscript"/>
        </w:rPr>
        <w:t>-2</w:t>
      </w:r>
      <w:r>
        <w:rPr>
          <w:rFonts w:ascii="Times New Roman" w:hAnsi="Times New Roman" w:eastAsia="宋体"/>
          <w:bCs/>
          <w:color w:val="auto"/>
          <w:sz w:val="24"/>
          <w:szCs w:val="24"/>
        </w:rPr>
        <w:t>~</w:t>
      </w:r>
      <w:bookmarkStart w:id="70" w:name="OLE_LINK78"/>
      <w:r>
        <w:rPr>
          <w:rFonts w:ascii="Times New Roman" w:hAnsi="Times New Roman" w:eastAsia="宋体"/>
          <w:bCs/>
          <w:color w:val="auto"/>
          <w:sz w:val="24"/>
          <w:szCs w:val="24"/>
        </w:rPr>
        <w:t>2.22×10</w:t>
      </w:r>
      <w:r>
        <w:rPr>
          <w:rFonts w:ascii="Times New Roman" w:hAnsi="Times New Roman" w:eastAsia="宋体"/>
          <w:bCs/>
          <w:color w:val="auto"/>
          <w:sz w:val="24"/>
          <w:szCs w:val="24"/>
          <w:vertAlign w:val="superscript"/>
        </w:rPr>
        <w:t>-2</w:t>
      </w:r>
      <w:bookmarkEnd w:id="70"/>
      <w:r>
        <w:rPr>
          <w:rFonts w:ascii="Times New Roman" w:hAnsi="Times New Roman" w:eastAsia="宋体"/>
          <w:bCs/>
          <w:color w:val="auto"/>
          <w:sz w:val="24"/>
          <w:szCs w:val="24"/>
        </w:rPr>
        <w:t>kg/h</w:t>
      </w:r>
      <w:r>
        <w:rPr>
          <w:rFonts w:hint="eastAsia" w:ascii="Times New Roman" w:hAnsi="Times New Roman" w:eastAsia="宋体"/>
          <w:bCs/>
          <w:color w:val="auto"/>
          <w:sz w:val="24"/>
          <w:szCs w:val="24"/>
        </w:rPr>
        <w:t>，</w:t>
      </w:r>
      <w:r>
        <w:rPr>
          <w:rFonts w:ascii="Times New Roman" w:hAnsi="Times New Roman" w:eastAsia="宋体"/>
          <w:bCs/>
          <w:color w:val="auto"/>
          <w:sz w:val="24"/>
          <w:szCs w:val="24"/>
        </w:rPr>
        <w:t>能够满足《锅炉大气污染物排放标准》（DB41/2089—2021）表1常规大气污染物-燃气锅炉在基准含氧量3.5%的条件下，颗粒物＜5mg/m</w:t>
      </w:r>
      <w:r>
        <w:rPr>
          <w:rFonts w:ascii="Times New Roman" w:hAnsi="Times New Roman" w:eastAsia="宋体"/>
          <w:bCs/>
          <w:color w:val="auto"/>
          <w:sz w:val="24"/>
          <w:szCs w:val="24"/>
          <w:vertAlign w:val="superscript"/>
        </w:rPr>
        <w:t>3</w:t>
      </w:r>
      <w:r>
        <w:rPr>
          <w:rFonts w:ascii="Times New Roman" w:hAnsi="Times New Roman" w:eastAsia="宋体"/>
          <w:bCs/>
          <w:color w:val="auto"/>
          <w:sz w:val="24"/>
          <w:szCs w:val="24"/>
        </w:rPr>
        <w:t>、二氧化硫＜10mg/m</w:t>
      </w:r>
      <w:r>
        <w:rPr>
          <w:rFonts w:ascii="Times New Roman" w:hAnsi="Times New Roman" w:eastAsia="宋体"/>
          <w:bCs/>
          <w:color w:val="auto"/>
          <w:sz w:val="24"/>
          <w:szCs w:val="24"/>
          <w:vertAlign w:val="superscript"/>
        </w:rPr>
        <w:t>3</w:t>
      </w:r>
      <w:r>
        <w:rPr>
          <w:rFonts w:ascii="Times New Roman" w:hAnsi="Times New Roman" w:eastAsia="宋体"/>
          <w:bCs/>
          <w:color w:val="auto"/>
          <w:sz w:val="24"/>
          <w:szCs w:val="24"/>
        </w:rPr>
        <w:t>、氮氧化物＜30mg/m</w:t>
      </w:r>
      <w:r>
        <w:rPr>
          <w:rFonts w:ascii="Times New Roman" w:hAnsi="Times New Roman" w:eastAsia="宋体"/>
          <w:bCs/>
          <w:color w:val="auto"/>
          <w:sz w:val="24"/>
          <w:szCs w:val="24"/>
          <w:vertAlign w:val="superscript"/>
        </w:rPr>
        <w:t>3</w:t>
      </w:r>
      <w:r>
        <w:rPr>
          <w:rFonts w:ascii="Times New Roman" w:hAnsi="Times New Roman" w:eastAsia="宋体"/>
          <w:bCs/>
          <w:color w:val="auto"/>
          <w:sz w:val="24"/>
          <w:szCs w:val="24"/>
        </w:rPr>
        <w:t>的限值要求</w:t>
      </w:r>
      <w:r>
        <w:rPr>
          <w:rFonts w:hint="eastAsia" w:ascii="Times New Roman" w:hAnsi="Times New Roman" w:eastAsia="宋体"/>
          <w:bCs/>
          <w:color w:val="auto"/>
          <w:sz w:val="24"/>
          <w:szCs w:val="24"/>
        </w:rPr>
        <w:t>。</w:t>
      </w:r>
    </w:p>
    <w:p w14:paraId="0B637053">
      <w:pPr>
        <w:pStyle w:val="59"/>
        <w:ind w:firstLine="0" w:firstLineChars="0"/>
        <w:rPr>
          <w:b/>
          <w:bCs/>
          <w:sz w:val="28"/>
          <w:szCs w:val="32"/>
          <w:highlight w:val="none"/>
        </w:rPr>
      </w:pPr>
      <w:bookmarkStart w:id="71" w:name="_Toc501703559"/>
      <w:r>
        <w:rPr>
          <w:b/>
          <w:bCs/>
          <w:sz w:val="28"/>
          <w:szCs w:val="32"/>
          <w:highlight w:val="none"/>
        </w:rPr>
        <w:t>9.2.3噪声监测结果与评价</w:t>
      </w:r>
      <w:bookmarkEnd w:id="71"/>
    </w:p>
    <w:p w14:paraId="678B3B57">
      <w:pPr>
        <w:spacing w:line="500" w:lineRule="exact"/>
        <w:ind w:firstLine="480" w:firstLineChars="200"/>
        <w:textAlignment w:val="baseline"/>
        <w:rPr>
          <w:rFonts w:cs="Times New Roman"/>
          <w:sz w:val="24"/>
          <w:highlight w:val="none"/>
        </w:rPr>
      </w:pPr>
      <w:r>
        <w:rPr>
          <w:rFonts w:cs="Times New Roman"/>
          <w:sz w:val="24"/>
          <w:highlight w:val="none"/>
        </w:rPr>
        <w:t>项目噪声监测结果见下表。</w:t>
      </w:r>
    </w:p>
    <w:p w14:paraId="68A7DE5E">
      <w:pPr>
        <w:pStyle w:val="37"/>
        <w:spacing w:line="500" w:lineRule="exact"/>
        <w:ind w:firstLine="480"/>
        <w:rPr>
          <w:rFonts w:ascii="Times New Roman" w:hAnsi="Times New Roman" w:cs="Times New Roman"/>
          <w:spacing w:val="0"/>
          <w:position w:val="0"/>
          <w:highlight w:val="none"/>
        </w:rPr>
      </w:pPr>
      <w:r>
        <w:rPr>
          <w:rFonts w:ascii="Times New Roman" w:hAnsi="Times New Roman" w:cs="Times New Roman"/>
          <w:spacing w:val="0"/>
          <w:position w:val="0"/>
          <w:highlight w:val="none"/>
        </w:rPr>
        <w:t>表</w:t>
      </w:r>
      <w:r>
        <w:rPr>
          <w:rFonts w:hint="eastAsia" w:ascii="Times New Roman" w:hAnsi="Times New Roman" w:cs="Times New Roman"/>
          <w:spacing w:val="0"/>
          <w:position w:val="0"/>
          <w:highlight w:val="none"/>
          <w:lang w:val="en-US" w:eastAsia="zh-CN"/>
        </w:rPr>
        <w:t>9-3</w:t>
      </w:r>
      <w:r>
        <w:rPr>
          <w:rFonts w:ascii="Times New Roman" w:hAnsi="Times New Roman" w:cs="Times New Roman"/>
          <w:spacing w:val="0"/>
          <w:position w:val="0"/>
          <w:highlight w:val="none"/>
        </w:rPr>
        <w:t xml:space="preserve">                噪声检测结果              </w:t>
      </w:r>
      <w:r>
        <w:rPr>
          <w:rFonts w:hint="eastAsia" w:ascii="Times New Roman" w:hAnsi="Times New Roman" w:cs="Times New Roman"/>
          <w:spacing w:val="0"/>
          <w:position w:val="0"/>
          <w:highlight w:val="none"/>
        </w:rPr>
        <w:t>单位：</w:t>
      </w:r>
      <w:r>
        <w:rPr>
          <w:rFonts w:ascii="Times New Roman" w:hAnsi="Times New Roman" w:cs="Times New Roman"/>
          <w:spacing w:val="0"/>
          <w:position w:val="0"/>
          <w:highlight w:val="none"/>
        </w:rPr>
        <w:t>dB(A)</w:t>
      </w:r>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041"/>
        <w:gridCol w:w="827"/>
        <w:gridCol w:w="835"/>
        <w:gridCol w:w="726"/>
        <w:gridCol w:w="952"/>
        <w:gridCol w:w="733"/>
        <w:gridCol w:w="835"/>
        <w:gridCol w:w="726"/>
        <w:gridCol w:w="953"/>
        <w:gridCol w:w="734"/>
      </w:tblGrid>
      <w:tr w14:paraId="47A219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97" w:hRule="atLeast"/>
          <w:jc w:val="center"/>
        </w:trPr>
        <w:tc>
          <w:tcPr>
            <w:tcW w:w="623" w:type="pct"/>
            <w:vMerge w:val="restart"/>
            <w:tcBorders>
              <w:tl2br w:val="nil"/>
              <w:tr2bl w:val="nil"/>
            </w:tcBorders>
            <w:vAlign w:val="center"/>
          </w:tcPr>
          <w:p w14:paraId="28333364">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
                <w:bCs/>
                <w:highlight w:val="none"/>
              </w:rPr>
            </w:pPr>
            <w:r>
              <w:rPr>
                <w:rFonts w:hint="eastAsia" w:ascii="Times New Roman" w:hAnsi="Times New Roman" w:eastAsia="宋体" w:cs="Times New Roman"/>
                <w:b/>
                <w:bCs/>
                <w:highlight w:val="none"/>
              </w:rPr>
              <w:t>检测</w:t>
            </w:r>
          </w:p>
          <w:p w14:paraId="005D8967">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
                <w:bCs/>
                <w:highlight w:val="none"/>
              </w:rPr>
            </w:pPr>
            <w:r>
              <w:rPr>
                <w:rFonts w:hint="eastAsia" w:ascii="Times New Roman" w:hAnsi="Times New Roman" w:eastAsia="宋体" w:cs="Times New Roman"/>
                <w:b/>
                <w:bCs/>
                <w:highlight w:val="none"/>
              </w:rPr>
              <w:t>日期</w:t>
            </w:r>
          </w:p>
        </w:tc>
        <w:tc>
          <w:tcPr>
            <w:tcW w:w="495" w:type="pct"/>
            <w:vMerge w:val="restart"/>
            <w:tcBorders>
              <w:tl2br w:val="nil"/>
              <w:tr2bl w:val="nil"/>
            </w:tcBorders>
            <w:vAlign w:val="center"/>
          </w:tcPr>
          <w:p w14:paraId="728AB313">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
                <w:bCs/>
                <w:highlight w:val="none"/>
              </w:rPr>
            </w:pPr>
            <w:r>
              <w:rPr>
                <w:rFonts w:hint="eastAsia" w:ascii="Times New Roman" w:hAnsi="Times New Roman" w:eastAsia="宋体" w:cs="Times New Roman"/>
                <w:b/>
                <w:bCs/>
                <w:highlight w:val="none"/>
              </w:rPr>
              <w:t>检测</w:t>
            </w:r>
          </w:p>
          <w:p w14:paraId="15D2BD9F">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
                <w:bCs/>
                <w:highlight w:val="none"/>
              </w:rPr>
            </w:pPr>
            <w:r>
              <w:rPr>
                <w:rFonts w:hint="eastAsia" w:ascii="Times New Roman" w:hAnsi="Times New Roman" w:eastAsia="宋体" w:cs="Times New Roman"/>
                <w:b/>
                <w:bCs/>
                <w:highlight w:val="none"/>
              </w:rPr>
              <w:t>点位</w:t>
            </w:r>
          </w:p>
        </w:tc>
        <w:tc>
          <w:tcPr>
            <w:tcW w:w="1940" w:type="pct"/>
            <w:gridSpan w:val="4"/>
            <w:tcBorders>
              <w:tl2br w:val="nil"/>
              <w:tr2bl w:val="nil"/>
            </w:tcBorders>
            <w:vAlign w:val="center"/>
          </w:tcPr>
          <w:p w14:paraId="11A0BA53">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
                <w:bCs/>
                <w:highlight w:val="none"/>
              </w:rPr>
            </w:pPr>
            <w:r>
              <w:rPr>
                <w:rFonts w:hint="eastAsia" w:ascii="Times New Roman" w:hAnsi="Times New Roman" w:eastAsia="宋体" w:cs="Times New Roman"/>
                <w:b/>
                <w:bCs/>
                <w:highlight w:val="none"/>
              </w:rPr>
              <w:t>昼间</w:t>
            </w:r>
          </w:p>
        </w:tc>
        <w:tc>
          <w:tcPr>
            <w:tcW w:w="1941" w:type="pct"/>
            <w:gridSpan w:val="4"/>
            <w:tcBorders>
              <w:tl2br w:val="nil"/>
              <w:tr2bl w:val="nil"/>
            </w:tcBorders>
            <w:vAlign w:val="center"/>
          </w:tcPr>
          <w:p w14:paraId="75DA8B27">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
                <w:bCs/>
                <w:highlight w:val="none"/>
              </w:rPr>
            </w:pPr>
          </w:p>
        </w:tc>
      </w:tr>
      <w:tr w14:paraId="355707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623" w:type="pct"/>
            <w:vMerge w:val="continue"/>
            <w:tcBorders>
              <w:tl2br w:val="nil"/>
              <w:tr2bl w:val="nil"/>
            </w:tcBorders>
            <w:vAlign w:val="center"/>
          </w:tcPr>
          <w:p w14:paraId="29B08C54">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
                <w:bCs/>
                <w:highlight w:val="none"/>
              </w:rPr>
            </w:pPr>
          </w:p>
        </w:tc>
        <w:tc>
          <w:tcPr>
            <w:tcW w:w="495" w:type="pct"/>
            <w:vMerge w:val="continue"/>
            <w:tcBorders>
              <w:tl2br w:val="nil"/>
              <w:tr2bl w:val="nil"/>
            </w:tcBorders>
            <w:vAlign w:val="center"/>
          </w:tcPr>
          <w:p w14:paraId="1E14E4EF">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
                <w:bCs/>
                <w:highlight w:val="none"/>
              </w:rPr>
            </w:pPr>
          </w:p>
        </w:tc>
        <w:tc>
          <w:tcPr>
            <w:tcW w:w="499" w:type="pct"/>
            <w:tcBorders>
              <w:tl2br w:val="nil"/>
              <w:tr2bl w:val="nil"/>
            </w:tcBorders>
            <w:vAlign w:val="center"/>
          </w:tcPr>
          <w:p w14:paraId="634596E0">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
                <w:bCs/>
                <w:highlight w:val="none"/>
              </w:rPr>
            </w:pPr>
            <w:r>
              <w:rPr>
                <w:rFonts w:hint="eastAsia" w:ascii="Times New Roman" w:hAnsi="Times New Roman" w:eastAsia="宋体" w:cs="Times New Roman"/>
                <w:b/>
                <w:bCs/>
                <w:highlight w:val="none"/>
              </w:rPr>
              <w:t>时间</w:t>
            </w:r>
          </w:p>
        </w:tc>
        <w:tc>
          <w:tcPr>
            <w:tcW w:w="434" w:type="pct"/>
            <w:tcBorders>
              <w:tl2br w:val="nil"/>
              <w:tr2bl w:val="nil"/>
            </w:tcBorders>
            <w:vAlign w:val="center"/>
          </w:tcPr>
          <w:p w14:paraId="4FCB919A">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
                <w:bCs/>
                <w:highlight w:val="none"/>
              </w:rPr>
            </w:pPr>
            <w:r>
              <w:rPr>
                <w:rFonts w:hint="eastAsia" w:ascii="Times New Roman" w:hAnsi="Times New Roman" w:eastAsia="宋体" w:cs="Times New Roman"/>
                <w:b/>
                <w:bCs/>
                <w:highlight w:val="none"/>
              </w:rPr>
              <w:t>检测</w:t>
            </w:r>
          </w:p>
          <w:p w14:paraId="6A5FA3CF">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
                <w:bCs/>
                <w:highlight w:val="none"/>
              </w:rPr>
            </w:pPr>
            <w:r>
              <w:rPr>
                <w:rFonts w:hint="eastAsia" w:ascii="Times New Roman" w:hAnsi="Times New Roman" w:eastAsia="宋体" w:cs="Times New Roman"/>
                <w:b/>
                <w:bCs/>
                <w:highlight w:val="none"/>
              </w:rPr>
              <w:t>结果</w:t>
            </w:r>
          </w:p>
        </w:tc>
        <w:tc>
          <w:tcPr>
            <w:tcW w:w="569" w:type="pct"/>
            <w:tcBorders>
              <w:tl2br w:val="nil"/>
              <w:tr2bl w:val="nil"/>
            </w:tcBorders>
            <w:vAlign w:val="center"/>
          </w:tcPr>
          <w:p w14:paraId="6BBD62DD">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
                <w:bCs/>
                <w:highlight w:val="none"/>
              </w:rPr>
            </w:pPr>
            <w:r>
              <w:rPr>
                <w:rFonts w:hint="eastAsia" w:ascii="Times New Roman" w:hAnsi="Times New Roman" w:eastAsia="宋体" w:cs="Times New Roman"/>
                <w:b/>
                <w:bCs/>
                <w:highlight w:val="none"/>
              </w:rPr>
              <w:t>风速</w:t>
            </w:r>
            <w:r>
              <w:rPr>
                <w:rFonts w:hint="default" w:ascii="Times New Roman" w:hAnsi="Times New Roman" w:eastAsia="宋体" w:cs="Times New Roman"/>
                <w:b/>
                <w:bCs/>
                <w:highlight w:val="none"/>
              </w:rPr>
              <w:t>（m/s）</w:t>
            </w:r>
          </w:p>
        </w:tc>
        <w:tc>
          <w:tcPr>
            <w:tcW w:w="435" w:type="pct"/>
            <w:tcBorders>
              <w:tl2br w:val="nil"/>
              <w:tr2bl w:val="nil"/>
            </w:tcBorders>
            <w:vAlign w:val="center"/>
          </w:tcPr>
          <w:p w14:paraId="0EFC3629">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
                <w:bCs/>
                <w:highlight w:val="none"/>
              </w:rPr>
            </w:pPr>
            <w:r>
              <w:rPr>
                <w:rFonts w:hint="eastAsia" w:ascii="Times New Roman" w:hAnsi="Times New Roman" w:eastAsia="宋体" w:cs="Times New Roman"/>
                <w:b/>
                <w:bCs/>
                <w:highlight w:val="none"/>
              </w:rPr>
              <w:t>风向</w:t>
            </w:r>
          </w:p>
        </w:tc>
        <w:tc>
          <w:tcPr>
            <w:tcW w:w="499" w:type="pct"/>
            <w:tcBorders>
              <w:tl2br w:val="nil"/>
              <w:tr2bl w:val="nil"/>
            </w:tcBorders>
            <w:vAlign w:val="center"/>
          </w:tcPr>
          <w:p w14:paraId="2414FD02">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
                <w:bCs/>
                <w:highlight w:val="none"/>
              </w:rPr>
            </w:pPr>
            <w:r>
              <w:rPr>
                <w:rFonts w:hint="eastAsia" w:ascii="Times New Roman" w:hAnsi="Times New Roman" w:eastAsia="宋体" w:cs="Times New Roman"/>
                <w:b/>
                <w:bCs/>
                <w:highlight w:val="none"/>
              </w:rPr>
              <w:t>时间</w:t>
            </w:r>
          </w:p>
        </w:tc>
        <w:tc>
          <w:tcPr>
            <w:tcW w:w="434" w:type="pct"/>
            <w:tcBorders>
              <w:tl2br w:val="nil"/>
              <w:tr2bl w:val="nil"/>
            </w:tcBorders>
            <w:vAlign w:val="center"/>
          </w:tcPr>
          <w:p w14:paraId="240342CD">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
                <w:bCs/>
                <w:highlight w:val="none"/>
              </w:rPr>
            </w:pPr>
            <w:r>
              <w:rPr>
                <w:rFonts w:hint="eastAsia" w:ascii="Times New Roman" w:hAnsi="Times New Roman" w:eastAsia="宋体" w:cs="Times New Roman"/>
                <w:b/>
                <w:bCs/>
                <w:highlight w:val="none"/>
              </w:rPr>
              <w:t>检测</w:t>
            </w:r>
          </w:p>
          <w:p w14:paraId="08C48E54">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
                <w:bCs/>
                <w:highlight w:val="none"/>
              </w:rPr>
            </w:pPr>
            <w:r>
              <w:rPr>
                <w:rFonts w:hint="eastAsia" w:ascii="Times New Roman" w:hAnsi="Times New Roman" w:eastAsia="宋体" w:cs="Times New Roman"/>
                <w:b/>
                <w:bCs/>
                <w:highlight w:val="none"/>
              </w:rPr>
              <w:t>结果</w:t>
            </w:r>
          </w:p>
        </w:tc>
        <w:tc>
          <w:tcPr>
            <w:tcW w:w="570" w:type="pct"/>
            <w:tcBorders>
              <w:tl2br w:val="nil"/>
              <w:tr2bl w:val="nil"/>
            </w:tcBorders>
            <w:vAlign w:val="center"/>
          </w:tcPr>
          <w:p w14:paraId="3D228E6E">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
                <w:bCs/>
                <w:highlight w:val="none"/>
              </w:rPr>
            </w:pPr>
            <w:r>
              <w:rPr>
                <w:rFonts w:hint="eastAsia" w:ascii="Times New Roman" w:hAnsi="Times New Roman" w:eastAsia="宋体" w:cs="Times New Roman"/>
                <w:b/>
                <w:bCs/>
                <w:highlight w:val="none"/>
              </w:rPr>
              <w:t>风速</w:t>
            </w:r>
            <w:r>
              <w:rPr>
                <w:rFonts w:hint="default" w:ascii="Times New Roman" w:hAnsi="Times New Roman" w:eastAsia="宋体" w:cs="Times New Roman"/>
                <w:b/>
                <w:bCs/>
                <w:highlight w:val="none"/>
              </w:rPr>
              <w:t>（m/s）</w:t>
            </w:r>
          </w:p>
        </w:tc>
        <w:tc>
          <w:tcPr>
            <w:tcW w:w="436" w:type="pct"/>
            <w:tcBorders>
              <w:tl2br w:val="nil"/>
              <w:tr2bl w:val="nil"/>
            </w:tcBorders>
            <w:vAlign w:val="center"/>
          </w:tcPr>
          <w:p w14:paraId="2CED6606">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b/>
                <w:bCs/>
                <w:highlight w:val="none"/>
              </w:rPr>
            </w:pPr>
            <w:r>
              <w:rPr>
                <w:rFonts w:hint="eastAsia" w:ascii="Times New Roman" w:hAnsi="Times New Roman" w:eastAsia="宋体" w:cs="Times New Roman"/>
                <w:b/>
                <w:bCs/>
                <w:highlight w:val="none"/>
              </w:rPr>
              <w:t>风向</w:t>
            </w:r>
          </w:p>
        </w:tc>
      </w:tr>
      <w:tr w14:paraId="4C36ED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623" w:type="pct"/>
            <w:tcBorders>
              <w:tl2br w:val="nil"/>
              <w:tr2bl w:val="nil"/>
            </w:tcBorders>
            <w:vAlign w:val="center"/>
          </w:tcPr>
          <w:p w14:paraId="6E8C3A92">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highlight w:val="none"/>
              </w:rPr>
            </w:pPr>
            <w:r>
              <w:rPr>
                <w:rFonts w:hint="eastAsia" w:ascii="Times New Roman" w:hAnsi="Times New Roman" w:eastAsia="宋体" w:cs="Times New Roman"/>
                <w:highlight w:val="none"/>
              </w:rPr>
              <w:t>2026.</w:t>
            </w:r>
          </w:p>
          <w:p w14:paraId="0CA676F6">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highlight w:val="none"/>
              </w:rPr>
            </w:pPr>
            <w:r>
              <w:rPr>
                <w:rFonts w:hint="eastAsia" w:ascii="Times New Roman" w:hAnsi="Times New Roman" w:eastAsia="宋体" w:cs="Times New Roman"/>
                <w:highlight w:val="none"/>
              </w:rPr>
              <w:t>04.23</w:t>
            </w:r>
          </w:p>
        </w:tc>
        <w:tc>
          <w:tcPr>
            <w:tcW w:w="495" w:type="pct"/>
            <w:tcBorders>
              <w:tl2br w:val="nil"/>
              <w:tr2bl w:val="nil"/>
            </w:tcBorders>
            <w:vAlign w:val="center"/>
          </w:tcPr>
          <w:p w14:paraId="351040F1">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highlight w:val="none"/>
              </w:rPr>
            </w:pPr>
            <w:r>
              <w:rPr>
                <w:rFonts w:hint="eastAsia" w:ascii="Times New Roman" w:hAnsi="Times New Roman" w:eastAsia="宋体" w:cs="Times New Roman"/>
                <w:highlight w:val="none"/>
              </w:rPr>
              <w:t>厂界南</w:t>
            </w:r>
          </w:p>
        </w:tc>
        <w:tc>
          <w:tcPr>
            <w:tcW w:w="499" w:type="pct"/>
            <w:tcBorders>
              <w:tl2br w:val="nil"/>
              <w:tr2bl w:val="nil"/>
            </w:tcBorders>
            <w:vAlign w:val="center"/>
          </w:tcPr>
          <w:p w14:paraId="7ACB84DF">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highlight w:val="none"/>
              </w:rPr>
            </w:pPr>
            <w:r>
              <w:rPr>
                <w:rFonts w:hint="eastAsia" w:ascii="Times New Roman" w:hAnsi="Times New Roman" w:eastAsia="宋体" w:cs="Times New Roman"/>
                <w:highlight w:val="none"/>
              </w:rPr>
              <w:t>16:00</w:t>
            </w:r>
          </w:p>
        </w:tc>
        <w:tc>
          <w:tcPr>
            <w:tcW w:w="434" w:type="pct"/>
            <w:tcBorders>
              <w:tl2br w:val="nil"/>
              <w:tr2bl w:val="nil"/>
            </w:tcBorders>
            <w:vAlign w:val="center"/>
          </w:tcPr>
          <w:p w14:paraId="6DB7A6DF">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highlight w:val="none"/>
              </w:rPr>
            </w:pPr>
            <w:r>
              <w:rPr>
                <w:rFonts w:hint="eastAsia" w:ascii="Times New Roman" w:hAnsi="Times New Roman" w:eastAsia="宋体" w:cs="Times New Roman"/>
                <w:highlight w:val="none"/>
              </w:rPr>
              <w:t>56</w:t>
            </w:r>
          </w:p>
        </w:tc>
        <w:tc>
          <w:tcPr>
            <w:tcW w:w="569" w:type="pct"/>
            <w:tcBorders>
              <w:tl2br w:val="nil"/>
              <w:tr2bl w:val="nil"/>
            </w:tcBorders>
            <w:vAlign w:val="center"/>
          </w:tcPr>
          <w:p w14:paraId="2016416E">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highlight w:val="none"/>
              </w:rPr>
            </w:pPr>
            <w:r>
              <w:rPr>
                <w:rFonts w:hint="eastAsia" w:ascii="Times New Roman" w:hAnsi="Times New Roman" w:eastAsia="宋体" w:cs="Times New Roman"/>
                <w:highlight w:val="none"/>
              </w:rPr>
              <w:t>1.8</w:t>
            </w:r>
          </w:p>
        </w:tc>
        <w:tc>
          <w:tcPr>
            <w:tcW w:w="435" w:type="pct"/>
            <w:tcBorders>
              <w:tl2br w:val="nil"/>
              <w:tr2bl w:val="nil"/>
            </w:tcBorders>
            <w:vAlign w:val="center"/>
          </w:tcPr>
          <w:p w14:paraId="4977684F">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highlight w:val="none"/>
              </w:rPr>
            </w:pPr>
            <w:r>
              <w:rPr>
                <w:rFonts w:hint="eastAsia" w:ascii="Times New Roman" w:hAnsi="Times New Roman" w:eastAsia="宋体" w:cs="Times New Roman"/>
                <w:highlight w:val="none"/>
              </w:rPr>
              <w:t>北</w:t>
            </w:r>
          </w:p>
        </w:tc>
        <w:tc>
          <w:tcPr>
            <w:tcW w:w="499" w:type="pct"/>
            <w:tcBorders>
              <w:tl2br w:val="nil"/>
              <w:tr2bl w:val="nil"/>
            </w:tcBorders>
            <w:vAlign w:val="center"/>
          </w:tcPr>
          <w:p w14:paraId="5063C2BE">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highlight w:val="none"/>
              </w:rPr>
            </w:pPr>
            <w:r>
              <w:rPr>
                <w:rFonts w:hint="eastAsia" w:ascii="Times New Roman" w:hAnsi="Times New Roman" w:eastAsia="宋体" w:cs="Times New Roman"/>
                <w:highlight w:val="none"/>
              </w:rPr>
              <w:t>22:01</w:t>
            </w:r>
          </w:p>
        </w:tc>
        <w:tc>
          <w:tcPr>
            <w:tcW w:w="434" w:type="pct"/>
            <w:tcBorders>
              <w:tl2br w:val="nil"/>
              <w:tr2bl w:val="nil"/>
            </w:tcBorders>
            <w:vAlign w:val="center"/>
          </w:tcPr>
          <w:p w14:paraId="247FBB69">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highlight w:val="none"/>
              </w:rPr>
            </w:pPr>
            <w:r>
              <w:rPr>
                <w:rFonts w:hint="eastAsia" w:ascii="Times New Roman" w:hAnsi="Times New Roman" w:eastAsia="宋体" w:cs="Times New Roman"/>
                <w:highlight w:val="none"/>
              </w:rPr>
              <w:t>47</w:t>
            </w:r>
          </w:p>
        </w:tc>
        <w:tc>
          <w:tcPr>
            <w:tcW w:w="570" w:type="pct"/>
            <w:tcBorders>
              <w:tl2br w:val="nil"/>
              <w:tr2bl w:val="nil"/>
            </w:tcBorders>
            <w:vAlign w:val="center"/>
          </w:tcPr>
          <w:p w14:paraId="62CC316B">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highlight w:val="none"/>
              </w:rPr>
            </w:pPr>
            <w:r>
              <w:rPr>
                <w:rFonts w:hint="eastAsia" w:ascii="Times New Roman" w:hAnsi="Times New Roman" w:eastAsia="宋体" w:cs="Times New Roman"/>
                <w:highlight w:val="none"/>
              </w:rPr>
              <w:t>2.1</w:t>
            </w:r>
          </w:p>
        </w:tc>
        <w:tc>
          <w:tcPr>
            <w:tcW w:w="436" w:type="pct"/>
            <w:tcBorders>
              <w:tl2br w:val="nil"/>
              <w:tr2bl w:val="nil"/>
            </w:tcBorders>
            <w:vAlign w:val="center"/>
          </w:tcPr>
          <w:p w14:paraId="1037A616">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highlight w:val="none"/>
              </w:rPr>
            </w:pPr>
            <w:r>
              <w:rPr>
                <w:rFonts w:hint="eastAsia" w:ascii="Times New Roman" w:hAnsi="Times New Roman" w:eastAsia="宋体" w:cs="Times New Roman"/>
                <w:highlight w:val="none"/>
              </w:rPr>
              <w:t>北</w:t>
            </w:r>
          </w:p>
        </w:tc>
      </w:tr>
      <w:tr w14:paraId="22F732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623" w:type="pct"/>
            <w:tcBorders>
              <w:tl2br w:val="nil"/>
              <w:tr2bl w:val="nil"/>
            </w:tcBorders>
            <w:vAlign w:val="center"/>
          </w:tcPr>
          <w:p w14:paraId="40FC5587">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highlight w:val="none"/>
              </w:rPr>
            </w:pPr>
            <w:r>
              <w:rPr>
                <w:rFonts w:hint="eastAsia" w:ascii="Times New Roman" w:hAnsi="Times New Roman" w:eastAsia="宋体" w:cs="Times New Roman"/>
                <w:highlight w:val="none"/>
              </w:rPr>
              <w:t>2026.</w:t>
            </w:r>
          </w:p>
          <w:p w14:paraId="5AE317E1">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highlight w:val="none"/>
              </w:rPr>
            </w:pPr>
            <w:r>
              <w:rPr>
                <w:rFonts w:hint="eastAsia" w:ascii="Times New Roman" w:hAnsi="Times New Roman" w:eastAsia="宋体" w:cs="Times New Roman"/>
                <w:highlight w:val="none"/>
              </w:rPr>
              <w:t>04.24</w:t>
            </w:r>
          </w:p>
        </w:tc>
        <w:tc>
          <w:tcPr>
            <w:tcW w:w="495" w:type="pct"/>
            <w:tcBorders>
              <w:tl2br w:val="nil"/>
              <w:tr2bl w:val="nil"/>
            </w:tcBorders>
            <w:vAlign w:val="center"/>
          </w:tcPr>
          <w:p w14:paraId="6A594E5F">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highlight w:val="none"/>
              </w:rPr>
            </w:pPr>
            <w:r>
              <w:rPr>
                <w:rFonts w:hint="eastAsia" w:ascii="Times New Roman" w:hAnsi="Times New Roman" w:eastAsia="宋体" w:cs="Times New Roman"/>
                <w:highlight w:val="none"/>
              </w:rPr>
              <w:t>厂界南</w:t>
            </w:r>
          </w:p>
        </w:tc>
        <w:tc>
          <w:tcPr>
            <w:tcW w:w="499" w:type="pct"/>
            <w:tcBorders>
              <w:tl2br w:val="nil"/>
              <w:tr2bl w:val="nil"/>
            </w:tcBorders>
            <w:vAlign w:val="center"/>
          </w:tcPr>
          <w:p w14:paraId="3CE93CFC">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highlight w:val="none"/>
              </w:rPr>
            </w:pPr>
            <w:r>
              <w:rPr>
                <w:rFonts w:hint="eastAsia" w:ascii="Times New Roman" w:hAnsi="Times New Roman" w:eastAsia="宋体" w:cs="Times New Roman"/>
                <w:highlight w:val="none"/>
              </w:rPr>
              <w:t>15:58</w:t>
            </w:r>
          </w:p>
        </w:tc>
        <w:tc>
          <w:tcPr>
            <w:tcW w:w="434" w:type="pct"/>
            <w:tcBorders>
              <w:tl2br w:val="nil"/>
              <w:tr2bl w:val="nil"/>
            </w:tcBorders>
            <w:vAlign w:val="center"/>
          </w:tcPr>
          <w:p w14:paraId="68077208">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highlight w:val="none"/>
              </w:rPr>
            </w:pPr>
            <w:r>
              <w:rPr>
                <w:rFonts w:hint="eastAsia" w:ascii="Times New Roman" w:hAnsi="Times New Roman" w:eastAsia="宋体" w:cs="Times New Roman"/>
                <w:highlight w:val="none"/>
              </w:rPr>
              <w:t>57</w:t>
            </w:r>
          </w:p>
        </w:tc>
        <w:tc>
          <w:tcPr>
            <w:tcW w:w="569" w:type="pct"/>
            <w:tcBorders>
              <w:tl2br w:val="nil"/>
              <w:tr2bl w:val="nil"/>
            </w:tcBorders>
            <w:vAlign w:val="center"/>
          </w:tcPr>
          <w:p w14:paraId="0D7B894D">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highlight w:val="none"/>
              </w:rPr>
            </w:pPr>
            <w:r>
              <w:rPr>
                <w:rFonts w:hint="eastAsia" w:ascii="Times New Roman" w:hAnsi="Times New Roman" w:eastAsia="宋体" w:cs="Times New Roman"/>
                <w:highlight w:val="none"/>
              </w:rPr>
              <w:t>1.8</w:t>
            </w:r>
          </w:p>
        </w:tc>
        <w:tc>
          <w:tcPr>
            <w:tcW w:w="435" w:type="pct"/>
            <w:tcBorders>
              <w:tl2br w:val="nil"/>
              <w:tr2bl w:val="nil"/>
            </w:tcBorders>
            <w:vAlign w:val="center"/>
          </w:tcPr>
          <w:p w14:paraId="3C3CC8A9">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highlight w:val="none"/>
              </w:rPr>
            </w:pPr>
            <w:r>
              <w:rPr>
                <w:rFonts w:hint="eastAsia" w:ascii="Times New Roman" w:hAnsi="Times New Roman" w:eastAsia="宋体" w:cs="Times New Roman"/>
                <w:highlight w:val="none"/>
              </w:rPr>
              <w:t>北</w:t>
            </w:r>
          </w:p>
        </w:tc>
        <w:tc>
          <w:tcPr>
            <w:tcW w:w="499" w:type="pct"/>
            <w:tcBorders>
              <w:tl2br w:val="nil"/>
              <w:tr2bl w:val="nil"/>
            </w:tcBorders>
            <w:vAlign w:val="center"/>
          </w:tcPr>
          <w:p w14:paraId="59E30256">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highlight w:val="none"/>
              </w:rPr>
            </w:pPr>
            <w:r>
              <w:rPr>
                <w:rFonts w:hint="eastAsia" w:ascii="Times New Roman" w:hAnsi="Times New Roman" w:eastAsia="宋体" w:cs="Times New Roman"/>
                <w:highlight w:val="none"/>
              </w:rPr>
              <w:t>22:01</w:t>
            </w:r>
          </w:p>
        </w:tc>
        <w:tc>
          <w:tcPr>
            <w:tcW w:w="434" w:type="pct"/>
            <w:tcBorders>
              <w:tl2br w:val="nil"/>
              <w:tr2bl w:val="nil"/>
            </w:tcBorders>
            <w:vAlign w:val="center"/>
          </w:tcPr>
          <w:p w14:paraId="529AFF97">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highlight w:val="none"/>
              </w:rPr>
            </w:pPr>
            <w:r>
              <w:rPr>
                <w:rFonts w:hint="eastAsia" w:ascii="Times New Roman" w:hAnsi="Times New Roman" w:eastAsia="宋体" w:cs="Times New Roman"/>
                <w:highlight w:val="none"/>
              </w:rPr>
              <w:t>48</w:t>
            </w:r>
          </w:p>
        </w:tc>
        <w:tc>
          <w:tcPr>
            <w:tcW w:w="570" w:type="pct"/>
            <w:tcBorders>
              <w:tl2br w:val="nil"/>
              <w:tr2bl w:val="nil"/>
            </w:tcBorders>
            <w:vAlign w:val="center"/>
          </w:tcPr>
          <w:p w14:paraId="7F6EAEB0">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highlight w:val="none"/>
              </w:rPr>
            </w:pPr>
            <w:r>
              <w:rPr>
                <w:rFonts w:hint="eastAsia" w:ascii="Times New Roman" w:hAnsi="Times New Roman" w:eastAsia="宋体" w:cs="Times New Roman"/>
                <w:highlight w:val="none"/>
              </w:rPr>
              <w:t>1.3</w:t>
            </w:r>
          </w:p>
        </w:tc>
        <w:tc>
          <w:tcPr>
            <w:tcW w:w="436" w:type="pct"/>
            <w:tcBorders>
              <w:tl2br w:val="nil"/>
              <w:tr2bl w:val="nil"/>
            </w:tcBorders>
            <w:vAlign w:val="center"/>
          </w:tcPr>
          <w:p w14:paraId="414346F1">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highlight w:val="none"/>
              </w:rPr>
            </w:pPr>
            <w:r>
              <w:rPr>
                <w:rFonts w:hint="eastAsia" w:ascii="Times New Roman" w:hAnsi="Times New Roman" w:eastAsia="宋体" w:cs="Times New Roman"/>
                <w:highlight w:val="none"/>
              </w:rPr>
              <w:t>北</w:t>
            </w:r>
          </w:p>
        </w:tc>
      </w:tr>
      <w:tr w14:paraId="0F128D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000" w:type="pct"/>
            <w:gridSpan w:val="10"/>
            <w:tcBorders>
              <w:tl2br w:val="nil"/>
              <w:tr2bl w:val="nil"/>
            </w:tcBorders>
            <w:vAlign w:val="center"/>
          </w:tcPr>
          <w:p w14:paraId="74F03B57">
            <w:pPr>
              <w:keepNext w:val="0"/>
              <w:keepLines w:val="0"/>
              <w:suppressLineNumbers w:val="0"/>
              <w:spacing w:before="0" w:beforeAutospacing="0" w:after="0" w:afterAutospacing="0"/>
              <w:ind w:left="0" w:right="0"/>
              <w:jc w:val="center"/>
              <w:textAlignment w:val="center"/>
              <w:rPr>
                <w:rFonts w:hint="default" w:ascii="Times New Roman" w:hAnsi="Times New Roman" w:eastAsia="宋体" w:cs="Times New Roman"/>
                <w:highlight w:val="none"/>
              </w:rPr>
            </w:pPr>
            <w:r>
              <w:rPr>
                <w:rFonts w:hint="eastAsia" w:ascii="Times New Roman" w:hAnsi="Times New Roman" w:eastAsia="宋体" w:cs="Times New Roman"/>
                <w:highlight w:val="none"/>
              </w:rPr>
              <w:t>备注：厂界东、西、北为共用墙，不满足检测条件。</w:t>
            </w:r>
          </w:p>
        </w:tc>
      </w:tr>
    </w:tbl>
    <w:p w14:paraId="11AC354E">
      <w:pPr>
        <w:tabs>
          <w:tab w:val="left" w:pos="360"/>
        </w:tabs>
        <w:spacing w:line="480" w:lineRule="exact"/>
        <w:ind w:firstLine="480"/>
        <w:rPr>
          <w:rFonts w:hint="eastAsia" w:ascii="Times New Roman" w:hAnsi="Times New Roman" w:eastAsia="宋体"/>
          <w:bCs/>
          <w:color w:val="auto"/>
          <w:sz w:val="24"/>
          <w:szCs w:val="24"/>
          <w:lang w:val="en-US" w:eastAsia="zh-CN"/>
        </w:rPr>
      </w:pPr>
      <w:bookmarkStart w:id="72" w:name="OLE_LINK89"/>
      <w:r>
        <w:rPr>
          <w:rFonts w:hint="eastAsia" w:ascii="Times New Roman" w:hAnsi="Times New Roman" w:eastAsia="宋体"/>
          <w:bCs/>
          <w:color w:val="auto"/>
          <w:sz w:val="24"/>
          <w:szCs w:val="24"/>
          <w:lang w:val="en-US" w:eastAsia="zh-CN"/>
        </w:rPr>
        <w:t>由监测结果可知：厂界东、西、北为共用墙，不满足检测条件，由监测结果可知：</w:t>
      </w:r>
      <w:bookmarkStart w:id="73" w:name="OLE_LINK12"/>
      <w:r>
        <w:rPr>
          <w:rFonts w:hint="eastAsia" w:ascii="Times New Roman" w:hAnsi="Times New Roman" w:eastAsia="宋体"/>
          <w:bCs/>
          <w:color w:val="auto"/>
          <w:sz w:val="24"/>
          <w:szCs w:val="24"/>
          <w:lang w:val="en-US" w:eastAsia="zh-CN"/>
        </w:rPr>
        <w:t>南厂界昼间噪声值为56~57dB(A)、夜间噪声值为47~48dB(A)可以满足《工业企业厂界环境噪声排放标准》（GB12348-2008）2类标准昼间60dB(A)、夜间50dB(A)的限值要求</w:t>
      </w:r>
      <w:bookmarkEnd w:id="72"/>
      <w:r>
        <w:rPr>
          <w:rFonts w:hint="eastAsia" w:ascii="Times New Roman" w:hAnsi="Times New Roman" w:eastAsia="宋体"/>
          <w:bCs/>
          <w:color w:val="auto"/>
          <w:sz w:val="24"/>
          <w:szCs w:val="24"/>
          <w:lang w:val="en-US" w:eastAsia="zh-CN"/>
        </w:rPr>
        <w:t>。</w:t>
      </w:r>
      <w:bookmarkEnd w:id="73"/>
    </w:p>
    <w:p w14:paraId="53B1C0E1">
      <w:pPr>
        <w:pStyle w:val="3"/>
        <w:spacing w:before="0" w:after="0" w:line="500" w:lineRule="exact"/>
        <w:rPr>
          <w:highlight w:val="none"/>
        </w:rPr>
      </w:pPr>
      <w:bookmarkStart w:id="74" w:name="_Toc501703560"/>
      <w:bookmarkStart w:id="75" w:name="_Toc504492857"/>
      <w:r>
        <w:rPr>
          <w:highlight w:val="none"/>
        </w:rPr>
        <w:t>9.</w:t>
      </w:r>
      <w:r>
        <w:rPr>
          <w:rFonts w:hint="eastAsia"/>
          <w:highlight w:val="none"/>
          <w:lang w:val="en-US" w:eastAsia="zh-CN"/>
        </w:rPr>
        <w:t>2</w:t>
      </w:r>
      <w:r>
        <w:rPr>
          <w:highlight w:val="none"/>
        </w:rPr>
        <w:t>污染物排放总量核算</w:t>
      </w:r>
      <w:bookmarkEnd w:id="74"/>
      <w:bookmarkEnd w:id="75"/>
      <w:bookmarkStart w:id="76" w:name="_Toc501703561"/>
      <w:bookmarkStart w:id="77" w:name="_Toc504492858"/>
    </w:p>
    <w:p w14:paraId="0B33581B">
      <w:pPr>
        <w:pStyle w:val="59"/>
        <w:spacing w:line="520" w:lineRule="exact"/>
        <w:ind w:firstLine="48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本项目年工作300天，双班制（每班8小时），燃气锅炉运行时间为1800h/a。 </w:t>
      </w:r>
    </w:p>
    <w:p w14:paraId="112E16C8">
      <w:pPr>
        <w:pStyle w:val="59"/>
        <w:spacing w:line="520" w:lineRule="exact"/>
        <w:ind w:firstLine="48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根据《环境空气质量监测规范（试行）》附件五：数据处理方法：若样品浓度低于监测方法检出限时，则该监测数据应标明未检出，并以1/2最低检出限报出，同时用该数值参加统计计算。根据检测报告，二氧化硫采用《固定污染源废气 二氧化硫的测定 定电位电解法》（HJ 57-2017）进行检测，检出限为3.0mg/m</w:t>
      </w:r>
      <w:r>
        <w:rPr>
          <w:rFonts w:hint="eastAsia" w:ascii="Times New Roman" w:hAnsi="Times New Roman" w:eastAsia="宋体" w:cs="Times New Roman"/>
          <w:highlight w:val="none"/>
          <w:vertAlign w:val="superscript"/>
          <w:lang w:val="en-US" w:eastAsia="zh-CN"/>
        </w:rPr>
        <w:t>3</w:t>
      </w:r>
      <w:r>
        <w:rPr>
          <w:rFonts w:hint="eastAsia" w:ascii="Times New Roman" w:hAnsi="Times New Roman" w:eastAsia="宋体" w:cs="Times New Roman"/>
          <w:highlight w:val="none"/>
          <w:lang w:val="en-US" w:eastAsia="zh-CN"/>
        </w:rPr>
        <w:t>，则未检出颗粒物按检出限的一半即排放浓度为1.5mg/m</w:t>
      </w:r>
      <w:r>
        <w:rPr>
          <w:rFonts w:hint="eastAsia" w:ascii="Times New Roman" w:hAnsi="Times New Roman" w:eastAsia="宋体" w:cs="Times New Roman"/>
          <w:highlight w:val="none"/>
          <w:vertAlign w:val="superscript"/>
          <w:lang w:val="en-US" w:eastAsia="zh-CN"/>
        </w:rPr>
        <w:t>3</w:t>
      </w:r>
      <w:r>
        <w:rPr>
          <w:rFonts w:hint="eastAsia" w:ascii="Times New Roman" w:hAnsi="Times New Roman" w:eastAsia="宋体" w:cs="Times New Roman"/>
          <w:highlight w:val="none"/>
          <w:lang w:val="en-US" w:eastAsia="zh-CN"/>
        </w:rPr>
        <w:t>计算。验收监测期间，燃气锅炉天然气燃烧废气排气筒出口最大排放风量为1491m</w:t>
      </w:r>
      <w:r>
        <w:rPr>
          <w:rFonts w:hint="eastAsia" w:ascii="Times New Roman" w:hAnsi="Times New Roman" w:eastAsia="宋体" w:cs="Times New Roman"/>
          <w:highlight w:val="none"/>
          <w:vertAlign w:val="superscript"/>
          <w:lang w:val="en-US" w:eastAsia="zh-CN"/>
        </w:rPr>
        <w:t>3</w:t>
      </w:r>
      <w:r>
        <w:rPr>
          <w:rFonts w:hint="eastAsia" w:ascii="Times New Roman" w:hAnsi="Times New Roman" w:eastAsia="宋体" w:cs="Times New Roman"/>
          <w:highlight w:val="none"/>
          <w:lang w:val="en-US" w:eastAsia="zh-CN"/>
        </w:rPr>
        <w:t>/h，经计算，二氧化硫未检出时的排放速率为</w:t>
      </w:r>
      <w:bookmarkStart w:id="78" w:name="OLE_LINK80"/>
      <w:r>
        <w:rPr>
          <w:rFonts w:hint="eastAsia" w:ascii="Times New Roman" w:hAnsi="Times New Roman" w:eastAsia="宋体" w:cs="Times New Roman"/>
          <w:highlight w:val="none"/>
          <w:lang w:val="en-US" w:eastAsia="zh-CN"/>
        </w:rPr>
        <w:t>0.00224</w:t>
      </w:r>
      <w:bookmarkEnd w:id="78"/>
      <w:r>
        <w:rPr>
          <w:rFonts w:hint="eastAsia" w:ascii="Times New Roman" w:hAnsi="Times New Roman" w:eastAsia="宋体" w:cs="Times New Roman"/>
          <w:highlight w:val="none"/>
          <w:lang w:val="en-US" w:eastAsia="zh-CN"/>
        </w:rPr>
        <w:t>kg/h，验收监测期间，生产工况为80-87%。</w:t>
      </w:r>
    </w:p>
    <w:p w14:paraId="1973B62D">
      <w:pPr>
        <w:pStyle w:val="59"/>
        <w:spacing w:line="520" w:lineRule="exact"/>
        <w:ind w:firstLine="48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根据检测结果核算各项污染物排放情况计算如下。</w:t>
      </w:r>
    </w:p>
    <w:p w14:paraId="0845B74D">
      <w:pPr>
        <w:spacing w:after="0" w:line="440" w:lineRule="exact"/>
        <w:ind w:firstLine="480" w:firstLineChars="200"/>
        <w:rPr>
          <w:rFonts w:ascii="Times New Roman" w:hAnsi="Times New Roman" w:eastAsia="黑体"/>
          <w:sz w:val="24"/>
          <w:szCs w:val="24"/>
        </w:rPr>
      </w:pPr>
      <w:r>
        <w:rPr>
          <w:rFonts w:ascii="Times New Roman" w:hAnsi="Times New Roman" w:eastAsia="黑体"/>
          <w:sz w:val="24"/>
          <w:szCs w:val="24"/>
        </w:rPr>
        <w:t>表</w:t>
      </w:r>
      <w:r>
        <w:rPr>
          <w:rFonts w:hint="eastAsia" w:ascii="Times New Roman" w:hAnsi="Times New Roman" w:eastAsia="黑体"/>
          <w:sz w:val="24"/>
          <w:szCs w:val="24"/>
          <w:lang w:val="en-US" w:eastAsia="zh-CN"/>
        </w:rPr>
        <w:t>9-4</w:t>
      </w:r>
      <w:r>
        <w:rPr>
          <w:rFonts w:ascii="Times New Roman" w:hAnsi="Times New Roman" w:eastAsia="黑体"/>
          <w:sz w:val="24"/>
          <w:szCs w:val="24"/>
        </w:rPr>
        <w:t xml:space="preserve">            </w:t>
      </w:r>
      <w:r>
        <w:rPr>
          <w:rFonts w:hint="eastAsia" w:ascii="Times New Roman" w:hAnsi="Times New Roman" w:eastAsia="黑体"/>
          <w:sz w:val="24"/>
          <w:szCs w:val="24"/>
        </w:rPr>
        <w:t xml:space="preserve">   </w:t>
      </w:r>
      <w:r>
        <w:rPr>
          <w:rFonts w:ascii="Times New Roman" w:hAnsi="Times New Roman" w:eastAsia="黑体"/>
          <w:sz w:val="24"/>
          <w:szCs w:val="24"/>
        </w:rPr>
        <w:t>本项目废气污染物</w:t>
      </w:r>
      <w:r>
        <w:rPr>
          <w:rFonts w:hint="eastAsia" w:ascii="Times New Roman" w:hAnsi="Times New Roman" w:eastAsia="黑体"/>
          <w:sz w:val="24"/>
          <w:szCs w:val="24"/>
        </w:rPr>
        <w:t>排放情况表</w:t>
      </w:r>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868"/>
        <w:gridCol w:w="723"/>
        <w:gridCol w:w="855"/>
        <w:gridCol w:w="1151"/>
        <w:gridCol w:w="855"/>
        <w:gridCol w:w="1020"/>
        <w:gridCol w:w="777"/>
        <w:gridCol w:w="1096"/>
        <w:gridCol w:w="981"/>
      </w:tblGrid>
      <w:tr w14:paraId="77A6BB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6" w:type="dxa"/>
            <w:tcBorders>
              <w:tl2br w:val="nil"/>
              <w:tr2bl w:val="nil"/>
            </w:tcBorders>
            <w:vAlign w:val="center"/>
          </w:tcPr>
          <w:p w14:paraId="7595B8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b/>
                <w:bCs/>
                <w:sz w:val="21"/>
                <w:szCs w:val="21"/>
              </w:rPr>
            </w:pPr>
            <w:r>
              <w:rPr>
                <w:rFonts w:hint="default" w:ascii="Times New Roman" w:hAnsi="Times New Roman" w:eastAsia="宋体"/>
                <w:b/>
                <w:bCs/>
                <w:sz w:val="21"/>
                <w:szCs w:val="21"/>
              </w:rPr>
              <w:t>废气类型</w:t>
            </w:r>
          </w:p>
        </w:tc>
        <w:tc>
          <w:tcPr>
            <w:tcW w:w="721" w:type="dxa"/>
            <w:tcBorders>
              <w:tl2br w:val="nil"/>
              <w:tr2bl w:val="nil"/>
            </w:tcBorders>
            <w:vAlign w:val="center"/>
          </w:tcPr>
          <w:p w14:paraId="0BCF05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b/>
                <w:bCs/>
                <w:sz w:val="21"/>
                <w:szCs w:val="21"/>
              </w:rPr>
            </w:pPr>
            <w:r>
              <w:rPr>
                <w:rFonts w:hint="default" w:ascii="Times New Roman" w:hAnsi="Times New Roman" w:eastAsia="宋体"/>
                <w:b/>
                <w:bCs/>
                <w:sz w:val="21"/>
                <w:szCs w:val="21"/>
              </w:rPr>
              <w:t>排气筒</w:t>
            </w:r>
          </w:p>
        </w:tc>
        <w:tc>
          <w:tcPr>
            <w:tcW w:w="853" w:type="dxa"/>
            <w:tcBorders>
              <w:tl2br w:val="nil"/>
              <w:tr2bl w:val="nil"/>
            </w:tcBorders>
            <w:vAlign w:val="center"/>
          </w:tcPr>
          <w:p w14:paraId="2015DC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b/>
                <w:bCs/>
                <w:sz w:val="21"/>
                <w:szCs w:val="21"/>
              </w:rPr>
            </w:pPr>
            <w:r>
              <w:rPr>
                <w:rFonts w:hint="default" w:ascii="Times New Roman" w:hAnsi="Times New Roman" w:eastAsia="宋体"/>
                <w:b/>
                <w:bCs/>
                <w:sz w:val="21"/>
                <w:szCs w:val="21"/>
              </w:rPr>
              <w:t>污染物</w:t>
            </w:r>
          </w:p>
        </w:tc>
        <w:tc>
          <w:tcPr>
            <w:tcW w:w="1148" w:type="dxa"/>
            <w:tcBorders>
              <w:tl2br w:val="nil"/>
              <w:tr2bl w:val="nil"/>
            </w:tcBorders>
            <w:vAlign w:val="center"/>
          </w:tcPr>
          <w:p w14:paraId="01B33D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b/>
                <w:bCs/>
                <w:sz w:val="21"/>
                <w:szCs w:val="21"/>
              </w:rPr>
            </w:pPr>
            <w:r>
              <w:rPr>
                <w:rFonts w:hint="default" w:ascii="Times New Roman" w:hAnsi="Times New Roman" w:eastAsia="宋体"/>
                <w:b/>
                <w:bCs/>
                <w:sz w:val="21"/>
                <w:szCs w:val="21"/>
              </w:rPr>
              <w:t>最大排放速率(kg/h)</w:t>
            </w:r>
          </w:p>
        </w:tc>
        <w:tc>
          <w:tcPr>
            <w:tcW w:w="853" w:type="dxa"/>
            <w:tcBorders>
              <w:tl2br w:val="nil"/>
              <w:tr2bl w:val="nil"/>
            </w:tcBorders>
            <w:vAlign w:val="center"/>
          </w:tcPr>
          <w:p w14:paraId="544BBC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b/>
                <w:bCs/>
                <w:sz w:val="21"/>
                <w:szCs w:val="21"/>
              </w:rPr>
            </w:pPr>
            <w:r>
              <w:rPr>
                <w:rFonts w:hint="default" w:ascii="Times New Roman" w:hAnsi="Times New Roman" w:eastAsia="宋体"/>
                <w:b/>
                <w:bCs/>
                <w:sz w:val="21"/>
                <w:szCs w:val="21"/>
              </w:rPr>
              <w:t>工作时间(h/a)</w:t>
            </w:r>
          </w:p>
        </w:tc>
        <w:tc>
          <w:tcPr>
            <w:tcW w:w="1018" w:type="dxa"/>
            <w:tcBorders>
              <w:tl2br w:val="nil"/>
              <w:tr2bl w:val="nil"/>
            </w:tcBorders>
            <w:vAlign w:val="center"/>
          </w:tcPr>
          <w:p w14:paraId="787C38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b/>
                <w:bCs/>
                <w:sz w:val="21"/>
                <w:szCs w:val="21"/>
              </w:rPr>
            </w:pPr>
            <w:r>
              <w:rPr>
                <w:rFonts w:hint="default" w:ascii="Times New Roman" w:hAnsi="Times New Roman" w:eastAsia="宋体"/>
                <w:b/>
                <w:bCs/>
                <w:sz w:val="21"/>
                <w:szCs w:val="21"/>
              </w:rPr>
              <w:t>核算</w:t>
            </w:r>
            <w:r>
              <w:rPr>
                <w:rFonts w:hint="eastAsia" w:ascii="Times New Roman" w:hAnsi="Times New Roman" w:eastAsia="宋体"/>
                <w:b/>
                <w:bCs/>
                <w:sz w:val="21"/>
                <w:szCs w:val="21"/>
              </w:rPr>
              <w:t>最大</w:t>
            </w:r>
            <w:r>
              <w:rPr>
                <w:rFonts w:hint="default" w:ascii="Times New Roman" w:hAnsi="Times New Roman" w:eastAsia="宋体"/>
                <w:b/>
                <w:bCs/>
                <w:sz w:val="21"/>
                <w:szCs w:val="21"/>
              </w:rPr>
              <w:t>排放量（t/a）</w:t>
            </w:r>
          </w:p>
        </w:tc>
        <w:tc>
          <w:tcPr>
            <w:tcW w:w="775" w:type="dxa"/>
            <w:tcBorders>
              <w:tl2br w:val="nil"/>
              <w:tr2bl w:val="nil"/>
            </w:tcBorders>
            <w:vAlign w:val="center"/>
          </w:tcPr>
          <w:p w14:paraId="509AA9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b/>
                <w:bCs/>
                <w:sz w:val="21"/>
                <w:szCs w:val="21"/>
              </w:rPr>
            </w:pPr>
            <w:r>
              <w:rPr>
                <w:rFonts w:hint="default" w:ascii="Times New Roman" w:hAnsi="Times New Roman" w:eastAsia="宋体"/>
                <w:b/>
                <w:bCs/>
                <w:sz w:val="21"/>
                <w:szCs w:val="21"/>
              </w:rPr>
              <w:t>验收工况(%)</w:t>
            </w:r>
          </w:p>
        </w:tc>
        <w:tc>
          <w:tcPr>
            <w:tcW w:w="1093" w:type="dxa"/>
            <w:tcBorders>
              <w:tl2br w:val="nil"/>
              <w:tr2bl w:val="nil"/>
            </w:tcBorders>
            <w:vAlign w:val="center"/>
          </w:tcPr>
          <w:p w14:paraId="586CDA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b/>
                <w:bCs/>
                <w:sz w:val="21"/>
                <w:szCs w:val="21"/>
              </w:rPr>
            </w:pPr>
            <w:r>
              <w:rPr>
                <w:rFonts w:hint="eastAsia" w:ascii="Times New Roman" w:hAnsi="Times New Roman" w:eastAsia="宋体"/>
                <w:b/>
                <w:bCs/>
                <w:sz w:val="21"/>
                <w:szCs w:val="21"/>
              </w:rPr>
              <w:t>满负荷时最大</w:t>
            </w:r>
            <w:r>
              <w:rPr>
                <w:rFonts w:hint="default" w:ascii="Times New Roman" w:hAnsi="Times New Roman" w:eastAsia="宋体"/>
                <w:b/>
                <w:bCs/>
                <w:sz w:val="21"/>
                <w:szCs w:val="21"/>
              </w:rPr>
              <w:t>排放总量（t/a）</w:t>
            </w:r>
          </w:p>
        </w:tc>
        <w:tc>
          <w:tcPr>
            <w:tcW w:w="979" w:type="dxa"/>
            <w:tcBorders>
              <w:tl2br w:val="nil"/>
              <w:tr2bl w:val="nil"/>
            </w:tcBorders>
            <w:vAlign w:val="center"/>
          </w:tcPr>
          <w:p w14:paraId="62F8A3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b/>
                <w:bCs/>
                <w:sz w:val="21"/>
                <w:szCs w:val="21"/>
              </w:rPr>
            </w:pPr>
            <w:r>
              <w:rPr>
                <w:rFonts w:hint="eastAsia" w:ascii="Times New Roman" w:hAnsi="Times New Roman" w:eastAsia="宋体"/>
                <w:b/>
                <w:bCs/>
                <w:sz w:val="21"/>
                <w:szCs w:val="21"/>
              </w:rPr>
              <w:t>环评</w:t>
            </w:r>
            <w:r>
              <w:rPr>
                <w:rFonts w:hint="default" w:ascii="Times New Roman" w:hAnsi="Times New Roman" w:eastAsia="宋体"/>
                <w:b/>
                <w:bCs/>
                <w:sz w:val="21"/>
                <w:szCs w:val="21"/>
              </w:rPr>
              <w:t>允许排放量（t/a）</w:t>
            </w:r>
          </w:p>
        </w:tc>
      </w:tr>
      <w:tr w14:paraId="3703B3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6" w:type="dxa"/>
            <w:vMerge w:val="restart"/>
            <w:tcBorders>
              <w:tl2br w:val="nil"/>
              <w:tr2bl w:val="nil"/>
            </w:tcBorders>
            <w:vAlign w:val="center"/>
          </w:tcPr>
          <w:p w14:paraId="60E16C67">
            <w:pPr>
              <w:keepNext w:val="0"/>
              <w:keepLines w:val="0"/>
              <w:suppressLineNumbers w:val="0"/>
              <w:spacing w:before="0" w:beforeAutospacing="0" w:after="0" w:afterAutospacing="0"/>
              <w:ind w:left="0" w:right="0"/>
              <w:jc w:val="center"/>
              <w:rPr>
                <w:rFonts w:hint="default" w:ascii="Times New Roman" w:hAnsi="Times New Roman" w:eastAsia="宋体"/>
                <w:bCs/>
                <w:sz w:val="21"/>
                <w:szCs w:val="21"/>
                <w:highlight w:val="none"/>
              </w:rPr>
            </w:pPr>
            <w:r>
              <w:rPr>
                <w:rFonts w:hint="eastAsia" w:ascii="Times New Roman" w:hAnsi="Times New Roman" w:eastAsia="宋体"/>
                <w:bCs/>
                <w:sz w:val="21"/>
                <w:szCs w:val="21"/>
                <w:highlight w:val="none"/>
              </w:rPr>
              <w:t>燃气锅炉</w:t>
            </w:r>
          </w:p>
        </w:tc>
        <w:tc>
          <w:tcPr>
            <w:tcW w:w="721" w:type="dxa"/>
            <w:vMerge w:val="restart"/>
            <w:tcBorders>
              <w:tl2br w:val="nil"/>
              <w:tr2bl w:val="nil"/>
            </w:tcBorders>
            <w:vAlign w:val="center"/>
          </w:tcPr>
          <w:p w14:paraId="4308887B">
            <w:pPr>
              <w:keepNext w:val="0"/>
              <w:keepLines w:val="0"/>
              <w:suppressLineNumbers w:val="0"/>
              <w:spacing w:before="0" w:beforeAutospacing="0" w:after="0" w:afterAutospacing="0"/>
              <w:ind w:left="0" w:right="0"/>
              <w:jc w:val="center"/>
              <w:rPr>
                <w:rFonts w:hint="default" w:ascii="Times New Roman" w:hAnsi="Times New Roman" w:eastAsia="宋体"/>
                <w:bCs/>
                <w:sz w:val="21"/>
                <w:szCs w:val="21"/>
                <w:highlight w:val="none"/>
              </w:rPr>
            </w:pPr>
            <w:r>
              <w:rPr>
                <w:rFonts w:hint="default" w:ascii="Times New Roman" w:hAnsi="Times New Roman" w:eastAsia="宋体"/>
                <w:bCs/>
                <w:sz w:val="21"/>
                <w:szCs w:val="21"/>
                <w:highlight w:val="none"/>
              </w:rPr>
              <w:t>DA00</w:t>
            </w:r>
            <w:r>
              <w:rPr>
                <w:rFonts w:hint="eastAsia" w:ascii="Times New Roman" w:hAnsi="Times New Roman" w:eastAsia="宋体"/>
                <w:bCs/>
                <w:sz w:val="21"/>
                <w:szCs w:val="21"/>
                <w:highlight w:val="none"/>
              </w:rPr>
              <w:t>7</w:t>
            </w:r>
          </w:p>
        </w:tc>
        <w:tc>
          <w:tcPr>
            <w:tcW w:w="853" w:type="dxa"/>
            <w:tcBorders>
              <w:tl2br w:val="nil"/>
              <w:tr2bl w:val="nil"/>
            </w:tcBorders>
            <w:vAlign w:val="center"/>
          </w:tcPr>
          <w:p w14:paraId="3968A117">
            <w:pPr>
              <w:keepNext w:val="0"/>
              <w:keepLines w:val="0"/>
              <w:suppressLineNumbers w:val="0"/>
              <w:spacing w:before="0" w:beforeAutospacing="0" w:after="0" w:afterAutospacing="0"/>
              <w:ind w:left="0" w:right="0"/>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烟尘</w:t>
            </w:r>
          </w:p>
        </w:tc>
        <w:tc>
          <w:tcPr>
            <w:tcW w:w="1148" w:type="dxa"/>
            <w:tcBorders>
              <w:tl2br w:val="nil"/>
              <w:tr2bl w:val="nil"/>
            </w:tcBorders>
            <w:vAlign w:val="center"/>
          </w:tcPr>
          <w:p w14:paraId="7DF8B0FD">
            <w:pPr>
              <w:keepNext w:val="0"/>
              <w:keepLines w:val="0"/>
              <w:suppressLineNumbers w:val="0"/>
              <w:spacing w:before="0" w:beforeAutospacing="0" w:after="0" w:afterAutospacing="0"/>
              <w:ind w:left="0" w:right="0"/>
              <w:jc w:val="center"/>
              <w:rPr>
                <w:rFonts w:hint="default" w:ascii="Times New Roman" w:hAnsi="Times New Roman" w:eastAsia="宋体"/>
                <w:sz w:val="21"/>
                <w:szCs w:val="21"/>
                <w:highlight w:val="none"/>
              </w:rPr>
            </w:pPr>
            <w:r>
              <w:rPr>
                <w:rFonts w:hint="default" w:ascii="Times New Roman" w:hAnsi="Times New Roman" w:eastAsia="宋体"/>
                <w:sz w:val="21"/>
                <w:szCs w:val="21"/>
                <w:highlight w:val="none"/>
              </w:rPr>
              <w:t>4.90×10</w:t>
            </w:r>
            <w:r>
              <w:rPr>
                <w:rFonts w:hint="default" w:ascii="Times New Roman" w:hAnsi="Times New Roman" w:eastAsia="宋体"/>
                <w:sz w:val="21"/>
                <w:szCs w:val="21"/>
                <w:highlight w:val="none"/>
                <w:vertAlign w:val="superscript"/>
              </w:rPr>
              <w:t>-3</w:t>
            </w:r>
          </w:p>
        </w:tc>
        <w:tc>
          <w:tcPr>
            <w:tcW w:w="853" w:type="dxa"/>
            <w:tcBorders>
              <w:tl2br w:val="nil"/>
              <w:tr2bl w:val="nil"/>
            </w:tcBorders>
            <w:vAlign w:val="center"/>
          </w:tcPr>
          <w:p w14:paraId="48AADE9C">
            <w:pPr>
              <w:keepNext w:val="0"/>
              <w:keepLines w:val="0"/>
              <w:suppressLineNumbers w:val="0"/>
              <w:spacing w:before="0" w:beforeAutospacing="0" w:after="0" w:afterAutospacing="0"/>
              <w:ind w:left="0" w:right="0"/>
              <w:jc w:val="center"/>
              <w:rPr>
                <w:rFonts w:hint="default" w:ascii="Times New Roman" w:hAnsi="Times New Roman" w:eastAsia="宋体"/>
                <w:sz w:val="21"/>
                <w:szCs w:val="21"/>
                <w:highlight w:val="none"/>
              </w:rPr>
            </w:pPr>
            <w:r>
              <w:rPr>
                <w:rFonts w:hint="eastAsia" w:ascii="Times New Roman" w:hAnsi="Times New Roman" w:eastAsia="宋体"/>
                <w:sz w:val="21"/>
                <w:szCs w:val="21"/>
                <w:highlight w:val="none"/>
              </w:rPr>
              <w:t>1800</w:t>
            </w:r>
          </w:p>
        </w:tc>
        <w:tc>
          <w:tcPr>
            <w:tcW w:w="1018" w:type="dxa"/>
            <w:tcBorders>
              <w:tl2br w:val="nil"/>
              <w:tr2bl w:val="nil"/>
            </w:tcBorders>
            <w:vAlign w:val="center"/>
          </w:tcPr>
          <w:p w14:paraId="5E2AD485">
            <w:pPr>
              <w:keepNext w:val="0"/>
              <w:keepLines w:val="0"/>
              <w:widowControl w:val="0"/>
              <w:suppressLineNumbers w:val="0"/>
              <w:spacing w:before="0" w:beforeAutospacing="0" w:after="0" w:afterAutospacing="0"/>
              <w:ind w:left="0" w:right="0"/>
              <w:jc w:val="center"/>
              <w:rPr>
                <w:rFonts w:hint="default" w:ascii="Times New Roman" w:hAnsi="Times New Roman" w:eastAsia="宋体"/>
                <w:sz w:val="21"/>
                <w:szCs w:val="21"/>
                <w:highlight w:val="none"/>
              </w:rPr>
            </w:pPr>
            <w:r>
              <w:rPr>
                <w:rFonts w:hint="eastAsia" w:ascii="Times New Roman" w:hAnsi="Times New Roman" w:eastAsia="宋体"/>
                <w:sz w:val="21"/>
                <w:szCs w:val="21"/>
                <w:highlight w:val="none"/>
              </w:rPr>
              <w:t>0.0088</w:t>
            </w:r>
          </w:p>
        </w:tc>
        <w:tc>
          <w:tcPr>
            <w:tcW w:w="775" w:type="dxa"/>
            <w:tcBorders>
              <w:tl2br w:val="nil"/>
              <w:tr2bl w:val="nil"/>
            </w:tcBorders>
            <w:vAlign w:val="center"/>
          </w:tcPr>
          <w:p w14:paraId="2C27E7F5">
            <w:pPr>
              <w:keepNext w:val="0"/>
              <w:keepLines w:val="0"/>
              <w:suppressLineNumbers w:val="0"/>
              <w:spacing w:before="0" w:beforeAutospacing="0" w:after="0" w:afterAutospacing="0"/>
              <w:ind w:left="0" w:right="0"/>
              <w:jc w:val="center"/>
              <w:rPr>
                <w:rFonts w:hint="default" w:ascii="Times New Roman" w:hAnsi="Times New Roman" w:eastAsia="宋体"/>
                <w:sz w:val="21"/>
                <w:szCs w:val="21"/>
                <w:highlight w:val="none"/>
              </w:rPr>
            </w:pPr>
            <w:r>
              <w:rPr>
                <w:rFonts w:hint="eastAsia" w:ascii="Times New Roman" w:hAnsi="Times New Roman" w:eastAsia="宋体"/>
                <w:sz w:val="21"/>
                <w:szCs w:val="21"/>
                <w:highlight w:val="none"/>
              </w:rPr>
              <w:t>80</w:t>
            </w:r>
            <w:r>
              <w:rPr>
                <w:rFonts w:hint="default" w:ascii="Times New Roman" w:hAnsi="Times New Roman" w:eastAsia="宋体"/>
                <w:sz w:val="21"/>
                <w:szCs w:val="21"/>
                <w:highlight w:val="none"/>
              </w:rPr>
              <w:t>%</w:t>
            </w:r>
          </w:p>
        </w:tc>
        <w:tc>
          <w:tcPr>
            <w:tcW w:w="1093" w:type="dxa"/>
            <w:tcBorders>
              <w:tl2br w:val="nil"/>
              <w:tr2bl w:val="nil"/>
            </w:tcBorders>
            <w:vAlign w:val="center"/>
          </w:tcPr>
          <w:p w14:paraId="11FA5C3A">
            <w:pPr>
              <w:keepNext w:val="0"/>
              <w:keepLines w:val="0"/>
              <w:suppressLineNumbers w:val="0"/>
              <w:spacing w:before="0" w:beforeAutospacing="0" w:after="0" w:afterAutospacing="0"/>
              <w:ind w:left="0" w:right="0"/>
              <w:jc w:val="center"/>
              <w:rPr>
                <w:rFonts w:hint="default" w:ascii="Times New Roman" w:hAnsi="Times New Roman" w:eastAsia="宋体"/>
                <w:sz w:val="21"/>
                <w:szCs w:val="21"/>
                <w:highlight w:val="none"/>
              </w:rPr>
            </w:pPr>
            <w:r>
              <w:rPr>
                <w:rFonts w:hint="eastAsia" w:ascii="Times New Roman" w:hAnsi="Times New Roman" w:eastAsia="宋体"/>
                <w:sz w:val="21"/>
                <w:szCs w:val="21"/>
                <w:highlight w:val="none"/>
              </w:rPr>
              <w:t>0.011</w:t>
            </w:r>
          </w:p>
        </w:tc>
        <w:tc>
          <w:tcPr>
            <w:tcW w:w="979" w:type="dxa"/>
            <w:tcBorders>
              <w:tl2br w:val="nil"/>
              <w:tr2bl w:val="nil"/>
            </w:tcBorders>
            <w:vAlign w:val="center"/>
          </w:tcPr>
          <w:p w14:paraId="4CB0D5B7">
            <w:pPr>
              <w:keepNext w:val="0"/>
              <w:keepLines w:val="0"/>
              <w:suppressLineNumbers w:val="0"/>
              <w:spacing w:before="0" w:beforeAutospacing="0" w:after="0" w:afterAutospacing="0"/>
              <w:ind w:left="0" w:right="0"/>
              <w:jc w:val="center"/>
              <w:rPr>
                <w:rFonts w:hint="default" w:ascii="Times New Roman" w:hAnsi="Times New Roman" w:eastAsia="宋体"/>
                <w:sz w:val="21"/>
                <w:szCs w:val="21"/>
                <w:highlight w:val="none"/>
              </w:rPr>
            </w:pPr>
            <w:r>
              <w:rPr>
                <w:rFonts w:hint="eastAsia" w:ascii="Times New Roman" w:hAnsi="Times New Roman" w:eastAsia="宋体"/>
                <w:sz w:val="21"/>
                <w:szCs w:val="21"/>
                <w:highlight w:val="none"/>
              </w:rPr>
              <w:t>0.134</w:t>
            </w:r>
          </w:p>
        </w:tc>
      </w:tr>
      <w:tr w14:paraId="788AC6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6" w:type="dxa"/>
            <w:vMerge w:val="continue"/>
            <w:tcBorders>
              <w:tl2br w:val="nil"/>
              <w:tr2bl w:val="nil"/>
            </w:tcBorders>
            <w:vAlign w:val="center"/>
          </w:tcPr>
          <w:p w14:paraId="240E3141">
            <w:pPr>
              <w:keepNext w:val="0"/>
              <w:keepLines w:val="0"/>
              <w:suppressLineNumbers w:val="0"/>
              <w:spacing w:before="0" w:beforeAutospacing="0" w:after="0" w:afterAutospacing="0"/>
              <w:ind w:left="0" w:right="0"/>
              <w:jc w:val="center"/>
              <w:rPr>
                <w:rFonts w:hint="default" w:ascii="Times New Roman" w:hAnsi="Times New Roman" w:eastAsia="宋体"/>
                <w:bCs/>
                <w:sz w:val="21"/>
                <w:szCs w:val="21"/>
                <w:highlight w:val="none"/>
              </w:rPr>
            </w:pPr>
          </w:p>
        </w:tc>
        <w:tc>
          <w:tcPr>
            <w:tcW w:w="721" w:type="dxa"/>
            <w:vMerge w:val="continue"/>
            <w:tcBorders>
              <w:tl2br w:val="nil"/>
              <w:tr2bl w:val="nil"/>
            </w:tcBorders>
            <w:vAlign w:val="center"/>
          </w:tcPr>
          <w:p w14:paraId="4F844C53">
            <w:pPr>
              <w:keepNext w:val="0"/>
              <w:keepLines w:val="0"/>
              <w:suppressLineNumbers w:val="0"/>
              <w:spacing w:before="0" w:beforeAutospacing="0" w:after="0" w:afterAutospacing="0"/>
              <w:ind w:left="0" w:right="0"/>
              <w:jc w:val="center"/>
              <w:rPr>
                <w:rFonts w:hint="default" w:ascii="Times New Roman" w:hAnsi="Times New Roman" w:eastAsia="宋体"/>
                <w:bCs/>
                <w:sz w:val="21"/>
                <w:szCs w:val="21"/>
                <w:highlight w:val="none"/>
              </w:rPr>
            </w:pPr>
          </w:p>
        </w:tc>
        <w:tc>
          <w:tcPr>
            <w:tcW w:w="853" w:type="dxa"/>
            <w:tcBorders>
              <w:tl2br w:val="nil"/>
              <w:tr2bl w:val="nil"/>
            </w:tcBorders>
            <w:vAlign w:val="center"/>
          </w:tcPr>
          <w:p w14:paraId="2170F175">
            <w:pPr>
              <w:keepNext w:val="0"/>
              <w:keepLines w:val="0"/>
              <w:suppressLineNumbers w:val="0"/>
              <w:spacing w:before="0" w:beforeAutospacing="0" w:after="0" w:afterAutospacing="0"/>
              <w:ind w:left="0" w:right="0"/>
              <w:jc w:val="center"/>
              <w:rPr>
                <w:rFonts w:hint="default" w:ascii="Times New Roman" w:hAnsi="Times New Roman" w:eastAsia="宋体"/>
                <w:sz w:val="21"/>
                <w:szCs w:val="21"/>
                <w:highlight w:val="none"/>
              </w:rPr>
            </w:pPr>
            <w:r>
              <w:rPr>
                <w:rFonts w:hint="eastAsia" w:ascii="Times New Roman" w:hAnsi="Times New Roman" w:eastAsia="宋体"/>
                <w:sz w:val="21"/>
                <w:szCs w:val="21"/>
                <w:highlight w:val="none"/>
              </w:rPr>
              <w:t>SO</w:t>
            </w:r>
            <w:r>
              <w:rPr>
                <w:rFonts w:hint="eastAsia" w:ascii="Times New Roman" w:hAnsi="Times New Roman" w:eastAsia="宋体"/>
                <w:sz w:val="21"/>
                <w:szCs w:val="21"/>
                <w:highlight w:val="none"/>
                <w:vertAlign w:val="subscript"/>
              </w:rPr>
              <w:t>2</w:t>
            </w:r>
          </w:p>
        </w:tc>
        <w:tc>
          <w:tcPr>
            <w:tcW w:w="1148" w:type="dxa"/>
            <w:tcBorders>
              <w:tl2br w:val="nil"/>
              <w:tr2bl w:val="nil"/>
            </w:tcBorders>
            <w:vAlign w:val="center"/>
          </w:tcPr>
          <w:p w14:paraId="04EBDF2A">
            <w:pPr>
              <w:keepNext w:val="0"/>
              <w:keepLines w:val="0"/>
              <w:suppressLineNumbers w:val="0"/>
              <w:spacing w:before="0" w:beforeAutospacing="0" w:after="0" w:afterAutospacing="0"/>
              <w:ind w:left="0" w:right="0"/>
              <w:jc w:val="center"/>
              <w:rPr>
                <w:rFonts w:hint="default" w:ascii="Times New Roman" w:hAnsi="Times New Roman" w:eastAsia="宋体"/>
                <w:sz w:val="21"/>
                <w:szCs w:val="21"/>
                <w:highlight w:val="none"/>
              </w:rPr>
            </w:pPr>
            <w:r>
              <w:rPr>
                <w:rFonts w:hint="default" w:ascii="Times New Roman" w:hAnsi="Times New Roman" w:eastAsia="宋体"/>
                <w:sz w:val="21"/>
                <w:szCs w:val="21"/>
                <w:highlight w:val="none"/>
              </w:rPr>
              <w:t>0.00224</w:t>
            </w:r>
          </w:p>
        </w:tc>
        <w:tc>
          <w:tcPr>
            <w:tcW w:w="853" w:type="dxa"/>
            <w:tcBorders>
              <w:tl2br w:val="nil"/>
              <w:tr2bl w:val="nil"/>
            </w:tcBorders>
            <w:vAlign w:val="center"/>
          </w:tcPr>
          <w:p w14:paraId="67DCF093">
            <w:pPr>
              <w:keepNext w:val="0"/>
              <w:keepLines w:val="0"/>
              <w:suppressLineNumbers w:val="0"/>
              <w:spacing w:before="0" w:beforeAutospacing="0" w:after="0" w:afterAutospacing="0"/>
              <w:ind w:left="0" w:right="0"/>
              <w:jc w:val="center"/>
              <w:rPr>
                <w:rFonts w:hint="default" w:ascii="Times New Roman" w:hAnsi="Times New Roman" w:eastAsia="宋体"/>
                <w:sz w:val="21"/>
                <w:szCs w:val="21"/>
                <w:highlight w:val="none"/>
              </w:rPr>
            </w:pPr>
            <w:r>
              <w:rPr>
                <w:rFonts w:hint="eastAsia" w:ascii="Times New Roman" w:hAnsi="Times New Roman" w:eastAsia="宋体"/>
                <w:sz w:val="21"/>
                <w:szCs w:val="21"/>
                <w:highlight w:val="none"/>
              </w:rPr>
              <w:t>1800</w:t>
            </w:r>
          </w:p>
        </w:tc>
        <w:tc>
          <w:tcPr>
            <w:tcW w:w="1018" w:type="dxa"/>
            <w:tcBorders>
              <w:tl2br w:val="nil"/>
              <w:tr2bl w:val="nil"/>
            </w:tcBorders>
            <w:vAlign w:val="center"/>
          </w:tcPr>
          <w:p w14:paraId="22061896">
            <w:pPr>
              <w:keepNext w:val="0"/>
              <w:keepLines w:val="0"/>
              <w:widowControl w:val="0"/>
              <w:suppressLineNumbers w:val="0"/>
              <w:spacing w:before="0" w:beforeAutospacing="0" w:after="0" w:afterAutospacing="0"/>
              <w:ind w:left="0" w:right="0"/>
              <w:jc w:val="center"/>
              <w:rPr>
                <w:rFonts w:hint="default" w:ascii="Times New Roman" w:hAnsi="Times New Roman" w:eastAsia="宋体"/>
                <w:sz w:val="21"/>
                <w:szCs w:val="21"/>
                <w:highlight w:val="none"/>
              </w:rPr>
            </w:pPr>
            <w:r>
              <w:rPr>
                <w:rFonts w:hint="eastAsia" w:ascii="Times New Roman" w:hAnsi="Times New Roman" w:eastAsia="宋体"/>
                <w:sz w:val="21"/>
                <w:szCs w:val="21"/>
                <w:highlight w:val="none"/>
              </w:rPr>
              <w:t>0.004</w:t>
            </w:r>
          </w:p>
        </w:tc>
        <w:tc>
          <w:tcPr>
            <w:tcW w:w="775" w:type="dxa"/>
            <w:tcBorders>
              <w:tl2br w:val="nil"/>
              <w:tr2bl w:val="nil"/>
            </w:tcBorders>
            <w:vAlign w:val="center"/>
          </w:tcPr>
          <w:p w14:paraId="5EE9FC85">
            <w:pPr>
              <w:keepNext w:val="0"/>
              <w:keepLines w:val="0"/>
              <w:suppressLineNumbers w:val="0"/>
              <w:spacing w:before="0" w:beforeAutospacing="0" w:after="0" w:afterAutospacing="0"/>
              <w:ind w:left="0" w:right="0"/>
              <w:jc w:val="center"/>
              <w:rPr>
                <w:rFonts w:hint="default" w:ascii="Times New Roman" w:hAnsi="Times New Roman" w:eastAsia="宋体"/>
                <w:sz w:val="21"/>
                <w:szCs w:val="21"/>
                <w:highlight w:val="none"/>
              </w:rPr>
            </w:pPr>
            <w:r>
              <w:rPr>
                <w:rFonts w:hint="eastAsia" w:ascii="Times New Roman" w:hAnsi="Times New Roman" w:eastAsia="宋体"/>
                <w:sz w:val="21"/>
                <w:szCs w:val="21"/>
                <w:highlight w:val="none"/>
              </w:rPr>
              <w:t>80</w:t>
            </w:r>
            <w:r>
              <w:rPr>
                <w:rFonts w:hint="default" w:ascii="Times New Roman" w:hAnsi="Times New Roman" w:eastAsia="宋体"/>
                <w:sz w:val="21"/>
                <w:szCs w:val="21"/>
                <w:highlight w:val="none"/>
              </w:rPr>
              <w:t>%</w:t>
            </w:r>
          </w:p>
        </w:tc>
        <w:tc>
          <w:tcPr>
            <w:tcW w:w="1093" w:type="dxa"/>
            <w:tcBorders>
              <w:tl2br w:val="nil"/>
              <w:tr2bl w:val="nil"/>
            </w:tcBorders>
            <w:vAlign w:val="center"/>
          </w:tcPr>
          <w:p w14:paraId="518965D6">
            <w:pPr>
              <w:keepNext w:val="0"/>
              <w:keepLines w:val="0"/>
              <w:suppressLineNumbers w:val="0"/>
              <w:spacing w:before="0" w:beforeAutospacing="0" w:after="0" w:afterAutospacing="0"/>
              <w:ind w:left="0" w:right="0"/>
              <w:jc w:val="center"/>
              <w:rPr>
                <w:rFonts w:hint="default" w:ascii="Times New Roman" w:hAnsi="Times New Roman" w:eastAsia="宋体"/>
                <w:sz w:val="21"/>
                <w:szCs w:val="21"/>
                <w:highlight w:val="none"/>
              </w:rPr>
            </w:pPr>
            <w:r>
              <w:rPr>
                <w:rFonts w:hint="eastAsia" w:ascii="Times New Roman" w:hAnsi="Times New Roman" w:eastAsia="宋体"/>
                <w:sz w:val="21"/>
                <w:szCs w:val="21"/>
                <w:highlight w:val="none"/>
              </w:rPr>
              <w:t>0.005</w:t>
            </w:r>
          </w:p>
        </w:tc>
        <w:tc>
          <w:tcPr>
            <w:tcW w:w="979" w:type="dxa"/>
            <w:tcBorders>
              <w:tl2br w:val="nil"/>
              <w:tr2bl w:val="nil"/>
            </w:tcBorders>
            <w:vAlign w:val="center"/>
          </w:tcPr>
          <w:p w14:paraId="1F14B5AF">
            <w:pPr>
              <w:keepNext w:val="0"/>
              <w:keepLines w:val="0"/>
              <w:suppressLineNumbers w:val="0"/>
              <w:spacing w:before="0" w:beforeAutospacing="0" w:after="0" w:afterAutospacing="0"/>
              <w:ind w:left="0" w:right="0"/>
              <w:jc w:val="center"/>
              <w:rPr>
                <w:rFonts w:hint="default" w:ascii="Times New Roman" w:hAnsi="Times New Roman" w:eastAsia="宋体"/>
                <w:sz w:val="21"/>
                <w:szCs w:val="21"/>
                <w:highlight w:val="none"/>
              </w:rPr>
            </w:pPr>
            <w:r>
              <w:rPr>
                <w:rFonts w:hint="eastAsia" w:ascii="Times New Roman" w:hAnsi="Times New Roman" w:eastAsia="宋体"/>
                <w:sz w:val="21"/>
                <w:szCs w:val="21"/>
                <w:highlight w:val="none"/>
              </w:rPr>
              <w:t>0.112</w:t>
            </w:r>
          </w:p>
        </w:tc>
      </w:tr>
      <w:tr w14:paraId="36601F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6" w:type="dxa"/>
            <w:vMerge w:val="continue"/>
            <w:tcBorders>
              <w:tl2br w:val="nil"/>
              <w:tr2bl w:val="nil"/>
            </w:tcBorders>
            <w:vAlign w:val="center"/>
          </w:tcPr>
          <w:p w14:paraId="49E60A18">
            <w:pPr>
              <w:keepNext w:val="0"/>
              <w:keepLines w:val="0"/>
              <w:suppressLineNumbers w:val="0"/>
              <w:spacing w:before="0" w:beforeAutospacing="0" w:after="0" w:afterAutospacing="0"/>
              <w:ind w:left="0" w:right="0"/>
              <w:jc w:val="center"/>
              <w:rPr>
                <w:rFonts w:hint="default" w:ascii="Times New Roman" w:hAnsi="Times New Roman" w:eastAsia="宋体"/>
                <w:bCs/>
                <w:sz w:val="21"/>
                <w:szCs w:val="21"/>
                <w:highlight w:val="none"/>
              </w:rPr>
            </w:pPr>
          </w:p>
        </w:tc>
        <w:tc>
          <w:tcPr>
            <w:tcW w:w="721" w:type="dxa"/>
            <w:vMerge w:val="continue"/>
            <w:tcBorders>
              <w:tl2br w:val="nil"/>
              <w:tr2bl w:val="nil"/>
            </w:tcBorders>
            <w:vAlign w:val="center"/>
          </w:tcPr>
          <w:p w14:paraId="191E1576">
            <w:pPr>
              <w:keepNext w:val="0"/>
              <w:keepLines w:val="0"/>
              <w:suppressLineNumbers w:val="0"/>
              <w:spacing w:before="0" w:beforeAutospacing="0" w:after="0" w:afterAutospacing="0"/>
              <w:ind w:left="0" w:right="0"/>
              <w:jc w:val="center"/>
              <w:rPr>
                <w:rFonts w:hint="default" w:ascii="Times New Roman" w:hAnsi="Times New Roman" w:eastAsia="宋体"/>
                <w:bCs/>
                <w:sz w:val="21"/>
                <w:szCs w:val="21"/>
                <w:highlight w:val="none"/>
              </w:rPr>
            </w:pPr>
          </w:p>
        </w:tc>
        <w:tc>
          <w:tcPr>
            <w:tcW w:w="853" w:type="dxa"/>
            <w:tcBorders>
              <w:tl2br w:val="nil"/>
              <w:tr2bl w:val="nil"/>
            </w:tcBorders>
            <w:vAlign w:val="center"/>
          </w:tcPr>
          <w:p w14:paraId="322A0212">
            <w:pPr>
              <w:keepNext w:val="0"/>
              <w:keepLines w:val="0"/>
              <w:suppressLineNumbers w:val="0"/>
              <w:spacing w:before="0" w:beforeAutospacing="0" w:after="0" w:afterAutospacing="0"/>
              <w:ind w:left="0" w:right="0"/>
              <w:jc w:val="center"/>
              <w:rPr>
                <w:rFonts w:hint="default" w:ascii="Times New Roman" w:hAnsi="Times New Roman" w:eastAsia="宋体"/>
                <w:sz w:val="21"/>
                <w:szCs w:val="21"/>
                <w:highlight w:val="none"/>
              </w:rPr>
            </w:pPr>
            <w:r>
              <w:rPr>
                <w:rFonts w:hint="eastAsia" w:ascii="Times New Roman" w:hAnsi="Times New Roman" w:eastAsia="宋体"/>
                <w:sz w:val="21"/>
                <w:szCs w:val="21"/>
                <w:highlight w:val="none"/>
              </w:rPr>
              <w:t>NO</w:t>
            </w:r>
            <w:r>
              <w:rPr>
                <w:rFonts w:hint="eastAsia" w:ascii="Times New Roman" w:hAnsi="Times New Roman" w:eastAsia="宋体"/>
                <w:sz w:val="21"/>
                <w:szCs w:val="21"/>
                <w:highlight w:val="none"/>
                <w:vertAlign w:val="subscript"/>
              </w:rPr>
              <w:t>X</w:t>
            </w:r>
          </w:p>
        </w:tc>
        <w:tc>
          <w:tcPr>
            <w:tcW w:w="1148" w:type="dxa"/>
            <w:tcBorders>
              <w:tl2br w:val="nil"/>
              <w:tr2bl w:val="nil"/>
            </w:tcBorders>
            <w:vAlign w:val="center"/>
          </w:tcPr>
          <w:p w14:paraId="109E3AD8">
            <w:pPr>
              <w:keepNext w:val="0"/>
              <w:keepLines w:val="0"/>
              <w:suppressLineNumbers w:val="0"/>
              <w:spacing w:before="0" w:beforeAutospacing="0" w:after="0" w:afterAutospacing="0"/>
              <w:ind w:left="0" w:right="0"/>
              <w:jc w:val="center"/>
              <w:rPr>
                <w:rFonts w:hint="default" w:ascii="Times New Roman" w:hAnsi="Times New Roman" w:eastAsia="宋体"/>
                <w:sz w:val="21"/>
                <w:szCs w:val="21"/>
                <w:highlight w:val="none"/>
              </w:rPr>
            </w:pPr>
            <w:r>
              <w:rPr>
                <w:rFonts w:hint="default" w:ascii="Times New Roman" w:hAnsi="Times New Roman" w:eastAsia="宋体"/>
                <w:sz w:val="21"/>
                <w:szCs w:val="21"/>
                <w:highlight w:val="none"/>
              </w:rPr>
              <w:t>2.22×10</w:t>
            </w:r>
            <w:r>
              <w:rPr>
                <w:rFonts w:hint="default" w:ascii="Times New Roman" w:hAnsi="Times New Roman" w:eastAsia="宋体"/>
                <w:sz w:val="21"/>
                <w:szCs w:val="21"/>
                <w:highlight w:val="none"/>
                <w:vertAlign w:val="superscript"/>
              </w:rPr>
              <w:t>-2</w:t>
            </w:r>
          </w:p>
        </w:tc>
        <w:tc>
          <w:tcPr>
            <w:tcW w:w="853" w:type="dxa"/>
            <w:tcBorders>
              <w:tl2br w:val="nil"/>
              <w:tr2bl w:val="nil"/>
            </w:tcBorders>
            <w:vAlign w:val="center"/>
          </w:tcPr>
          <w:p w14:paraId="21441CD4">
            <w:pPr>
              <w:keepNext w:val="0"/>
              <w:keepLines w:val="0"/>
              <w:suppressLineNumbers w:val="0"/>
              <w:spacing w:before="0" w:beforeAutospacing="0" w:after="0" w:afterAutospacing="0"/>
              <w:ind w:left="0" w:right="0"/>
              <w:jc w:val="center"/>
              <w:rPr>
                <w:rFonts w:hint="default" w:ascii="Times New Roman" w:hAnsi="Times New Roman" w:eastAsia="宋体"/>
                <w:sz w:val="21"/>
                <w:szCs w:val="21"/>
                <w:highlight w:val="none"/>
              </w:rPr>
            </w:pPr>
            <w:r>
              <w:rPr>
                <w:rFonts w:hint="eastAsia" w:ascii="Times New Roman" w:hAnsi="Times New Roman" w:eastAsia="宋体"/>
                <w:sz w:val="21"/>
                <w:szCs w:val="21"/>
                <w:highlight w:val="none"/>
              </w:rPr>
              <w:t>1800</w:t>
            </w:r>
          </w:p>
        </w:tc>
        <w:tc>
          <w:tcPr>
            <w:tcW w:w="1018" w:type="dxa"/>
            <w:tcBorders>
              <w:tl2br w:val="nil"/>
              <w:tr2bl w:val="nil"/>
            </w:tcBorders>
            <w:vAlign w:val="center"/>
          </w:tcPr>
          <w:p w14:paraId="4D12B8DF">
            <w:pPr>
              <w:keepNext w:val="0"/>
              <w:keepLines w:val="0"/>
              <w:widowControl w:val="0"/>
              <w:suppressLineNumbers w:val="0"/>
              <w:spacing w:before="0" w:beforeAutospacing="0" w:after="0" w:afterAutospacing="0"/>
              <w:ind w:left="0" w:right="0"/>
              <w:jc w:val="center"/>
              <w:rPr>
                <w:rFonts w:hint="default" w:ascii="Times New Roman" w:hAnsi="Times New Roman" w:eastAsia="宋体"/>
                <w:sz w:val="21"/>
                <w:szCs w:val="21"/>
                <w:highlight w:val="none"/>
              </w:rPr>
            </w:pPr>
            <w:r>
              <w:rPr>
                <w:rFonts w:hint="eastAsia" w:ascii="Times New Roman" w:hAnsi="Times New Roman" w:eastAsia="宋体"/>
                <w:sz w:val="21"/>
                <w:szCs w:val="21"/>
                <w:highlight w:val="none"/>
              </w:rPr>
              <w:t>0.04</w:t>
            </w:r>
          </w:p>
        </w:tc>
        <w:tc>
          <w:tcPr>
            <w:tcW w:w="775" w:type="dxa"/>
            <w:tcBorders>
              <w:tl2br w:val="nil"/>
              <w:tr2bl w:val="nil"/>
            </w:tcBorders>
            <w:vAlign w:val="center"/>
          </w:tcPr>
          <w:p w14:paraId="624B2444">
            <w:pPr>
              <w:keepNext w:val="0"/>
              <w:keepLines w:val="0"/>
              <w:suppressLineNumbers w:val="0"/>
              <w:spacing w:before="0" w:beforeAutospacing="0" w:after="0" w:afterAutospacing="0"/>
              <w:ind w:left="0" w:right="0"/>
              <w:jc w:val="center"/>
              <w:rPr>
                <w:rFonts w:hint="default" w:ascii="Times New Roman" w:hAnsi="Times New Roman" w:eastAsia="宋体"/>
                <w:sz w:val="21"/>
                <w:szCs w:val="21"/>
                <w:highlight w:val="none"/>
              </w:rPr>
            </w:pPr>
            <w:r>
              <w:rPr>
                <w:rFonts w:hint="eastAsia" w:ascii="Times New Roman" w:hAnsi="Times New Roman" w:eastAsia="宋体"/>
                <w:sz w:val="21"/>
                <w:szCs w:val="21"/>
                <w:highlight w:val="none"/>
              </w:rPr>
              <w:t>80</w:t>
            </w:r>
            <w:r>
              <w:rPr>
                <w:rFonts w:hint="default" w:ascii="Times New Roman" w:hAnsi="Times New Roman" w:eastAsia="宋体"/>
                <w:sz w:val="21"/>
                <w:szCs w:val="21"/>
                <w:highlight w:val="none"/>
              </w:rPr>
              <w:t>%</w:t>
            </w:r>
          </w:p>
        </w:tc>
        <w:tc>
          <w:tcPr>
            <w:tcW w:w="1093" w:type="dxa"/>
            <w:tcBorders>
              <w:tl2br w:val="nil"/>
              <w:tr2bl w:val="nil"/>
            </w:tcBorders>
            <w:vAlign w:val="center"/>
          </w:tcPr>
          <w:p w14:paraId="77BB3C10">
            <w:pPr>
              <w:keepNext w:val="0"/>
              <w:keepLines w:val="0"/>
              <w:suppressLineNumbers w:val="0"/>
              <w:spacing w:before="0" w:beforeAutospacing="0" w:after="0" w:afterAutospacing="0"/>
              <w:ind w:left="0" w:right="0"/>
              <w:jc w:val="center"/>
              <w:rPr>
                <w:rFonts w:hint="default" w:ascii="Times New Roman" w:hAnsi="Times New Roman" w:eastAsia="宋体"/>
                <w:sz w:val="21"/>
                <w:szCs w:val="21"/>
                <w:highlight w:val="none"/>
              </w:rPr>
            </w:pPr>
            <w:r>
              <w:rPr>
                <w:rFonts w:hint="eastAsia" w:ascii="Times New Roman" w:hAnsi="Times New Roman" w:eastAsia="宋体"/>
                <w:sz w:val="21"/>
                <w:szCs w:val="21"/>
                <w:highlight w:val="none"/>
              </w:rPr>
              <w:t>0.05</w:t>
            </w:r>
          </w:p>
        </w:tc>
        <w:tc>
          <w:tcPr>
            <w:tcW w:w="979" w:type="dxa"/>
            <w:tcBorders>
              <w:tl2br w:val="nil"/>
              <w:tr2bl w:val="nil"/>
            </w:tcBorders>
            <w:vAlign w:val="center"/>
          </w:tcPr>
          <w:p w14:paraId="64FC1936">
            <w:pPr>
              <w:keepNext w:val="0"/>
              <w:keepLines w:val="0"/>
              <w:suppressLineNumbers w:val="0"/>
              <w:spacing w:before="0" w:beforeAutospacing="0" w:after="0" w:afterAutospacing="0"/>
              <w:ind w:left="0" w:right="0"/>
              <w:jc w:val="center"/>
              <w:rPr>
                <w:rFonts w:hint="default" w:ascii="Times New Roman" w:hAnsi="Times New Roman" w:eastAsia="宋体"/>
                <w:sz w:val="21"/>
                <w:szCs w:val="21"/>
                <w:highlight w:val="none"/>
              </w:rPr>
            </w:pPr>
            <w:r>
              <w:rPr>
                <w:rFonts w:hint="eastAsia" w:ascii="Times New Roman" w:hAnsi="Times New Roman" w:eastAsia="宋体"/>
                <w:sz w:val="21"/>
                <w:szCs w:val="21"/>
                <w:highlight w:val="none"/>
              </w:rPr>
              <w:t>1.044</w:t>
            </w:r>
          </w:p>
        </w:tc>
      </w:tr>
    </w:tbl>
    <w:p w14:paraId="56B5172E">
      <w:pPr>
        <w:pStyle w:val="59"/>
        <w:spacing w:line="520" w:lineRule="exact"/>
        <w:ind w:firstLine="48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由上表可以看出，满负荷生产条件下，本项目污染物最大排放量为颗粒物</w:t>
      </w:r>
      <w:r>
        <w:rPr>
          <w:rFonts w:hint="default" w:ascii="Times New Roman" w:hAnsi="Times New Roman" w:eastAsia="宋体" w:cs="Times New Roman"/>
          <w:highlight w:val="none"/>
          <w:lang w:val="en-US" w:eastAsia="zh-CN"/>
        </w:rPr>
        <w:t>0.0</w:t>
      </w:r>
      <w:r>
        <w:rPr>
          <w:rFonts w:hint="eastAsia" w:ascii="Times New Roman" w:hAnsi="Times New Roman" w:eastAsia="宋体" w:cs="Times New Roman"/>
          <w:highlight w:val="none"/>
          <w:lang w:val="en-US" w:eastAsia="zh-CN"/>
        </w:rPr>
        <w:t>11</w:t>
      </w:r>
      <w:r>
        <w:rPr>
          <w:rFonts w:hint="default" w:ascii="Times New Roman" w:hAnsi="Times New Roman" w:eastAsia="宋体" w:cs="Times New Roman"/>
          <w:highlight w:val="none"/>
          <w:lang w:val="en-US" w:eastAsia="zh-CN"/>
        </w:rPr>
        <w:t>t/a</w:t>
      </w:r>
      <w:r>
        <w:rPr>
          <w:rFonts w:hint="eastAsia" w:ascii="Times New Roman" w:hAnsi="Times New Roman" w:eastAsia="宋体" w:cs="Times New Roman"/>
          <w:highlight w:val="none"/>
          <w:lang w:val="en-US" w:eastAsia="zh-CN"/>
        </w:rPr>
        <w:t>、</w:t>
      </w:r>
      <w:bookmarkStart w:id="79" w:name="OLE_LINK55"/>
      <w:r>
        <w:rPr>
          <w:rFonts w:hint="eastAsia" w:ascii="Times New Roman" w:hAnsi="Times New Roman" w:eastAsia="宋体" w:cs="Times New Roman"/>
          <w:highlight w:val="none"/>
          <w:lang w:val="en-US" w:eastAsia="zh-CN"/>
        </w:rPr>
        <w:t>SO2</w:t>
      </w:r>
      <w:r>
        <w:rPr>
          <w:rFonts w:hint="default" w:ascii="Times New Roman" w:hAnsi="Times New Roman" w:eastAsia="宋体" w:cs="Times New Roman"/>
          <w:highlight w:val="none"/>
          <w:lang w:val="en-US" w:eastAsia="zh-CN"/>
        </w:rPr>
        <w:t>0.00</w:t>
      </w:r>
      <w:bookmarkEnd w:id="79"/>
      <w:bookmarkStart w:id="80" w:name="OLE_LINK8"/>
      <w:r>
        <w:rPr>
          <w:rFonts w:hint="eastAsia" w:ascii="Times New Roman" w:hAnsi="Times New Roman" w:eastAsia="宋体" w:cs="Times New Roman"/>
          <w:highlight w:val="none"/>
          <w:lang w:val="en-US" w:eastAsia="zh-CN"/>
        </w:rPr>
        <w:t>5</w:t>
      </w:r>
      <w:r>
        <w:rPr>
          <w:rFonts w:hint="default" w:ascii="Times New Roman" w:hAnsi="Times New Roman" w:eastAsia="宋体" w:cs="Times New Roman"/>
          <w:highlight w:val="none"/>
          <w:lang w:val="en-US" w:eastAsia="zh-CN"/>
        </w:rPr>
        <w:t>t/a</w:t>
      </w:r>
      <w:bookmarkEnd w:id="80"/>
      <w:r>
        <w:rPr>
          <w:rFonts w:hint="eastAsia" w:ascii="Times New Roman" w:hAnsi="Times New Roman" w:eastAsia="宋体" w:cs="Times New Roman"/>
          <w:highlight w:val="none"/>
          <w:lang w:val="en-US" w:eastAsia="zh-CN"/>
        </w:rPr>
        <w:t>、</w:t>
      </w:r>
      <w:bookmarkStart w:id="81" w:name="OLE_LINK46"/>
      <w:r>
        <w:rPr>
          <w:rFonts w:hint="default" w:ascii="Times New Roman" w:hAnsi="Times New Roman" w:eastAsia="宋体" w:cs="Times New Roman"/>
          <w:highlight w:val="none"/>
          <w:lang w:val="en-US" w:eastAsia="zh-CN"/>
        </w:rPr>
        <w:t>N</w:t>
      </w:r>
      <w:r>
        <w:rPr>
          <w:rFonts w:hint="eastAsia" w:ascii="Times New Roman" w:hAnsi="Times New Roman" w:eastAsia="宋体" w:cs="Times New Roman"/>
          <w:highlight w:val="none"/>
          <w:lang w:val="en-US" w:eastAsia="zh-CN"/>
        </w:rPr>
        <w:t>OX</w:t>
      </w:r>
      <w:r>
        <w:rPr>
          <w:rFonts w:hint="default" w:ascii="Times New Roman" w:hAnsi="Times New Roman" w:eastAsia="宋体" w:cs="Times New Roman"/>
          <w:highlight w:val="none"/>
          <w:lang w:val="en-US" w:eastAsia="zh-CN"/>
        </w:rPr>
        <w:t xml:space="preserve"> 0.0</w:t>
      </w:r>
      <w:r>
        <w:rPr>
          <w:rFonts w:hint="eastAsia" w:ascii="Times New Roman" w:hAnsi="Times New Roman" w:eastAsia="宋体" w:cs="Times New Roman"/>
          <w:highlight w:val="none"/>
          <w:lang w:val="en-US" w:eastAsia="zh-CN"/>
        </w:rPr>
        <w:t>5</w:t>
      </w:r>
      <w:r>
        <w:rPr>
          <w:rFonts w:hint="default" w:ascii="Times New Roman" w:hAnsi="Times New Roman" w:eastAsia="宋体" w:cs="Times New Roman"/>
          <w:highlight w:val="none"/>
          <w:lang w:val="en-US" w:eastAsia="zh-CN"/>
        </w:rPr>
        <w:t>t/a</w:t>
      </w:r>
      <w:r>
        <w:rPr>
          <w:rFonts w:hint="eastAsia" w:ascii="Times New Roman" w:hAnsi="Times New Roman" w:eastAsia="宋体" w:cs="Times New Roman"/>
          <w:highlight w:val="none"/>
          <w:lang w:val="en-US" w:eastAsia="zh-CN"/>
        </w:rPr>
        <w:t>，</w:t>
      </w:r>
      <w:bookmarkEnd w:id="81"/>
      <w:r>
        <w:rPr>
          <w:rFonts w:hint="eastAsia" w:ascii="Times New Roman" w:hAnsi="Times New Roman" w:eastAsia="宋体" w:cs="Times New Roman"/>
          <w:highlight w:val="none"/>
          <w:lang w:val="en-US" w:eastAsia="zh-CN"/>
        </w:rPr>
        <w:t>能够满足环评批复允许排放量颗粒物</w:t>
      </w:r>
      <w:r>
        <w:rPr>
          <w:rFonts w:hint="default" w:ascii="Times New Roman" w:hAnsi="Times New Roman" w:eastAsia="宋体" w:cs="Times New Roman"/>
          <w:highlight w:val="none"/>
          <w:lang w:val="en-US" w:eastAsia="zh-CN"/>
        </w:rPr>
        <w:t>0.</w:t>
      </w:r>
      <w:r>
        <w:rPr>
          <w:rFonts w:hint="eastAsia" w:ascii="Times New Roman" w:hAnsi="Times New Roman" w:eastAsia="宋体" w:cs="Times New Roman"/>
          <w:highlight w:val="none"/>
          <w:lang w:val="en-US" w:eastAsia="zh-CN"/>
        </w:rPr>
        <w:t>134</w:t>
      </w:r>
      <w:r>
        <w:rPr>
          <w:rFonts w:hint="default" w:ascii="Times New Roman" w:hAnsi="Times New Roman" w:eastAsia="宋体" w:cs="Times New Roman"/>
          <w:highlight w:val="none"/>
          <w:lang w:val="en-US" w:eastAsia="zh-CN"/>
        </w:rPr>
        <w:t>t/a</w:t>
      </w:r>
      <w:r>
        <w:rPr>
          <w:rFonts w:hint="eastAsia" w:ascii="Times New Roman" w:hAnsi="Times New Roman" w:eastAsia="宋体" w:cs="Times New Roman"/>
          <w:highlight w:val="none"/>
          <w:lang w:val="en-US" w:eastAsia="zh-CN"/>
        </w:rPr>
        <w:t>、SO2</w:t>
      </w:r>
      <w:r>
        <w:rPr>
          <w:rFonts w:hint="default" w:ascii="Times New Roman" w:hAnsi="Times New Roman" w:eastAsia="宋体" w:cs="Times New Roman"/>
          <w:highlight w:val="none"/>
          <w:lang w:val="en-US" w:eastAsia="zh-CN"/>
        </w:rPr>
        <w:t>0.</w:t>
      </w:r>
      <w:r>
        <w:rPr>
          <w:rFonts w:hint="eastAsia" w:ascii="Times New Roman" w:hAnsi="Times New Roman" w:eastAsia="宋体" w:cs="Times New Roman"/>
          <w:highlight w:val="none"/>
          <w:lang w:val="en-US" w:eastAsia="zh-CN"/>
        </w:rPr>
        <w:t>112</w:t>
      </w:r>
      <w:r>
        <w:rPr>
          <w:rFonts w:hint="default" w:ascii="Times New Roman" w:hAnsi="Times New Roman" w:eastAsia="宋体" w:cs="Times New Roman"/>
          <w:highlight w:val="none"/>
          <w:lang w:val="en-US" w:eastAsia="zh-CN"/>
        </w:rPr>
        <w:t>t/a</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N</w:t>
      </w:r>
      <w:r>
        <w:rPr>
          <w:rFonts w:hint="eastAsia" w:ascii="Times New Roman" w:hAnsi="Times New Roman" w:eastAsia="宋体" w:cs="Times New Roman"/>
          <w:highlight w:val="none"/>
          <w:lang w:val="en-US" w:eastAsia="zh-CN"/>
        </w:rPr>
        <w:t>OX</w:t>
      </w:r>
      <w:r>
        <w:rPr>
          <w:rFonts w:hint="default" w:ascii="Times New Roman" w:hAnsi="Times New Roman" w:eastAsia="宋体" w:cs="Times New Roman"/>
          <w:highlight w:val="none"/>
          <w:lang w:val="en-US" w:eastAsia="zh-CN"/>
        </w:rPr>
        <w:t xml:space="preserve"> </w:t>
      </w:r>
      <w:r>
        <w:rPr>
          <w:rFonts w:hint="eastAsia" w:ascii="Times New Roman" w:hAnsi="Times New Roman" w:eastAsia="宋体" w:cs="Times New Roman"/>
          <w:highlight w:val="none"/>
          <w:lang w:val="en-US" w:eastAsia="zh-CN"/>
        </w:rPr>
        <w:t>1.044</w:t>
      </w:r>
      <w:r>
        <w:rPr>
          <w:rFonts w:hint="default" w:ascii="Times New Roman" w:hAnsi="Times New Roman" w:eastAsia="宋体" w:cs="Times New Roman"/>
          <w:highlight w:val="none"/>
          <w:lang w:val="en-US" w:eastAsia="zh-CN"/>
        </w:rPr>
        <w:t>t/a</w:t>
      </w:r>
      <w:r>
        <w:rPr>
          <w:rFonts w:hint="eastAsia" w:ascii="Times New Roman" w:hAnsi="Times New Roman" w:eastAsia="宋体" w:cs="Times New Roman"/>
          <w:highlight w:val="none"/>
          <w:lang w:val="en-US" w:eastAsia="zh-CN"/>
        </w:rPr>
        <w:t>的指标要求。</w:t>
      </w:r>
    </w:p>
    <w:p w14:paraId="328140C6">
      <w:pPr>
        <w:pStyle w:val="3"/>
        <w:spacing w:line="480" w:lineRule="exact"/>
        <w:rPr>
          <w:highlight w:val="none"/>
        </w:rPr>
      </w:pPr>
      <w:r>
        <w:rPr>
          <w:highlight w:val="none"/>
        </w:rPr>
        <w:t>9.4 环境管理检查</w:t>
      </w:r>
      <w:bookmarkEnd w:id="76"/>
      <w:bookmarkEnd w:id="77"/>
    </w:p>
    <w:p w14:paraId="4A88C32B">
      <w:pPr>
        <w:pStyle w:val="4"/>
        <w:spacing w:before="0" w:after="0" w:line="480" w:lineRule="exact"/>
        <w:rPr>
          <w:rFonts w:cs="Times New Roman"/>
          <w:highlight w:val="none"/>
        </w:rPr>
      </w:pPr>
      <w:bookmarkStart w:id="82" w:name="_Toc501703562"/>
      <w:bookmarkStart w:id="83" w:name="_Toc504492859"/>
      <w:r>
        <w:rPr>
          <w:rFonts w:cs="Times New Roman"/>
          <w:highlight w:val="none"/>
        </w:rPr>
        <w:t>9.4.1环保手续与“三同时”执行情况</w:t>
      </w:r>
      <w:bookmarkEnd w:id="82"/>
      <w:bookmarkEnd w:id="83"/>
    </w:p>
    <w:p w14:paraId="5E7AE517">
      <w:pPr>
        <w:pStyle w:val="59"/>
        <w:spacing w:line="480" w:lineRule="exact"/>
        <w:ind w:firstLine="480"/>
        <w:rPr>
          <w:highlight w:val="none"/>
        </w:rPr>
      </w:pPr>
      <w:r>
        <w:rPr>
          <w:highlight w:val="none"/>
        </w:rPr>
        <w:t>企业建设前进行了环境影响评价，建设中履行了“三同时”制度。</w:t>
      </w:r>
    </w:p>
    <w:p w14:paraId="2326C664">
      <w:pPr>
        <w:pStyle w:val="4"/>
        <w:spacing w:before="0" w:after="0" w:line="480" w:lineRule="exact"/>
        <w:rPr>
          <w:rFonts w:cs="Times New Roman"/>
          <w:highlight w:val="none"/>
        </w:rPr>
      </w:pPr>
      <w:bookmarkStart w:id="84" w:name="_Toc504492860"/>
      <w:bookmarkStart w:id="85" w:name="_Toc501703563"/>
      <w:r>
        <w:rPr>
          <w:rFonts w:cs="Times New Roman"/>
          <w:highlight w:val="none"/>
        </w:rPr>
        <w:t>9.4.2环境管理制度及执行情况</w:t>
      </w:r>
      <w:bookmarkEnd w:id="84"/>
      <w:bookmarkEnd w:id="85"/>
    </w:p>
    <w:p w14:paraId="39A85EEC">
      <w:pPr>
        <w:pStyle w:val="59"/>
        <w:spacing w:line="480" w:lineRule="exact"/>
        <w:ind w:firstLine="480"/>
        <w:rPr>
          <w:highlight w:val="none"/>
        </w:rPr>
      </w:pPr>
      <w:r>
        <w:rPr>
          <w:highlight w:val="none"/>
        </w:rPr>
        <w:t>企业按照有关规定建立了相关环境保护管理制度，由专人负责公司环境管理工作。</w:t>
      </w:r>
    </w:p>
    <w:p w14:paraId="0976C572">
      <w:pPr>
        <w:pStyle w:val="4"/>
        <w:spacing w:line="480" w:lineRule="exact"/>
        <w:rPr>
          <w:rFonts w:cs="Times New Roman"/>
          <w:highlight w:val="none"/>
        </w:rPr>
      </w:pPr>
      <w:bookmarkStart w:id="86" w:name="_Toc501703564"/>
      <w:bookmarkStart w:id="87" w:name="_Toc504492861"/>
      <w:r>
        <w:rPr>
          <w:rFonts w:cs="Times New Roman"/>
          <w:highlight w:val="none"/>
        </w:rPr>
        <w:t>9.4.3环保设施运转情况</w:t>
      </w:r>
      <w:bookmarkEnd w:id="86"/>
      <w:bookmarkEnd w:id="87"/>
    </w:p>
    <w:p w14:paraId="3239C2A1">
      <w:pPr>
        <w:pStyle w:val="59"/>
        <w:ind w:firstLine="480"/>
        <w:rPr>
          <w:highlight w:val="none"/>
        </w:rPr>
      </w:pPr>
      <w:r>
        <w:rPr>
          <w:highlight w:val="none"/>
        </w:rPr>
        <w:t>监测期间各项环保设施运转正常。</w:t>
      </w:r>
    </w:p>
    <w:p w14:paraId="5CFB8B0E">
      <w:pPr>
        <w:spacing w:line="440" w:lineRule="exact"/>
        <w:ind w:firstLine="480" w:firstLineChars="200"/>
        <w:textAlignment w:val="baseline"/>
        <w:rPr>
          <w:rFonts w:cs="Times New Roman"/>
          <w:sz w:val="24"/>
          <w:highlight w:val="yellow"/>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15878237">
      <w:pPr>
        <w:pStyle w:val="26"/>
        <w:spacing w:after="240" w:line="500" w:lineRule="exact"/>
        <w:rPr>
          <w:highlight w:val="none"/>
        </w:rPr>
      </w:pPr>
      <w:bookmarkStart w:id="88" w:name="_Toc501703565"/>
      <w:bookmarkStart w:id="89" w:name="_Toc504492862"/>
      <w:r>
        <w:rPr>
          <w:highlight w:val="none"/>
        </w:rPr>
        <w:t>10、验收监测结论</w:t>
      </w:r>
      <w:bookmarkEnd w:id="88"/>
      <w:bookmarkEnd w:id="89"/>
    </w:p>
    <w:p w14:paraId="07C0C336">
      <w:pPr>
        <w:pStyle w:val="3"/>
        <w:spacing w:line="500" w:lineRule="exact"/>
        <w:rPr>
          <w:highlight w:val="none"/>
        </w:rPr>
      </w:pPr>
      <w:bookmarkStart w:id="90" w:name="_Toc504492863"/>
      <w:bookmarkStart w:id="91" w:name="_Toc501703566"/>
      <w:r>
        <w:rPr>
          <w:highlight w:val="none"/>
        </w:rPr>
        <w:t>10.1 环境保护设施调试效果</w:t>
      </w:r>
      <w:bookmarkEnd w:id="90"/>
      <w:bookmarkEnd w:id="91"/>
    </w:p>
    <w:p w14:paraId="3DF27185">
      <w:pPr>
        <w:pStyle w:val="59"/>
        <w:ind w:firstLine="480"/>
        <w:rPr>
          <w:highlight w:val="none"/>
        </w:rPr>
      </w:pPr>
      <w:r>
        <w:rPr>
          <w:highlight w:val="none"/>
        </w:rPr>
        <w:t>1、验收监测期间，生产负荷满足验收期间生产负荷达到75%的要求。</w:t>
      </w:r>
    </w:p>
    <w:p w14:paraId="7F5DF96C">
      <w:pPr>
        <w:pStyle w:val="59"/>
        <w:ind w:firstLine="480"/>
        <w:rPr>
          <w:highlight w:val="none"/>
        </w:rPr>
      </w:pPr>
      <w:r>
        <w:rPr>
          <w:highlight w:val="none"/>
        </w:rPr>
        <w:t>2、项目变动情况：</w:t>
      </w:r>
    </w:p>
    <w:p w14:paraId="5CEFEE59">
      <w:pPr>
        <w:spacing w:line="460" w:lineRule="exact"/>
        <w:ind w:firstLine="480" w:firstLineChars="200"/>
        <w:rPr>
          <w:rFonts w:hint="eastAsia" w:cs="Times New Roman"/>
          <w:sz w:val="24"/>
          <w:szCs w:val="28"/>
          <w:highlight w:val="none"/>
          <w:lang w:val="en-US" w:eastAsia="zh-CN"/>
        </w:rPr>
      </w:pPr>
      <w:r>
        <w:rPr>
          <w:rFonts w:hint="eastAsia" w:cs="Times New Roman"/>
          <w:sz w:val="24"/>
          <w:szCs w:val="28"/>
          <w:highlight w:val="none"/>
          <w:lang w:val="en-US" w:eastAsia="zh-CN"/>
        </w:rPr>
        <w:t>本次仅对项目</w:t>
      </w:r>
      <w:r>
        <w:rPr>
          <w:rFonts w:hint="eastAsia" w:cs="Times New Roman"/>
          <w:sz w:val="24"/>
          <w:szCs w:val="28"/>
          <w:highlight w:val="none"/>
        </w:rPr>
        <w:t>1台2t/h燃气锅炉</w:t>
      </w:r>
      <w:r>
        <w:rPr>
          <w:rFonts w:hint="eastAsia" w:cs="Times New Roman"/>
          <w:sz w:val="24"/>
          <w:szCs w:val="28"/>
          <w:highlight w:val="none"/>
          <w:lang w:val="en-US" w:eastAsia="zh-CN"/>
        </w:rPr>
        <w:t>进行验收，环评中燃气锅炉尾气经1根8m高烟囱排放，实际建设中为减少污染物排放量，燃气锅炉增加低氮燃烧，尾气经1根15m高排气筒排放</w:t>
      </w:r>
      <w:r>
        <w:rPr>
          <w:rFonts w:hint="eastAsia" w:cs="Times New Roman"/>
          <w:sz w:val="24"/>
          <w:szCs w:val="28"/>
          <w:highlight w:val="none"/>
          <w:lang w:eastAsia="zh-CN"/>
        </w:rPr>
        <w:t>，</w:t>
      </w:r>
      <w:r>
        <w:rPr>
          <w:rFonts w:hint="eastAsia" w:cs="Times New Roman"/>
          <w:sz w:val="24"/>
          <w:szCs w:val="28"/>
          <w:highlight w:val="none"/>
          <w:lang w:val="en-US" w:eastAsia="zh-CN"/>
        </w:rPr>
        <w:t>该变动情况属于治理设施优化提升。</w:t>
      </w:r>
    </w:p>
    <w:p w14:paraId="6FF60A19">
      <w:pPr>
        <w:pStyle w:val="59"/>
        <w:spacing w:line="520" w:lineRule="exact"/>
        <w:ind w:firstLine="480"/>
        <w:rPr>
          <w:rFonts w:ascii="Times New Roman" w:hAnsi="Times New Roman" w:eastAsia="宋体" w:cs="Times New Roman"/>
          <w:szCs w:val="24"/>
          <w:highlight w:val="none"/>
        </w:rPr>
      </w:pPr>
      <w:r>
        <w:rPr>
          <w:rFonts w:hint="eastAsia" w:ascii="Times New Roman" w:hAnsi="Times New Roman" w:eastAsia="宋体" w:cs="Times New Roman"/>
          <w:szCs w:val="24"/>
          <w:highlight w:val="none"/>
        </w:rPr>
        <w:t>对照《污染影响类建设项目重大变动清单（试行）的通知》（环办环评函〔2020〕688号），其环境保护措施中要求为：“</w:t>
      </w:r>
      <w:r>
        <w:rPr>
          <w:rFonts w:ascii="Times New Roman" w:hAnsi="Times New Roman" w:eastAsia="宋体" w:cs="Times New Roman"/>
          <w:szCs w:val="24"/>
          <w:highlight w:val="none"/>
        </w:rPr>
        <w:t>8</w:t>
      </w:r>
      <w:r>
        <w:rPr>
          <w:rFonts w:hint="eastAsia" w:ascii="Times New Roman" w:hAnsi="Times New Roman" w:eastAsia="宋体" w:cs="Times New Roman"/>
          <w:szCs w:val="24"/>
          <w:highlight w:val="none"/>
        </w:rPr>
        <w:t>.废气、废水污染防治措施变化，导致第6条中所列情形之一（废气无组织排放改为有组织排放、污染防治措施强化或改进的除外）或大气污染物无组织排放量增加1</w:t>
      </w:r>
      <w:r>
        <w:rPr>
          <w:rFonts w:ascii="Times New Roman" w:hAnsi="Times New Roman" w:eastAsia="宋体" w:cs="Times New Roman"/>
          <w:szCs w:val="24"/>
          <w:highlight w:val="none"/>
        </w:rPr>
        <w:t>0%</w:t>
      </w:r>
      <w:r>
        <w:rPr>
          <w:rFonts w:hint="eastAsia" w:ascii="Times New Roman" w:hAnsi="Times New Roman" w:eastAsia="宋体" w:cs="Times New Roman"/>
          <w:szCs w:val="24"/>
          <w:highlight w:val="none"/>
        </w:rPr>
        <w:t>及以上的</w:t>
      </w:r>
      <w:r>
        <w:rPr>
          <w:rFonts w:ascii="Times New Roman" w:hAnsi="Times New Roman" w:eastAsia="宋体" w:cs="Times New Roman"/>
          <w:szCs w:val="24"/>
          <w:highlight w:val="none"/>
        </w:rPr>
        <w:t>。9.新增废水直接排放口</w:t>
      </w:r>
      <w:r>
        <w:rPr>
          <w:rFonts w:hint="eastAsia" w:ascii="Times New Roman" w:hAnsi="Times New Roman" w:eastAsia="宋体" w:cs="Times New Roman"/>
          <w:szCs w:val="24"/>
          <w:highlight w:val="none"/>
        </w:rPr>
        <w:t>；</w:t>
      </w:r>
      <w:r>
        <w:rPr>
          <w:rFonts w:ascii="Times New Roman" w:hAnsi="Times New Roman" w:eastAsia="宋体" w:cs="Times New Roman"/>
          <w:szCs w:val="24"/>
          <w:highlight w:val="none"/>
        </w:rPr>
        <w:t>废水由间接排放改为直接排放</w:t>
      </w:r>
      <w:r>
        <w:rPr>
          <w:rFonts w:hint="eastAsia" w:ascii="Times New Roman" w:hAnsi="Times New Roman" w:eastAsia="宋体" w:cs="Times New Roman"/>
          <w:szCs w:val="24"/>
          <w:highlight w:val="none"/>
        </w:rPr>
        <w:t>；</w:t>
      </w:r>
      <w:r>
        <w:rPr>
          <w:rFonts w:ascii="Times New Roman" w:hAnsi="Times New Roman" w:eastAsia="宋体" w:cs="Times New Roman"/>
          <w:szCs w:val="24"/>
          <w:highlight w:val="none"/>
        </w:rPr>
        <w:t>废水直接排放口位置变化</w:t>
      </w:r>
      <w:r>
        <w:rPr>
          <w:rFonts w:hint="eastAsia" w:ascii="Times New Roman" w:hAnsi="Times New Roman" w:eastAsia="宋体" w:cs="Times New Roman"/>
          <w:szCs w:val="24"/>
          <w:highlight w:val="none"/>
        </w:rPr>
        <w:t>，</w:t>
      </w:r>
      <w:r>
        <w:rPr>
          <w:rFonts w:ascii="Times New Roman" w:hAnsi="Times New Roman" w:eastAsia="宋体" w:cs="Times New Roman"/>
          <w:szCs w:val="24"/>
          <w:highlight w:val="none"/>
        </w:rPr>
        <w:t>导致不利环境影响加重的。10.新增废气主要排放口(废气无组织排放改为有组织排放的除外)</w:t>
      </w:r>
      <w:r>
        <w:rPr>
          <w:rFonts w:hint="eastAsia" w:ascii="Times New Roman" w:hAnsi="Times New Roman" w:eastAsia="宋体" w:cs="Times New Roman"/>
          <w:szCs w:val="24"/>
          <w:highlight w:val="none"/>
        </w:rPr>
        <w:t>；</w:t>
      </w:r>
      <w:r>
        <w:rPr>
          <w:rFonts w:ascii="Times New Roman" w:hAnsi="Times New Roman" w:eastAsia="宋体" w:cs="Times New Roman"/>
          <w:szCs w:val="24"/>
          <w:highlight w:val="none"/>
        </w:rPr>
        <w:t>主要排放口排气筒高度降低10%及以上的。</w:t>
      </w:r>
      <w:r>
        <w:rPr>
          <w:rFonts w:hint="eastAsia" w:ascii="Times New Roman" w:hAnsi="Times New Roman" w:eastAsia="宋体" w:cs="Times New Roman"/>
          <w:szCs w:val="24"/>
          <w:highlight w:val="none"/>
        </w:rPr>
        <w:t>”属于重大变动。</w:t>
      </w:r>
      <w:r>
        <w:rPr>
          <w:rFonts w:hint="eastAsia" w:ascii="Times New Roman" w:hAnsi="Times New Roman" w:eastAsia="宋体" w:cs="Times New Roman"/>
          <w:szCs w:val="24"/>
          <w:highlight w:val="none"/>
          <w:lang w:val="en-US" w:eastAsia="zh-CN"/>
        </w:rPr>
        <w:t>本次锅炉</w:t>
      </w:r>
      <w:r>
        <w:rPr>
          <w:rFonts w:hint="eastAsia" w:ascii="Times New Roman" w:hAnsi="Times New Roman" w:eastAsia="宋体" w:cs="Times New Roman"/>
          <w:szCs w:val="24"/>
          <w:highlight w:val="none"/>
        </w:rPr>
        <w:t>废气措施变动，</w:t>
      </w:r>
      <w:r>
        <w:rPr>
          <w:rFonts w:hint="eastAsia" w:cs="Times New Roman"/>
          <w:sz w:val="24"/>
          <w:szCs w:val="28"/>
          <w:highlight w:val="none"/>
          <w:lang w:val="en-US" w:eastAsia="zh-CN"/>
        </w:rPr>
        <w:t>属于治理设施优化提升，</w:t>
      </w:r>
      <w:r>
        <w:rPr>
          <w:rFonts w:hint="eastAsia" w:ascii="Times New Roman" w:hAnsi="Times New Roman" w:eastAsia="宋体" w:cs="Times New Roman"/>
          <w:szCs w:val="24"/>
          <w:highlight w:val="none"/>
        </w:rPr>
        <w:t>未</w:t>
      </w:r>
      <w:r>
        <w:rPr>
          <w:rFonts w:ascii="Times New Roman" w:hAnsi="Times New Roman" w:eastAsia="宋体" w:cs="Times New Roman"/>
          <w:szCs w:val="24"/>
          <w:highlight w:val="none"/>
        </w:rPr>
        <w:t>新增排放污染物种类</w:t>
      </w:r>
      <w:r>
        <w:rPr>
          <w:rFonts w:hint="eastAsia" w:ascii="Times New Roman" w:hAnsi="Times New Roman" w:eastAsia="宋体" w:cs="Times New Roman"/>
          <w:szCs w:val="24"/>
          <w:highlight w:val="none"/>
        </w:rPr>
        <w:t>，未增加</w:t>
      </w:r>
      <w:r>
        <w:rPr>
          <w:rFonts w:ascii="Times New Roman" w:hAnsi="Times New Roman" w:eastAsia="宋体" w:cs="Times New Roman"/>
          <w:szCs w:val="24"/>
          <w:highlight w:val="none"/>
        </w:rPr>
        <w:t>污染物排放量</w:t>
      </w:r>
      <w:r>
        <w:rPr>
          <w:rFonts w:hint="eastAsia" w:ascii="Times New Roman" w:hAnsi="Times New Roman" w:eastAsia="宋体" w:cs="Times New Roman"/>
          <w:szCs w:val="24"/>
          <w:highlight w:val="none"/>
        </w:rPr>
        <w:t>，未增加大气污染物无组织排放量，未增加</w:t>
      </w:r>
      <w:r>
        <w:rPr>
          <w:rFonts w:ascii="Times New Roman" w:hAnsi="Times New Roman" w:eastAsia="宋体" w:cs="Times New Roman"/>
          <w:szCs w:val="24"/>
          <w:highlight w:val="none"/>
        </w:rPr>
        <w:t>废气主要排放口</w:t>
      </w:r>
      <w:r>
        <w:rPr>
          <w:rFonts w:hint="eastAsia" w:ascii="Times New Roman" w:hAnsi="Times New Roman" w:eastAsia="宋体" w:cs="Times New Roman"/>
          <w:szCs w:val="24"/>
          <w:highlight w:val="none"/>
        </w:rPr>
        <w:t>，</w:t>
      </w:r>
      <w:r>
        <w:rPr>
          <w:rFonts w:ascii="Times New Roman" w:hAnsi="Times New Roman" w:eastAsia="宋体" w:cs="Times New Roman"/>
          <w:szCs w:val="24"/>
          <w:highlight w:val="none"/>
        </w:rPr>
        <w:t>排气筒高度</w:t>
      </w:r>
      <w:r>
        <w:rPr>
          <w:rFonts w:hint="eastAsia" w:ascii="Times New Roman" w:hAnsi="Times New Roman" w:eastAsia="宋体" w:cs="Times New Roman"/>
          <w:szCs w:val="24"/>
          <w:highlight w:val="none"/>
        </w:rPr>
        <w:t>增加，未导致不利环境影响加重，因此不属于重大变动。</w:t>
      </w:r>
    </w:p>
    <w:p w14:paraId="5EE065E5">
      <w:pPr>
        <w:pStyle w:val="59"/>
        <w:ind w:firstLine="480"/>
        <w:rPr>
          <w:highlight w:val="none"/>
        </w:rPr>
      </w:pPr>
      <w:r>
        <w:rPr>
          <w:rFonts w:hint="eastAsia"/>
          <w:highlight w:val="none"/>
          <w:lang w:val="en-US" w:eastAsia="zh-CN"/>
        </w:rPr>
        <w:t>3</w:t>
      </w:r>
      <w:r>
        <w:rPr>
          <w:highlight w:val="none"/>
        </w:rPr>
        <w:t>、</w:t>
      </w:r>
      <w:r>
        <w:rPr>
          <w:rFonts w:cs="Times New Roman"/>
          <w:bCs/>
          <w:sz w:val="24"/>
          <w:szCs w:val="24"/>
          <w:highlight w:val="none"/>
        </w:rPr>
        <w:t>验收监测期间，废气污染物排放监测结果：</w:t>
      </w:r>
    </w:p>
    <w:p w14:paraId="5EFE37D0">
      <w:pPr>
        <w:tabs>
          <w:tab w:val="left" w:pos="360"/>
        </w:tabs>
        <w:spacing w:line="480" w:lineRule="exact"/>
        <w:ind w:firstLine="480"/>
        <w:rPr>
          <w:rFonts w:hint="eastAsia"/>
          <w:bCs/>
          <w:color w:val="auto"/>
          <w:sz w:val="24"/>
          <w:szCs w:val="24"/>
          <w:highlight w:val="none"/>
          <w:lang w:val="en-US" w:eastAsia="zh-CN"/>
        </w:rPr>
      </w:pPr>
      <w:r>
        <w:rPr>
          <w:rFonts w:hint="eastAsia"/>
          <w:bCs/>
          <w:color w:val="auto"/>
          <w:sz w:val="24"/>
          <w:szCs w:val="24"/>
          <w:highlight w:val="none"/>
          <w:lang w:eastAsia="zh-CN"/>
        </w:rPr>
        <w:t>（</w:t>
      </w:r>
      <w:r>
        <w:rPr>
          <w:rFonts w:hint="eastAsia"/>
          <w:bCs/>
          <w:color w:val="auto"/>
          <w:sz w:val="24"/>
          <w:szCs w:val="24"/>
          <w:highlight w:val="none"/>
          <w:lang w:val="en-US" w:eastAsia="zh-CN"/>
        </w:rPr>
        <w:t>1</w:t>
      </w:r>
      <w:r>
        <w:rPr>
          <w:rFonts w:hint="eastAsia"/>
          <w:bCs/>
          <w:color w:val="auto"/>
          <w:sz w:val="24"/>
          <w:szCs w:val="24"/>
          <w:highlight w:val="none"/>
          <w:lang w:eastAsia="zh-CN"/>
        </w:rPr>
        <w:t>）</w:t>
      </w:r>
      <w:r>
        <w:rPr>
          <w:rFonts w:hint="eastAsia"/>
          <w:bCs/>
          <w:color w:val="auto"/>
          <w:sz w:val="24"/>
          <w:szCs w:val="24"/>
          <w:highlight w:val="none"/>
          <w:lang w:val="en-US" w:eastAsia="zh-CN"/>
        </w:rPr>
        <w:t>废气</w:t>
      </w:r>
    </w:p>
    <w:p w14:paraId="009590C5">
      <w:pPr>
        <w:tabs>
          <w:tab w:val="left" w:pos="360"/>
        </w:tabs>
        <w:spacing w:line="480" w:lineRule="exact"/>
        <w:ind w:firstLine="480"/>
        <w:rPr>
          <w:rFonts w:cs="Times New Roman" w:eastAsiaTheme="minorEastAsia"/>
          <w:color w:val="auto"/>
          <w:sz w:val="24"/>
          <w:szCs w:val="24"/>
          <w:highlight w:val="none"/>
        </w:rPr>
      </w:pPr>
      <w:r>
        <w:rPr>
          <w:rFonts w:ascii="Times New Roman" w:hAnsi="Times New Roman" w:eastAsia="宋体"/>
          <w:bCs/>
          <w:color w:val="auto"/>
          <w:sz w:val="24"/>
          <w:szCs w:val="24"/>
          <w:highlight w:val="none"/>
        </w:rPr>
        <w:t>燃气锅炉</w:t>
      </w:r>
      <w:r>
        <w:rPr>
          <w:rFonts w:hint="eastAsia" w:ascii="Times New Roman" w:hAnsi="Times New Roman" w:eastAsia="宋体"/>
          <w:bCs/>
          <w:color w:val="auto"/>
          <w:sz w:val="24"/>
          <w:szCs w:val="24"/>
          <w:highlight w:val="none"/>
        </w:rPr>
        <w:t>采取低氮燃烧后尾气经1根</w:t>
      </w:r>
      <w:r>
        <w:rPr>
          <w:rFonts w:ascii="Times New Roman" w:hAnsi="Times New Roman" w:eastAsia="宋体"/>
          <w:bCs/>
          <w:color w:val="auto"/>
          <w:sz w:val="24"/>
          <w:szCs w:val="24"/>
          <w:highlight w:val="none"/>
        </w:rPr>
        <w:t>15米高排气筒排放。按3.5%基准氧</w:t>
      </w:r>
      <w:r>
        <w:rPr>
          <w:rFonts w:hint="eastAsia" w:ascii="Times New Roman" w:hAnsi="Times New Roman" w:eastAsia="宋体"/>
          <w:bCs/>
          <w:color w:val="auto"/>
          <w:sz w:val="24"/>
          <w:szCs w:val="24"/>
          <w:highlight w:val="none"/>
        </w:rPr>
        <w:t>折算后污染物排放情况为：颗粒物</w:t>
      </w:r>
      <w:r>
        <w:rPr>
          <w:rFonts w:ascii="Times New Roman" w:hAnsi="Times New Roman" w:eastAsia="宋体"/>
          <w:bCs/>
          <w:color w:val="auto"/>
          <w:sz w:val="24"/>
          <w:szCs w:val="24"/>
          <w:highlight w:val="none"/>
        </w:rPr>
        <w:t>排放浓度为</w:t>
      </w:r>
      <w:r>
        <w:rPr>
          <w:rFonts w:hint="eastAsia" w:ascii="Times New Roman" w:hAnsi="Times New Roman" w:eastAsia="宋体"/>
          <w:bCs/>
          <w:color w:val="auto"/>
          <w:sz w:val="24"/>
          <w:szCs w:val="24"/>
          <w:highlight w:val="none"/>
        </w:rPr>
        <w:t>2.7</w:t>
      </w:r>
      <w:r>
        <w:rPr>
          <w:rFonts w:ascii="Times New Roman" w:hAnsi="Times New Roman" w:eastAsia="宋体"/>
          <w:bCs/>
          <w:color w:val="auto"/>
          <w:sz w:val="24"/>
          <w:szCs w:val="24"/>
          <w:highlight w:val="none"/>
        </w:rPr>
        <w:t>~</w:t>
      </w:r>
      <w:r>
        <w:rPr>
          <w:rFonts w:hint="eastAsia" w:ascii="Times New Roman" w:hAnsi="Times New Roman" w:eastAsia="宋体"/>
          <w:bCs/>
          <w:color w:val="auto"/>
          <w:sz w:val="24"/>
          <w:szCs w:val="24"/>
          <w:highlight w:val="none"/>
        </w:rPr>
        <w:t>3.9</w:t>
      </w:r>
      <w:r>
        <w:rPr>
          <w:rFonts w:ascii="Times New Roman" w:hAnsi="Times New Roman" w:eastAsia="宋体"/>
          <w:bCs/>
          <w:color w:val="auto"/>
          <w:sz w:val="24"/>
          <w:szCs w:val="24"/>
          <w:highlight w:val="none"/>
        </w:rPr>
        <w:t>mg/m</w:t>
      </w:r>
      <w:r>
        <w:rPr>
          <w:rFonts w:ascii="Times New Roman" w:hAnsi="Times New Roman" w:eastAsia="宋体"/>
          <w:bCs/>
          <w:color w:val="auto"/>
          <w:sz w:val="24"/>
          <w:szCs w:val="24"/>
          <w:highlight w:val="none"/>
          <w:vertAlign w:val="superscript"/>
        </w:rPr>
        <w:t>3</w:t>
      </w:r>
      <w:r>
        <w:rPr>
          <w:rFonts w:ascii="Times New Roman" w:hAnsi="Times New Roman" w:eastAsia="宋体"/>
          <w:bCs/>
          <w:color w:val="auto"/>
          <w:sz w:val="24"/>
          <w:szCs w:val="24"/>
          <w:highlight w:val="none"/>
        </w:rPr>
        <w:t>，排放速率为3.41×10</w:t>
      </w:r>
      <w:r>
        <w:rPr>
          <w:rFonts w:ascii="Times New Roman" w:hAnsi="Times New Roman" w:eastAsia="宋体"/>
          <w:bCs/>
          <w:color w:val="auto"/>
          <w:sz w:val="24"/>
          <w:szCs w:val="24"/>
          <w:highlight w:val="none"/>
          <w:vertAlign w:val="superscript"/>
        </w:rPr>
        <w:t>-3</w:t>
      </w:r>
      <w:r>
        <w:rPr>
          <w:rFonts w:ascii="Times New Roman" w:hAnsi="Times New Roman" w:eastAsia="宋体"/>
          <w:bCs/>
          <w:color w:val="auto"/>
          <w:sz w:val="24"/>
          <w:szCs w:val="24"/>
          <w:highlight w:val="none"/>
        </w:rPr>
        <w:t>~4.90×10</w:t>
      </w:r>
      <w:r>
        <w:rPr>
          <w:rFonts w:ascii="Times New Roman" w:hAnsi="Times New Roman" w:eastAsia="宋体"/>
          <w:bCs/>
          <w:color w:val="auto"/>
          <w:sz w:val="24"/>
          <w:szCs w:val="24"/>
          <w:highlight w:val="none"/>
          <w:vertAlign w:val="superscript"/>
        </w:rPr>
        <w:t>-3</w:t>
      </w:r>
      <w:r>
        <w:rPr>
          <w:rFonts w:ascii="Times New Roman" w:hAnsi="Times New Roman" w:eastAsia="宋体"/>
          <w:bCs/>
          <w:color w:val="auto"/>
          <w:sz w:val="24"/>
          <w:szCs w:val="24"/>
          <w:highlight w:val="none"/>
        </w:rPr>
        <w:t>kg/h</w:t>
      </w:r>
      <w:r>
        <w:rPr>
          <w:rFonts w:hint="eastAsia" w:ascii="Times New Roman" w:hAnsi="Times New Roman" w:eastAsia="宋体"/>
          <w:bCs/>
          <w:color w:val="auto"/>
          <w:sz w:val="24"/>
          <w:szCs w:val="24"/>
          <w:highlight w:val="none"/>
        </w:rPr>
        <w:t>，二氧化硫未检出，氮氧化物</w:t>
      </w:r>
      <w:r>
        <w:rPr>
          <w:rFonts w:ascii="Times New Roman" w:hAnsi="Times New Roman" w:eastAsia="宋体"/>
          <w:bCs/>
          <w:color w:val="auto"/>
          <w:sz w:val="24"/>
          <w:szCs w:val="24"/>
          <w:highlight w:val="none"/>
        </w:rPr>
        <w:t>排放浓度为</w:t>
      </w:r>
      <w:r>
        <w:rPr>
          <w:rFonts w:hint="eastAsia" w:ascii="Times New Roman" w:hAnsi="Times New Roman" w:eastAsia="宋体"/>
          <w:bCs/>
          <w:color w:val="auto"/>
          <w:sz w:val="24"/>
          <w:szCs w:val="24"/>
          <w:highlight w:val="none"/>
        </w:rPr>
        <w:t>10</w:t>
      </w:r>
      <w:r>
        <w:rPr>
          <w:rFonts w:ascii="Times New Roman" w:hAnsi="Times New Roman" w:eastAsia="宋体"/>
          <w:bCs/>
          <w:color w:val="auto"/>
          <w:sz w:val="24"/>
          <w:szCs w:val="24"/>
          <w:highlight w:val="none"/>
        </w:rPr>
        <w:t>~</w:t>
      </w:r>
      <w:r>
        <w:rPr>
          <w:rFonts w:hint="eastAsia" w:ascii="Times New Roman" w:hAnsi="Times New Roman" w:eastAsia="宋体"/>
          <w:bCs/>
          <w:color w:val="auto"/>
          <w:sz w:val="24"/>
          <w:szCs w:val="24"/>
          <w:highlight w:val="none"/>
        </w:rPr>
        <w:t>17</w:t>
      </w:r>
      <w:r>
        <w:rPr>
          <w:rFonts w:ascii="Times New Roman" w:hAnsi="Times New Roman" w:eastAsia="宋体"/>
          <w:bCs/>
          <w:color w:val="auto"/>
          <w:sz w:val="24"/>
          <w:szCs w:val="24"/>
          <w:highlight w:val="none"/>
        </w:rPr>
        <w:t>mg/m</w:t>
      </w:r>
      <w:r>
        <w:rPr>
          <w:rFonts w:ascii="Times New Roman" w:hAnsi="Times New Roman" w:eastAsia="宋体"/>
          <w:bCs/>
          <w:color w:val="auto"/>
          <w:sz w:val="24"/>
          <w:szCs w:val="24"/>
          <w:highlight w:val="none"/>
          <w:vertAlign w:val="superscript"/>
        </w:rPr>
        <w:t>3</w:t>
      </w:r>
      <w:r>
        <w:rPr>
          <w:rFonts w:ascii="Times New Roman" w:hAnsi="Times New Roman" w:eastAsia="宋体"/>
          <w:bCs/>
          <w:color w:val="auto"/>
          <w:sz w:val="24"/>
          <w:szCs w:val="24"/>
          <w:highlight w:val="none"/>
        </w:rPr>
        <w:t>，排放速率为1.34×10</w:t>
      </w:r>
      <w:r>
        <w:rPr>
          <w:rFonts w:ascii="Times New Roman" w:hAnsi="Times New Roman" w:eastAsia="宋体"/>
          <w:bCs/>
          <w:color w:val="auto"/>
          <w:sz w:val="24"/>
          <w:szCs w:val="24"/>
          <w:highlight w:val="none"/>
          <w:vertAlign w:val="superscript"/>
        </w:rPr>
        <w:t>-2</w:t>
      </w:r>
      <w:r>
        <w:rPr>
          <w:rFonts w:ascii="Times New Roman" w:hAnsi="Times New Roman" w:eastAsia="宋体"/>
          <w:bCs/>
          <w:color w:val="auto"/>
          <w:sz w:val="24"/>
          <w:szCs w:val="24"/>
          <w:highlight w:val="none"/>
        </w:rPr>
        <w:t>~2.22×10</w:t>
      </w:r>
      <w:r>
        <w:rPr>
          <w:rFonts w:ascii="Times New Roman" w:hAnsi="Times New Roman" w:eastAsia="宋体"/>
          <w:bCs/>
          <w:color w:val="auto"/>
          <w:sz w:val="24"/>
          <w:szCs w:val="24"/>
          <w:highlight w:val="none"/>
          <w:vertAlign w:val="superscript"/>
        </w:rPr>
        <w:t>-2</w:t>
      </w:r>
      <w:r>
        <w:rPr>
          <w:rFonts w:ascii="Times New Roman" w:hAnsi="Times New Roman" w:eastAsia="宋体"/>
          <w:bCs/>
          <w:color w:val="auto"/>
          <w:sz w:val="24"/>
          <w:szCs w:val="24"/>
          <w:highlight w:val="none"/>
        </w:rPr>
        <w:t>kg/h</w:t>
      </w:r>
      <w:r>
        <w:rPr>
          <w:rFonts w:hint="eastAsia" w:ascii="Times New Roman" w:hAnsi="Times New Roman" w:eastAsia="宋体"/>
          <w:bCs/>
          <w:color w:val="auto"/>
          <w:sz w:val="24"/>
          <w:szCs w:val="24"/>
          <w:highlight w:val="none"/>
        </w:rPr>
        <w:t>，</w:t>
      </w:r>
      <w:r>
        <w:rPr>
          <w:rFonts w:ascii="Times New Roman" w:hAnsi="Times New Roman" w:eastAsia="宋体"/>
          <w:bCs/>
          <w:color w:val="auto"/>
          <w:sz w:val="24"/>
          <w:szCs w:val="24"/>
          <w:highlight w:val="none"/>
        </w:rPr>
        <w:t>能够满足《锅炉大气污染物排放标准》（DB41/2089—2021）表1常规大气污染物-燃气锅炉在基准含氧量3.5%的条件下，颗粒物＜5mg/m</w:t>
      </w:r>
      <w:r>
        <w:rPr>
          <w:rFonts w:ascii="Times New Roman" w:hAnsi="Times New Roman" w:eastAsia="宋体"/>
          <w:bCs/>
          <w:color w:val="auto"/>
          <w:sz w:val="24"/>
          <w:szCs w:val="24"/>
          <w:highlight w:val="none"/>
          <w:vertAlign w:val="superscript"/>
        </w:rPr>
        <w:t>3</w:t>
      </w:r>
      <w:r>
        <w:rPr>
          <w:rFonts w:ascii="Times New Roman" w:hAnsi="Times New Roman" w:eastAsia="宋体"/>
          <w:bCs/>
          <w:color w:val="auto"/>
          <w:sz w:val="24"/>
          <w:szCs w:val="24"/>
          <w:highlight w:val="none"/>
        </w:rPr>
        <w:t>、二氧化硫＜10mg/m</w:t>
      </w:r>
      <w:r>
        <w:rPr>
          <w:rFonts w:ascii="Times New Roman" w:hAnsi="Times New Roman" w:eastAsia="宋体"/>
          <w:bCs/>
          <w:color w:val="auto"/>
          <w:sz w:val="24"/>
          <w:szCs w:val="24"/>
          <w:highlight w:val="none"/>
          <w:vertAlign w:val="superscript"/>
        </w:rPr>
        <w:t>3</w:t>
      </w:r>
      <w:r>
        <w:rPr>
          <w:rFonts w:ascii="Times New Roman" w:hAnsi="Times New Roman" w:eastAsia="宋体"/>
          <w:bCs/>
          <w:color w:val="auto"/>
          <w:sz w:val="24"/>
          <w:szCs w:val="24"/>
          <w:highlight w:val="none"/>
        </w:rPr>
        <w:t>、氮氧化物＜30mg/m</w:t>
      </w:r>
      <w:r>
        <w:rPr>
          <w:rFonts w:ascii="Times New Roman" w:hAnsi="Times New Roman" w:eastAsia="宋体"/>
          <w:bCs/>
          <w:color w:val="auto"/>
          <w:sz w:val="24"/>
          <w:szCs w:val="24"/>
          <w:highlight w:val="none"/>
          <w:vertAlign w:val="superscript"/>
        </w:rPr>
        <w:t>3</w:t>
      </w:r>
      <w:r>
        <w:rPr>
          <w:rFonts w:ascii="Times New Roman" w:hAnsi="Times New Roman" w:eastAsia="宋体"/>
          <w:bCs/>
          <w:color w:val="auto"/>
          <w:sz w:val="24"/>
          <w:szCs w:val="24"/>
          <w:highlight w:val="none"/>
        </w:rPr>
        <w:t>的限值要求</w:t>
      </w:r>
      <w:r>
        <w:rPr>
          <w:rFonts w:hint="eastAsia" w:ascii="Times New Roman" w:hAnsi="Times New Roman" w:eastAsia="宋体"/>
          <w:bCs/>
          <w:color w:val="auto"/>
          <w:sz w:val="24"/>
          <w:szCs w:val="24"/>
          <w:highlight w:val="none"/>
        </w:rPr>
        <w:t>。</w:t>
      </w:r>
    </w:p>
    <w:p w14:paraId="24D049C3">
      <w:pPr>
        <w:pStyle w:val="59"/>
        <w:ind w:firstLine="480"/>
        <w:rPr>
          <w:rFonts w:hint="default"/>
          <w:highlight w:val="none"/>
          <w:lang w:val="en-US" w:eastAsia="zh-CN"/>
        </w:rPr>
      </w:pPr>
      <w:r>
        <w:rPr>
          <w:rFonts w:hint="eastAsia"/>
          <w:highlight w:val="none"/>
          <w:lang w:val="en-US" w:eastAsia="zh-CN"/>
        </w:rPr>
        <w:t>（2）噪声</w:t>
      </w:r>
    </w:p>
    <w:p w14:paraId="2CF9B2DC">
      <w:pPr>
        <w:tabs>
          <w:tab w:val="left" w:pos="360"/>
        </w:tabs>
        <w:spacing w:line="480" w:lineRule="exact"/>
        <w:ind w:firstLine="480"/>
        <w:rPr>
          <w:rFonts w:hint="eastAsia" w:ascii="Times New Roman" w:hAnsi="Times New Roman" w:eastAsia="宋体"/>
          <w:bCs/>
          <w:color w:val="auto"/>
          <w:sz w:val="24"/>
          <w:szCs w:val="24"/>
          <w:lang w:val="en-US" w:eastAsia="zh-CN"/>
        </w:rPr>
      </w:pPr>
      <w:r>
        <w:rPr>
          <w:rFonts w:hint="eastAsia" w:ascii="Times New Roman" w:hAnsi="Times New Roman" w:eastAsia="宋体"/>
          <w:bCs/>
          <w:color w:val="auto"/>
          <w:sz w:val="24"/>
          <w:szCs w:val="24"/>
          <w:lang w:val="en-US" w:eastAsia="zh-CN"/>
        </w:rPr>
        <w:t>由监测结果可知：厂界东、西、北为共用墙，不满足检测条件，由监测结果可知：南厂界昼间噪声值为56~57dB(A)、夜间噪声值为47~48dB(A)可以满足《工业企业厂界环境噪声排放标准》（GB12348-2008）2类标准昼间60dB(A)、夜间50dB(A)的限值要求。</w:t>
      </w:r>
    </w:p>
    <w:p w14:paraId="6997B3DB">
      <w:pPr>
        <w:pStyle w:val="59"/>
        <w:ind w:firstLine="480"/>
        <w:rPr>
          <w:highlight w:val="none"/>
        </w:rPr>
      </w:pPr>
      <w:r>
        <w:rPr>
          <w:rFonts w:hint="eastAsia"/>
          <w:highlight w:val="none"/>
          <w:lang w:val="en-US" w:eastAsia="zh-CN"/>
        </w:rPr>
        <w:t>4</w:t>
      </w:r>
      <w:r>
        <w:rPr>
          <w:highlight w:val="none"/>
        </w:rPr>
        <w:t>、</w:t>
      </w:r>
      <w:r>
        <w:rPr>
          <w:rFonts w:hint="eastAsia" w:ascii="Times New Roman" w:hAnsi="Times New Roman" w:eastAsia="宋体" w:cs="Times New Roman"/>
          <w:highlight w:val="none"/>
          <w:lang w:val="en-US" w:eastAsia="zh-CN"/>
        </w:rPr>
        <w:t>满负荷生产条件下，本项目污染物最大排放量为颗粒物</w:t>
      </w:r>
      <w:r>
        <w:rPr>
          <w:rFonts w:hint="default" w:ascii="Times New Roman" w:hAnsi="Times New Roman" w:eastAsia="宋体" w:cs="Times New Roman"/>
          <w:highlight w:val="none"/>
          <w:lang w:val="en-US" w:eastAsia="zh-CN"/>
        </w:rPr>
        <w:t>0.0</w:t>
      </w:r>
      <w:r>
        <w:rPr>
          <w:rFonts w:hint="eastAsia" w:ascii="Times New Roman" w:hAnsi="Times New Roman" w:eastAsia="宋体" w:cs="Times New Roman"/>
          <w:highlight w:val="none"/>
          <w:lang w:val="en-US" w:eastAsia="zh-CN"/>
        </w:rPr>
        <w:t>11</w:t>
      </w:r>
      <w:r>
        <w:rPr>
          <w:rFonts w:hint="default" w:ascii="Times New Roman" w:hAnsi="Times New Roman" w:eastAsia="宋体" w:cs="Times New Roman"/>
          <w:highlight w:val="none"/>
          <w:lang w:val="en-US" w:eastAsia="zh-CN"/>
        </w:rPr>
        <w:t>t/a</w:t>
      </w:r>
      <w:r>
        <w:rPr>
          <w:rFonts w:hint="eastAsia" w:ascii="Times New Roman" w:hAnsi="Times New Roman" w:eastAsia="宋体" w:cs="Times New Roman"/>
          <w:highlight w:val="none"/>
          <w:lang w:val="en-US" w:eastAsia="zh-CN"/>
        </w:rPr>
        <w:t>、SO2</w:t>
      </w:r>
      <w:r>
        <w:rPr>
          <w:rFonts w:hint="default" w:ascii="Times New Roman" w:hAnsi="Times New Roman" w:eastAsia="宋体" w:cs="Times New Roman"/>
          <w:highlight w:val="none"/>
          <w:lang w:val="en-US" w:eastAsia="zh-CN"/>
        </w:rPr>
        <w:t>0.00</w:t>
      </w:r>
      <w:r>
        <w:rPr>
          <w:rFonts w:hint="eastAsia" w:ascii="Times New Roman" w:hAnsi="Times New Roman" w:eastAsia="宋体" w:cs="Times New Roman"/>
          <w:highlight w:val="none"/>
          <w:lang w:val="en-US" w:eastAsia="zh-CN"/>
        </w:rPr>
        <w:t>5</w:t>
      </w:r>
      <w:r>
        <w:rPr>
          <w:rFonts w:hint="default" w:ascii="Times New Roman" w:hAnsi="Times New Roman" w:eastAsia="宋体" w:cs="Times New Roman"/>
          <w:highlight w:val="none"/>
          <w:lang w:val="en-US" w:eastAsia="zh-CN"/>
        </w:rPr>
        <w:t>t/a</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N</w:t>
      </w:r>
      <w:r>
        <w:rPr>
          <w:rFonts w:hint="eastAsia" w:ascii="Times New Roman" w:hAnsi="Times New Roman" w:eastAsia="宋体" w:cs="Times New Roman"/>
          <w:highlight w:val="none"/>
          <w:lang w:val="en-US" w:eastAsia="zh-CN"/>
        </w:rPr>
        <w:t>OX</w:t>
      </w:r>
      <w:r>
        <w:rPr>
          <w:rFonts w:hint="default" w:ascii="Times New Roman" w:hAnsi="Times New Roman" w:eastAsia="宋体" w:cs="Times New Roman"/>
          <w:highlight w:val="none"/>
          <w:lang w:val="en-US" w:eastAsia="zh-CN"/>
        </w:rPr>
        <w:t xml:space="preserve"> 0.0</w:t>
      </w:r>
      <w:r>
        <w:rPr>
          <w:rFonts w:hint="eastAsia" w:ascii="Times New Roman" w:hAnsi="Times New Roman" w:eastAsia="宋体" w:cs="Times New Roman"/>
          <w:highlight w:val="none"/>
          <w:lang w:val="en-US" w:eastAsia="zh-CN"/>
        </w:rPr>
        <w:t>5</w:t>
      </w:r>
      <w:r>
        <w:rPr>
          <w:rFonts w:hint="default" w:ascii="Times New Roman" w:hAnsi="Times New Roman" w:eastAsia="宋体" w:cs="Times New Roman"/>
          <w:highlight w:val="none"/>
          <w:lang w:val="en-US" w:eastAsia="zh-CN"/>
        </w:rPr>
        <w:t>t/a</w:t>
      </w:r>
      <w:r>
        <w:rPr>
          <w:rFonts w:hint="eastAsia" w:ascii="Times New Roman" w:hAnsi="Times New Roman" w:eastAsia="宋体" w:cs="Times New Roman"/>
          <w:highlight w:val="none"/>
          <w:lang w:val="en-US" w:eastAsia="zh-CN"/>
        </w:rPr>
        <w:t>，能够满足环评批复允许排放量颗粒物</w:t>
      </w:r>
      <w:r>
        <w:rPr>
          <w:rFonts w:hint="default" w:ascii="Times New Roman" w:hAnsi="Times New Roman" w:eastAsia="宋体" w:cs="Times New Roman"/>
          <w:highlight w:val="none"/>
          <w:lang w:val="en-US" w:eastAsia="zh-CN"/>
        </w:rPr>
        <w:t>0.</w:t>
      </w:r>
      <w:r>
        <w:rPr>
          <w:rFonts w:hint="eastAsia" w:ascii="Times New Roman" w:hAnsi="Times New Roman" w:eastAsia="宋体" w:cs="Times New Roman"/>
          <w:highlight w:val="none"/>
          <w:lang w:val="en-US" w:eastAsia="zh-CN"/>
        </w:rPr>
        <w:t>134</w:t>
      </w:r>
      <w:r>
        <w:rPr>
          <w:rFonts w:hint="default" w:ascii="Times New Roman" w:hAnsi="Times New Roman" w:eastAsia="宋体" w:cs="Times New Roman"/>
          <w:highlight w:val="none"/>
          <w:lang w:val="en-US" w:eastAsia="zh-CN"/>
        </w:rPr>
        <w:t>t/a</w:t>
      </w:r>
      <w:r>
        <w:rPr>
          <w:rFonts w:hint="eastAsia" w:ascii="Times New Roman" w:hAnsi="Times New Roman" w:eastAsia="宋体" w:cs="Times New Roman"/>
          <w:highlight w:val="none"/>
          <w:lang w:val="en-US" w:eastAsia="zh-CN"/>
        </w:rPr>
        <w:t>、SO2</w:t>
      </w:r>
      <w:r>
        <w:rPr>
          <w:rFonts w:hint="default" w:ascii="Times New Roman" w:hAnsi="Times New Roman" w:eastAsia="宋体" w:cs="Times New Roman"/>
          <w:highlight w:val="none"/>
          <w:lang w:val="en-US" w:eastAsia="zh-CN"/>
        </w:rPr>
        <w:t>0.</w:t>
      </w:r>
      <w:r>
        <w:rPr>
          <w:rFonts w:hint="eastAsia" w:ascii="Times New Roman" w:hAnsi="Times New Roman" w:eastAsia="宋体" w:cs="Times New Roman"/>
          <w:highlight w:val="none"/>
          <w:lang w:val="en-US" w:eastAsia="zh-CN"/>
        </w:rPr>
        <w:t>112</w:t>
      </w:r>
      <w:r>
        <w:rPr>
          <w:rFonts w:hint="default" w:ascii="Times New Roman" w:hAnsi="Times New Roman" w:eastAsia="宋体" w:cs="Times New Roman"/>
          <w:highlight w:val="none"/>
          <w:lang w:val="en-US" w:eastAsia="zh-CN"/>
        </w:rPr>
        <w:t>t/a</w:t>
      </w:r>
      <w:r>
        <w:rPr>
          <w:rFonts w:hint="eastAsia"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eastAsia="zh-CN"/>
        </w:rPr>
        <w:t>N</w:t>
      </w:r>
      <w:r>
        <w:rPr>
          <w:rFonts w:hint="eastAsia" w:ascii="Times New Roman" w:hAnsi="Times New Roman" w:eastAsia="宋体" w:cs="Times New Roman"/>
          <w:highlight w:val="none"/>
          <w:lang w:val="en-US" w:eastAsia="zh-CN"/>
        </w:rPr>
        <w:t>OX</w:t>
      </w:r>
      <w:r>
        <w:rPr>
          <w:rFonts w:hint="default" w:ascii="Times New Roman" w:hAnsi="Times New Roman" w:eastAsia="宋体" w:cs="Times New Roman"/>
          <w:highlight w:val="none"/>
          <w:lang w:val="en-US" w:eastAsia="zh-CN"/>
        </w:rPr>
        <w:t xml:space="preserve"> </w:t>
      </w:r>
      <w:r>
        <w:rPr>
          <w:rFonts w:hint="eastAsia" w:ascii="Times New Roman" w:hAnsi="Times New Roman" w:eastAsia="宋体" w:cs="Times New Roman"/>
          <w:highlight w:val="none"/>
          <w:lang w:val="en-US" w:eastAsia="zh-CN"/>
        </w:rPr>
        <w:t>1.044</w:t>
      </w:r>
      <w:r>
        <w:rPr>
          <w:rFonts w:hint="default" w:ascii="Times New Roman" w:hAnsi="Times New Roman" w:eastAsia="宋体" w:cs="Times New Roman"/>
          <w:highlight w:val="none"/>
          <w:lang w:val="en-US" w:eastAsia="zh-CN"/>
        </w:rPr>
        <w:t>t/a</w:t>
      </w:r>
      <w:r>
        <w:rPr>
          <w:rFonts w:hint="eastAsia" w:ascii="Times New Roman" w:hAnsi="Times New Roman" w:eastAsia="宋体" w:cs="Times New Roman"/>
          <w:highlight w:val="none"/>
          <w:lang w:val="en-US" w:eastAsia="zh-CN"/>
        </w:rPr>
        <w:t>的指标要求。</w:t>
      </w:r>
    </w:p>
    <w:p w14:paraId="765B9B2F">
      <w:pPr>
        <w:pStyle w:val="3"/>
        <w:rPr>
          <w:highlight w:val="none"/>
        </w:rPr>
      </w:pPr>
      <w:bookmarkStart w:id="92" w:name="_Toc501703567"/>
      <w:bookmarkStart w:id="93" w:name="_Toc504492864"/>
      <w:r>
        <w:rPr>
          <w:highlight w:val="none"/>
        </w:rPr>
        <w:t>10.2 环境管理检查结论</w:t>
      </w:r>
      <w:bookmarkEnd w:id="92"/>
      <w:bookmarkEnd w:id="93"/>
    </w:p>
    <w:p w14:paraId="09555708">
      <w:pPr>
        <w:pStyle w:val="59"/>
        <w:ind w:firstLine="480"/>
        <w:rPr>
          <w:highlight w:val="none"/>
        </w:rPr>
      </w:pPr>
      <w:r>
        <w:rPr>
          <w:highlight w:val="none"/>
        </w:rPr>
        <w:t>项目执行了环保“三同时”制度；按照有关规定建立了相关环境保护管理制度；由专人负责公司环境管理工作。</w:t>
      </w:r>
    </w:p>
    <w:p w14:paraId="0F5ACD53">
      <w:pPr>
        <w:pStyle w:val="3"/>
        <w:rPr>
          <w:highlight w:val="none"/>
        </w:rPr>
      </w:pPr>
      <w:bookmarkStart w:id="94" w:name="_Toc504492865"/>
      <w:r>
        <w:rPr>
          <w:highlight w:val="none"/>
        </w:rPr>
        <w:t>10.3 总结论</w:t>
      </w:r>
      <w:bookmarkEnd w:id="94"/>
    </w:p>
    <w:p w14:paraId="4C6BD3D9">
      <w:pPr>
        <w:pStyle w:val="59"/>
        <w:ind w:firstLine="480"/>
        <w:rPr>
          <w:highlight w:val="none"/>
        </w:rPr>
      </w:pPr>
      <w:r>
        <w:rPr>
          <w:highlight w:val="none"/>
        </w:rPr>
        <w:t>河南省恒明新能源有限公司年产3000万安时镍氢动力电池项目</w:t>
      </w:r>
      <w:r>
        <w:rPr>
          <w:rFonts w:hint="eastAsia"/>
          <w:highlight w:val="none"/>
          <w:lang w:eastAsia="zh-CN"/>
        </w:rPr>
        <w:t>（</w:t>
      </w:r>
      <w:r>
        <w:rPr>
          <w:rFonts w:hint="eastAsia"/>
          <w:highlight w:val="none"/>
          <w:lang w:val="en-US" w:eastAsia="zh-CN"/>
        </w:rPr>
        <w:t>二期</w:t>
      </w:r>
      <w:r>
        <w:rPr>
          <w:rFonts w:hint="eastAsia"/>
          <w:highlight w:val="none"/>
          <w:lang w:eastAsia="zh-CN"/>
        </w:rPr>
        <w:t>）</w:t>
      </w:r>
      <w:r>
        <w:rPr>
          <w:highlight w:val="none"/>
        </w:rPr>
        <w:t>符合国家产业政策，具有一定的环境经济效益，各项污染物经治理后能够实现达标排放，固废处置措施可行，对周围环境影响较小，满足验收要求。</w:t>
      </w:r>
    </w:p>
    <w:p w14:paraId="00B6FCCF">
      <w:pPr>
        <w:pStyle w:val="59"/>
        <w:ind w:firstLine="480"/>
        <w:rPr>
          <w:highlight w:val="yellow"/>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503DE520">
      <w:pPr>
        <w:pStyle w:val="2"/>
        <w:jc w:val="both"/>
        <w:rPr>
          <w:rFonts w:cs="Times New Roman"/>
          <w:color w:val="auto"/>
          <w:highlight w:val="none"/>
        </w:rPr>
      </w:pPr>
      <w:bookmarkStart w:id="95" w:name="_Toc501703568"/>
      <w:bookmarkStart w:id="96" w:name="_Toc504492866"/>
      <w:r>
        <w:rPr>
          <w:rFonts w:cs="Times New Roman"/>
          <w:color w:val="auto"/>
          <w:highlight w:val="none"/>
        </w:rPr>
        <w:t>11、建设项目环境保护“三同时”竣工验收登记表</w:t>
      </w:r>
      <w:bookmarkEnd w:id="95"/>
      <w:bookmarkEnd w:id="96"/>
    </w:p>
    <w:p w14:paraId="29AE62AE">
      <w:pPr>
        <w:pStyle w:val="59"/>
        <w:ind w:firstLine="480"/>
        <w:rPr>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highlight w:val="none"/>
        </w:rPr>
        <w:t>本项目环境保护“三同时”竣工验收登记表见下表。</w:t>
      </w:r>
    </w:p>
    <w:p w14:paraId="3996654A">
      <w:pPr>
        <w:pStyle w:val="8"/>
        <w:tabs>
          <w:tab w:val="left" w:pos="72"/>
        </w:tabs>
        <w:autoSpaceDE w:val="0"/>
        <w:autoSpaceDN w:val="0"/>
        <w:snapToGrid w:val="0"/>
        <w:spacing w:line="360" w:lineRule="auto"/>
        <w:jc w:val="center"/>
        <w:rPr>
          <w:rFonts w:ascii="Times New Roman" w:hAnsi="Times New Roman" w:cs="Times New Roman"/>
          <w:b/>
          <w:bCs/>
          <w:highlight w:val="none"/>
        </w:rPr>
      </w:pPr>
      <w:r>
        <w:rPr>
          <w:rFonts w:ascii="Times New Roman" w:hAnsi="Times New Roman" w:cs="Times New Roman"/>
          <w:b/>
          <w:bCs/>
          <w:highlight w:val="none"/>
        </w:rPr>
        <w:t>建设项目工程竣工环境保护“三同时”验收登记表</w:t>
      </w:r>
    </w:p>
    <w:p w14:paraId="345E1E53">
      <w:pPr>
        <w:adjustRightInd w:val="0"/>
        <w:snapToGrid w:val="0"/>
        <w:spacing w:line="240" w:lineRule="atLeast"/>
        <w:jc w:val="left"/>
        <w:rPr>
          <w:rFonts w:cs="Times New Roman"/>
          <w:sz w:val="18"/>
          <w:szCs w:val="18"/>
          <w:highlight w:val="none"/>
        </w:rPr>
      </w:pPr>
      <w:r>
        <w:rPr>
          <w:rFonts w:cs="Times New Roman"/>
          <w:sz w:val="18"/>
          <w:szCs w:val="18"/>
          <w:highlight w:val="none"/>
        </w:rPr>
        <w:t xml:space="preserve">填表单位（盖章）：河南省恒明新能源有限公司                            填表人（签字）：                         项目经办人（签字）： </w:t>
      </w:r>
    </w:p>
    <w:tbl>
      <w:tblPr>
        <w:tblStyle w:val="29"/>
        <w:tblW w:w="155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7"/>
        <w:gridCol w:w="60"/>
        <w:gridCol w:w="944"/>
        <w:gridCol w:w="793"/>
        <w:gridCol w:w="609"/>
        <w:gridCol w:w="1298"/>
        <w:gridCol w:w="1093"/>
        <w:gridCol w:w="889"/>
        <w:gridCol w:w="407"/>
        <w:gridCol w:w="600"/>
        <w:gridCol w:w="1018"/>
        <w:gridCol w:w="1136"/>
        <w:gridCol w:w="1918"/>
        <w:gridCol w:w="855"/>
        <w:gridCol w:w="827"/>
        <w:gridCol w:w="510"/>
        <w:gridCol w:w="368"/>
        <w:gridCol w:w="911"/>
        <w:gridCol w:w="654"/>
      </w:tblGrid>
      <w:tr w14:paraId="2A8686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47" w:type="dxa"/>
            <w:vMerge w:val="restart"/>
            <w:tcBorders>
              <w:top w:val="single" w:color="auto" w:sz="8" w:space="0"/>
              <w:left w:val="single" w:color="auto" w:sz="8" w:space="0"/>
              <w:bottom w:val="single" w:color="auto" w:sz="4" w:space="0"/>
              <w:right w:val="single" w:color="auto" w:sz="4" w:space="0"/>
            </w:tcBorders>
            <w:tcMar>
              <w:top w:w="0" w:type="dxa"/>
              <w:left w:w="57" w:type="dxa"/>
              <w:bottom w:w="0" w:type="dxa"/>
              <w:right w:w="57" w:type="dxa"/>
            </w:tcMar>
            <w:textDirection w:val="tbRlV"/>
            <w:vAlign w:val="center"/>
          </w:tcPr>
          <w:p w14:paraId="57BAFFA2">
            <w:pPr>
              <w:keepNext w:val="0"/>
              <w:keepLines w:val="0"/>
              <w:suppressLineNumbers w:val="0"/>
              <w:adjustRightInd w:val="0"/>
              <w:snapToGrid w:val="0"/>
              <w:spacing w:before="0" w:beforeAutospacing="0" w:after="0" w:afterAutospacing="0"/>
              <w:ind w:left="113" w:right="113"/>
              <w:jc w:val="center"/>
              <w:rPr>
                <w:rFonts w:hint="default" w:eastAsia="微软雅黑" w:cs="Times New Roman"/>
                <w:b/>
                <w:sz w:val="15"/>
                <w:szCs w:val="15"/>
                <w:highlight w:val="yellow"/>
              </w:rPr>
            </w:pPr>
            <w:r>
              <w:rPr>
                <w:rFonts w:hint="default" w:cs="Times New Roman"/>
                <w:b/>
                <w:sz w:val="15"/>
                <w:szCs w:val="15"/>
                <w:highlight w:val="none"/>
              </w:rPr>
              <w:t>建设项目</w:t>
            </w:r>
          </w:p>
        </w:tc>
        <w:tc>
          <w:tcPr>
            <w:tcW w:w="1797" w:type="dxa"/>
            <w:gridSpan w:val="3"/>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14:paraId="7B70B179">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项目名称</w:t>
            </w:r>
          </w:p>
        </w:tc>
        <w:tc>
          <w:tcPr>
            <w:tcW w:w="4896" w:type="dxa"/>
            <w:gridSpan w:val="6"/>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14:paraId="3209F005">
            <w:pPr>
              <w:keepNext w:val="0"/>
              <w:keepLines w:val="0"/>
              <w:suppressLineNumbers w:val="0"/>
              <w:adjustRightInd w:val="0"/>
              <w:snapToGrid w:val="0"/>
              <w:spacing w:before="0" w:beforeAutospacing="0" w:after="0" w:afterAutospacing="0"/>
              <w:ind w:left="0" w:right="0"/>
              <w:jc w:val="center"/>
              <w:rPr>
                <w:rFonts w:hint="eastAsia" w:eastAsia="宋体" w:cs="Times New Roman"/>
                <w:sz w:val="15"/>
                <w:szCs w:val="15"/>
                <w:highlight w:val="none"/>
                <w:lang w:eastAsia="zh-CN"/>
              </w:rPr>
            </w:pPr>
            <w:r>
              <w:rPr>
                <w:rFonts w:hint="default" w:cs="Times New Roman"/>
                <w:b/>
                <w:bCs/>
                <w:sz w:val="15"/>
                <w:szCs w:val="15"/>
                <w:highlight w:val="none"/>
              </w:rPr>
              <w:t>年产3000万安时镍氢动力电池项目</w:t>
            </w:r>
            <w:r>
              <w:rPr>
                <w:rFonts w:hint="eastAsia" w:cs="Times New Roman"/>
                <w:b/>
                <w:bCs/>
                <w:sz w:val="15"/>
                <w:szCs w:val="15"/>
                <w:highlight w:val="none"/>
                <w:lang w:eastAsia="zh-CN"/>
              </w:rPr>
              <w:t>（</w:t>
            </w:r>
            <w:r>
              <w:rPr>
                <w:rFonts w:hint="eastAsia" w:cs="Times New Roman"/>
                <w:b/>
                <w:bCs/>
                <w:sz w:val="15"/>
                <w:szCs w:val="15"/>
                <w:highlight w:val="none"/>
                <w:lang w:val="en-US" w:eastAsia="zh-CN"/>
              </w:rPr>
              <w:t>二期</w:t>
            </w:r>
            <w:r>
              <w:rPr>
                <w:rFonts w:hint="eastAsia" w:cs="Times New Roman"/>
                <w:b/>
                <w:bCs/>
                <w:sz w:val="15"/>
                <w:szCs w:val="15"/>
                <w:highlight w:val="none"/>
                <w:lang w:eastAsia="zh-CN"/>
              </w:rPr>
              <w:t>）</w:t>
            </w:r>
          </w:p>
        </w:tc>
        <w:tc>
          <w:tcPr>
            <w:tcW w:w="2154" w:type="dxa"/>
            <w:gridSpan w:val="2"/>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14:paraId="08E8F20F">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项目代码</w:t>
            </w:r>
          </w:p>
        </w:tc>
        <w:tc>
          <w:tcPr>
            <w:tcW w:w="1918" w:type="dxa"/>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14:paraId="26E01E7D">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豫新电源工[2013]00029</w:t>
            </w:r>
          </w:p>
        </w:tc>
        <w:tc>
          <w:tcPr>
            <w:tcW w:w="1682" w:type="dxa"/>
            <w:gridSpan w:val="2"/>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14:paraId="249EFA6D">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cs="Times New Roman"/>
                <w:b/>
                <w:sz w:val="15"/>
                <w:szCs w:val="15"/>
                <w:highlight w:val="none"/>
              </w:rPr>
              <w:t>建设地点</w:t>
            </w:r>
          </w:p>
        </w:tc>
        <w:tc>
          <w:tcPr>
            <w:tcW w:w="2443" w:type="dxa"/>
            <w:gridSpan w:val="4"/>
            <w:tcBorders>
              <w:top w:val="single" w:color="auto" w:sz="8" w:space="0"/>
              <w:left w:val="single" w:color="auto" w:sz="4" w:space="0"/>
              <w:bottom w:val="single" w:color="auto" w:sz="4" w:space="0"/>
              <w:right w:val="single" w:color="auto" w:sz="8" w:space="0"/>
            </w:tcBorders>
            <w:tcMar>
              <w:top w:w="0" w:type="dxa"/>
              <w:left w:w="57" w:type="dxa"/>
              <w:bottom w:w="0" w:type="dxa"/>
              <w:right w:w="57" w:type="dxa"/>
            </w:tcMar>
            <w:vAlign w:val="center"/>
          </w:tcPr>
          <w:p w14:paraId="0650EFF6">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cs="Times New Roman"/>
                <w:b/>
                <w:bCs/>
                <w:sz w:val="15"/>
                <w:szCs w:val="15"/>
                <w:highlight w:val="none"/>
              </w:rPr>
              <w:t>新乡化学与物理电源产业园区</w:t>
            </w:r>
          </w:p>
        </w:tc>
      </w:tr>
      <w:tr w14:paraId="7BB85B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47" w:type="dxa"/>
            <w:vMerge w:val="continue"/>
            <w:tcBorders>
              <w:top w:val="single" w:color="auto" w:sz="8" w:space="0"/>
              <w:left w:val="single" w:color="auto" w:sz="8" w:space="0"/>
              <w:bottom w:val="single" w:color="auto" w:sz="4" w:space="0"/>
              <w:right w:val="single" w:color="auto" w:sz="4" w:space="0"/>
            </w:tcBorders>
            <w:vAlign w:val="center"/>
          </w:tcPr>
          <w:p w14:paraId="563ABC02">
            <w:pPr>
              <w:keepNext w:val="0"/>
              <w:keepLines w:val="0"/>
              <w:suppressLineNumbers w:val="0"/>
              <w:spacing w:before="0" w:beforeAutospacing="0" w:after="0" w:afterAutospacing="0"/>
              <w:ind w:left="0" w:right="0"/>
              <w:jc w:val="center"/>
              <w:rPr>
                <w:rFonts w:hint="default" w:eastAsia="微软雅黑" w:cs="Times New Roman"/>
                <w:b/>
                <w:sz w:val="15"/>
                <w:szCs w:val="15"/>
                <w:highlight w:val="yellow"/>
              </w:rPr>
            </w:pPr>
          </w:p>
        </w:tc>
        <w:tc>
          <w:tcPr>
            <w:tcW w:w="179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242EE82">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cs="Times New Roman"/>
                <w:b/>
                <w:sz w:val="15"/>
                <w:szCs w:val="15"/>
                <w:highlight w:val="none"/>
              </w:rPr>
              <w:t>行业类别（分类管理名录）</w:t>
            </w:r>
          </w:p>
        </w:tc>
        <w:tc>
          <w:tcPr>
            <w:tcW w:w="4896"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03A8E87">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cs="Times New Roman"/>
                <w:b/>
                <w:bCs/>
                <w:sz w:val="15"/>
                <w:szCs w:val="15"/>
                <w:highlight w:val="none"/>
              </w:rPr>
              <w:t>二十七、第78条：电气机械及器材制造</w:t>
            </w:r>
          </w:p>
        </w:tc>
        <w:tc>
          <w:tcPr>
            <w:tcW w:w="215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0A43327">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建设性质</w:t>
            </w:r>
          </w:p>
        </w:tc>
        <w:tc>
          <w:tcPr>
            <w:tcW w:w="277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C2664A9">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cs="Times New Roman"/>
                <w:b/>
                <w:sz w:val="15"/>
                <w:szCs w:val="15"/>
                <w:highlight w:val="none"/>
              </w:rPr>
              <w:sym w:font="Wingdings 2" w:char="0050"/>
            </w:r>
            <w:r>
              <w:rPr>
                <w:rFonts w:hint="default" w:cs="Times New Roman"/>
                <w:b/>
                <w:sz w:val="15"/>
                <w:szCs w:val="15"/>
                <w:highlight w:val="none"/>
              </w:rPr>
              <w:t>新建  □ 改扩建  □技术改造</w:t>
            </w:r>
          </w:p>
        </w:tc>
        <w:tc>
          <w:tcPr>
            <w:tcW w:w="133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8D5CF7E">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项目厂区中心经度/纬度</w:t>
            </w:r>
          </w:p>
        </w:tc>
        <w:tc>
          <w:tcPr>
            <w:tcW w:w="1933" w:type="dxa"/>
            <w:gridSpan w:val="3"/>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608DBAB5">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113.923652、35.043481</w:t>
            </w:r>
          </w:p>
        </w:tc>
      </w:tr>
      <w:tr w14:paraId="278C11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47" w:type="dxa"/>
            <w:vMerge w:val="continue"/>
            <w:tcBorders>
              <w:top w:val="single" w:color="auto" w:sz="8" w:space="0"/>
              <w:left w:val="single" w:color="auto" w:sz="8" w:space="0"/>
              <w:bottom w:val="single" w:color="auto" w:sz="4" w:space="0"/>
              <w:right w:val="single" w:color="auto" w:sz="4" w:space="0"/>
            </w:tcBorders>
            <w:vAlign w:val="center"/>
          </w:tcPr>
          <w:p w14:paraId="32688D6D">
            <w:pPr>
              <w:keepNext w:val="0"/>
              <w:keepLines w:val="0"/>
              <w:suppressLineNumbers w:val="0"/>
              <w:spacing w:before="0" w:beforeAutospacing="0" w:after="0" w:afterAutospacing="0"/>
              <w:ind w:left="0" w:right="0"/>
              <w:jc w:val="center"/>
              <w:rPr>
                <w:rFonts w:hint="default" w:eastAsia="微软雅黑" w:cs="Times New Roman"/>
                <w:b/>
                <w:sz w:val="15"/>
                <w:szCs w:val="15"/>
                <w:highlight w:val="yellow"/>
              </w:rPr>
            </w:pPr>
          </w:p>
        </w:tc>
        <w:tc>
          <w:tcPr>
            <w:tcW w:w="179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96D9E57">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cs="Times New Roman"/>
                <w:b/>
                <w:sz w:val="15"/>
                <w:szCs w:val="15"/>
                <w:highlight w:val="none"/>
              </w:rPr>
              <w:t>设计生产能力</w:t>
            </w:r>
          </w:p>
        </w:tc>
        <w:tc>
          <w:tcPr>
            <w:tcW w:w="4896"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0A18DE3">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bCs/>
                <w:sz w:val="15"/>
                <w:szCs w:val="15"/>
                <w:highlight w:val="none"/>
              </w:rPr>
              <w:t>镍氢电池3000万安时</w:t>
            </w:r>
          </w:p>
        </w:tc>
        <w:tc>
          <w:tcPr>
            <w:tcW w:w="215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735DB4E">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cs="Times New Roman"/>
                <w:b/>
                <w:sz w:val="15"/>
                <w:szCs w:val="15"/>
                <w:highlight w:val="none"/>
              </w:rPr>
              <w:t>实际生产能力</w:t>
            </w:r>
          </w:p>
        </w:tc>
        <w:tc>
          <w:tcPr>
            <w:tcW w:w="19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6B63EF9">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bCs/>
                <w:sz w:val="15"/>
                <w:szCs w:val="15"/>
                <w:highlight w:val="none"/>
              </w:rPr>
              <w:t>镍氢电池3000万安时</w:t>
            </w:r>
          </w:p>
        </w:tc>
        <w:tc>
          <w:tcPr>
            <w:tcW w:w="168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38EF762">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cs="Times New Roman"/>
                <w:b/>
                <w:sz w:val="15"/>
                <w:szCs w:val="15"/>
                <w:highlight w:val="none"/>
              </w:rPr>
              <w:t>环评单位</w:t>
            </w:r>
          </w:p>
        </w:tc>
        <w:tc>
          <w:tcPr>
            <w:tcW w:w="2443"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3EC7F3FE">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cs="Times New Roman"/>
                <w:b/>
                <w:bCs/>
                <w:sz w:val="15"/>
                <w:szCs w:val="15"/>
                <w:highlight w:val="none"/>
              </w:rPr>
              <w:t>济源蓝天科技有限责任公司</w:t>
            </w:r>
          </w:p>
        </w:tc>
      </w:tr>
      <w:tr w14:paraId="3D49A1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47" w:type="dxa"/>
            <w:vMerge w:val="continue"/>
            <w:tcBorders>
              <w:top w:val="single" w:color="auto" w:sz="8" w:space="0"/>
              <w:left w:val="single" w:color="auto" w:sz="8" w:space="0"/>
              <w:bottom w:val="single" w:color="auto" w:sz="4" w:space="0"/>
              <w:right w:val="single" w:color="auto" w:sz="4" w:space="0"/>
            </w:tcBorders>
            <w:vAlign w:val="center"/>
          </w:tcPr>
          <w:p w14:paraId="433C5185">
            <w:pPr>
              <w:keepNext w:val="0"/>
              <w:keepLines w:val="0"/>
              <w:suppressLineNumbers w:val="0"/>
              <w:spacing w:before="0" w:beforeAutospacing="0" w:after="0" w:afterAutospacing="0"/>
              <w:ind w:left="0" w:right="0"/>
              <w:jc w:val="center"/>
              <w:rPr>
                <w:rFonts w:hint="default" w:eastAsia="微软雅黑" w:cs="Times New Roman"/>
                <w:b/>
                <w:sz w:val="15"/>
                <w:szCs w:val="15"/>
                <w:highlight w:val="yellow"/>
              </w:rPr>
            </w:pPr>
          </w:p>
        </w:tc>
        <w:tc>
          <w:tcPr>
            <w:tcW w:w="179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38CFD76">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cs="Times New Roman"/>
                <w:b/>
                <w:sz w:val="15"/>
                <w:szCs w:val="15"/>
                <w:highlight w:val="none"/>
              </w:rPr>
              <w:t>环评文件审批机关</w:t>
            </w:r>
          </w:p>
        </w:tc>
        <w:tc>
          <w:tcPr>
            <w:tcW w:w="4896"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403FE39">
            <w:pPr>
              <w:keepNext w:val="0"/>
              <w:keepLines w:val="0"/>
              <w:suppressLineNumbers w:val="0"/>
              <w:adjustRightInd w:val="0"/>
              <w:snapToGrid w:val="0"/>
              <w:spacing w:before="0" w:beforeAutospacing="0" w:after="0" w:afterAutospacing="0"/>
              <w:ind w:left="0" w:right="0"/>
              <w:jc w:val="center"/>
              <w:rPr>
                <w:rFonts w:hint="default" w:eastAsia="宋体" w:cs="Times New Roman"/>
                <w:b/>
                <w:sz w:val="15"/>
                <w:szCs w:val="15"/>
                <w:highlight w:val="none"/>
                <w:lang w:val="en-US" w:eastAsia="zh-CN"/>
              </w:rPr>
            </w:pPr>
            <w:r>
              <w:rPr>
                <w:rFonts w:hint="default" w:cs="Times New Roman"/>
                <w:b/>
                <w:sz w:val="15"/>
                <w:szCs w:val="15"/>
                <w:highlight w:val="none"/>
              </w:rPr>
              <w:t>新乡市</w:t>
            </w:r>
            <w:r>
              <w:rPr>
                <w:rFonts w:hint="eastAsia" w:cs="Times New Roman"/>
                <w:b/>
                <w:sz w:val="15"/>
                <w:szCs w:val="15"/>
                <w:highlight w:val="none"/>
                <w:lang w:val="en-US" w:eastAsia="zh-CN"/>
              </w:rPr>
              <w:t>生态环境局</w:t>
            </w:r>
          </w:p>
        </w:tc>
        <w:tc>
          <w:tcPr>
            <w:tcW w:w="215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4E31724">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审批文号</w:t>
            </w:r>
          </w:p>
        </w:tc>
        <w:tc>
          <w:tcPr>
            <w:tcW w:w="19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A9BDE53">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cs="Times New Roman"/>
                <w:b/>
                <w:sz w:val="15"/>
                <w:szCs w:val="15"/>
                <w:highlight w:val="none"/>
              </w:rPr>
              <w:t>新环[2014]377号</w:t>
            </w:r>
          </w:p>
        </w:tc>
        <w:tc>
          <w:tcPr>
            <w:tcW w:w="168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69A0981">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环评文件类型</w:t>
            </w:r>
          </w:p>
        </w:tc>
        <w:tc>
          <w:tcPr>
            <w:tcW w:w="2443"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4AEDB14A">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环境影响评价报告书</w:t>
            </w:r>
          </w:p>
        </w:tc>
      </w:tr>
      <w:tr w14:paraId="59D33B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47" w:type="dxa"/>
            <w:vMerge w:val="continue"/>
            <w:tcBorders>
              <w:top w:val="single" w:color="auto" w:sz="8" w:space="0"/>
              <w:left w:val="single" w:color="auto" w:sz="8" w:space="0"/>
              <w:bottom w:val="single" w:color="auto" w:sz="4" w:space="0"/>
              <w:right w:val="single" w:color="auto" w:sz="4" w:space="0"/>
            </w:tcBorders>
            <w:vAlign w:val="center"/>
          </w:tcPr>
          <w:p w14:paraId="5CE1B63D">
            <w:pPr>
              <w:keepNext w:val="0"/>
              <w:keepLines w:val="0"/>
              <w:suppressLineNumbers w:val="0"/>
              <w:spacing w:before="0" w:beforeAutospacing="0" w:after="0" w:afterAutospacing="0"/>
              <w:ind w:left="0" w:right="0"/>
              <w:jc w:val="center"/>
              <w:rPr>
                <w:rFonts w:hint="default" w:eastAsia="微软雅黑" w:cs="Times New Roman"/>
                <w:b/>
                <w:sz w:val="15"/>
                <w:szCs w:val="15"/>
                <w:highlight w:val="yellow"/>
              </w:rPr>
            </w:pPr>
          </w:p>
        </w:tc>
        <w:tc>
          <w:tcPr>
            <w:tcW w:w="179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5126DFE">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cs="Times New Roman"/>
                <w:b/>
                <w:sz w:val="15"/>
                <w:szCs w:val="15"/>
                <w:highlight w:val="none"/>
              </w:rPr>
              <w:t>开工日期</w:t>
            </w:r>
          </w:p>
        </w:tc>
        <w:tc>
          <w:tcPr>
            <w:tcW w:w="4896"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F5FED3F">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20</w:t>
            </w:r>
            <w:r>
              <w:rPr>
                <w:rFonts w:hint="eastAsia" w:cs="Times New Roman"/>
                <w:b/>
                <w:sz w:val="15"/>
                <w:szCs w:val="15"/>
                <w:highlight w:val="none"/>
                <w:lang w:val="en-US" w:eastAsia="zh-CN"/>
              </w:rPr>
              <w:t>22</w:t>
            </w:r>
            <w:r>
              <w:rPr>
                <w:rFonts w:hint="default" w:cs="Times New Roman"/>
                <w:b/>
                <w:sz w:val="15"/>
                <w:szCs w:val="15"/>
                <w:highlight w:val="none"/>
              </w:rPr>
              <w:t>年</w:t>
            </w:r>
            <w:r>
              <w:rPr>
                <w:rFonts w:hint="eastAsia" w:cs="Times New Roman"/>
                <w:b/>
                <w:sz w:val="15"/>
                <w:szCs w:val="15"/>
                <w:highlight w:val="none"/>
                <w:lang w:val="en-US" w:eastAsia="zh-CN"/>
              </w:rPr>
              <w:t>3</w:t>
            </w:r>
            <w:r>
              <w:rPr>
                <w:rFonts w:hint="default" w:cs="Times New Roman"/>
                <w:b/>
                <w:sz w:val="15"/>
                <w:szCs w:val="15"/>
                <w:highlight w:val="none"/>
              </w:rPr>
              <w:t>月</w:t>
            </w:r>
          </w:p>
        </w:tc>
        <w:tc>
          <w:tcPr>
            <w:tcW w:w="215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35B0ECA">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竣工日期</w:t>
            </w:r>
          </w:p>
        </w:tc>
        <w:tc>
          <w:tcPr>
            <w:tcW w:w="19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974612B">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20</w:t>
            </w:r>
            <w:r>
              <w:rPr>
                <w:rFonts w:hint="eastAsia" w:cs="Times New Roman"/>
                <w:b/>
                <w:sz w:val="15"/>
                <w:szCs w:val="15"/>
                <w:highlight w:val="none"/>
                <w:lang w:val="en-US" w:eastAsia="zh-CN"/>
              </w:rPr>
              <w:t>26</w:t>
            </w:r>
            <w:r>
              <w:rPr>
                <w:rFonts w:hint="default" w:cs="Times New Roman"/>
                <w:b/>
                <w:sz w:val="15"/>
                <w:szCs w:val="15"/>
                <w:highlight w:val="none"/>
              </w:rPr>
              <w:t>年</w:t>
            </w:r>
            <w:r>
              <w:rPr>
                <w:rFonts w:hint="eastAsia" w:cs="Times New Roman"/>
                <w:b/>
                <w:sz w:val="15"/>
                <w:szCs w:val="15"/>
                <w:highlight w:val="none"/>
                <w:lang w:val="en-US" w:eastAsia="zh-CN"/>
              </w:rPr>
              <w:t>2</w:t>
            </w:r>
            <w:r>
              <w:rPr>
                <w:rFonts w:hint="default" w:cs="Times New Roman"/>
                <w:b/>
                <w:sz w:val="15"/>
                <w:szCs w:val="15"/>
                <w:highlight w:val="none"/>
              </w:rPr>
              <w:t>月</w:t>
            </w:r>
          </w:p>
        </w:tc>
        <w:tc>
          <w:tcPr>
            <w:tcW w:w="168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4DA7C6E">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排污许可证申领时间</w:t>
            </w:r>
          </w:p>
        </w:tc>
        <w:tc>
          <w:tcPr>
            <w:tcW w:w="2443"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7C772560">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eastAsia="微软雅黑" w:cs="Times New Roman"/>
                <w:sz w:val="15"/>
                <w:szCs w:val="15"/>
                <w:highlight w:val="none"/>
                <w:lang w:val="en-US" w:eastAsia="zh-CN"/>
              </w:rPr>
              <w:t>2026年03月25日</w:t>
            </w:r>
          </w:p>
        </w:tc>
      </w:tr>
      <w:tr w14:paraId="2564BD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47" w:type="dxa"/>
            <w:vMerge w:val="continue"/>
            <w:tcBorders>
              <w:top w:val="single" w:color="auto" w:sz="8" w:space="0"/>
              <w:left w:val="single" w:color="auto" w:sz="8" w:space="0"/>
              <w:bottom w:val="single" w:color="auto" w:sz="4" w:space="0"/>
              <w:right w:val="single" w:color="auto" w:sz="4" w:space="0"/>
            </w:tcBorders>
            <w:vAlign w:val="center"/>
          </w:tcPr>
          <w:p w14:paraId="1F33E194">
            <w:pPr>
              <w:keepNext w:val="0"/>
              <w:keepLines w:val="0"/>
              <w:suppressLineNumbers w:val="0"/>
              <w:spacing w:before="0" w:beforeAutospacing="0" w:after="0" w:afterAutospacing="0"/>
              <w:ind w:left="0" w:right="0"/>
              <w:jc w:val="center"/>
              <w:rPr>
                <w:rFonts w:hint="default" w:eastAsia="微软雅黑" w:cs="Times New Roman"/>
                <w:b/>
                <w:sz w:val="15"/>
                <w:szCs w:val="15"/>
                <w:highlight w:val="yellow"/>
              </w:rPr>
            </w:pPr>
          </w:p>
        </w:tc>
        <w:tc>
          <w:tcPr>
            <w:tcW w:w="179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ED7E241">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cs="Times New Roman"/>
                <w:b/>
                <w:sz w:val="15"/>
                <w:szCs w:val="15"/>
                <w:highlight w:val="none"/>
              </w:rPr>
              <w:t>环保设施设计单位</w:t>
            </w:r>
          </w:p>
        </w:tc>
        <w:tc>
          <w:tcPr>
            <w:tcW w:w="4896"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C7E5A1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sz w:val="15"/>
                <w:szCs w:val="15"/>
                <w:highlight w:val="none"/>
              </w:rPr>
            </w:pPr>
            <w:r>
              <w:rPr>
                <w:rFonts w:hint="default" w:ascii="Times New Roman" w:hAnsi="Times New Roman" w:eastAsia="宋体" w:cs="Times New Roman"/>
                <w:b/>
                <w:bCs/>
                <w:sz w:val="15"/>
                <w:szCs w:val="15"/>
                <w:highlight w:val="none"/>
                <w:lang w:val="en-US" w:eastAsia="zh-CN"/>
              </w:rPr>
              <w:t>新乡市嘉汇玻璃钢环保设备有限公司</w:t>
            </w:r>
          </w:p>
        </w:tc>
        <w:tc>
          <w:tcPr>
            <w:tcW w:w="215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5B1D11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sz w:val="15"/>
                <w:szCs w:val="15"/>
                <w:highlight w:val="none"/>
              </w:rPr>
            </w:pPr>
            <w:r>
              <w:rPr>
                <w:rFonts w:hint="default" w:ascii="Times New Roman" w:hAnsi="Times New Roman" w:eastAsia="宋体" w:cs="Times New Roman"/>
                <w:b/>
                <w:bCs/>
                <w:sz w:val="15"/>
                <w:szCs w:val="15"/>
                <w:highlight w:val="none"/>
              </w:rPr>
              <w:t>环保设施施工单位</w:t>
            </w:r>
          </w:p>
        </w:tc>
        <w:tc>
          <w:tcPr>
            <w:tcW w:w="19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63CD78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sz w:val="15"/>
                <w:szCs w:val="15"/>
                <w:highlight w:val="none"/>
              </w:rPr>
            </w:pPr>
            <w:r>
              <w:rPr>
                <w:rFonts w:hint="default" w:ascii="Times New Roman" w:hAnsi="Times New Roman" w:eastAsia="宋体" w:cs="Times New Roman"/>
                <w:b/>
                <w:bCs/>
                <w:sz w:val="15"/>
                <w:szCs w:val="15"/>
                <w:highlight w:val="none"/>
                <w:lang w:val="en-US" w:eastAsia="zh-CN"/>
              </w:rPr>
              <w:t>新乡市嘉汇玻璃钢环保设备有限公司</w:t>
            </w:r>
          </w:p>
        </w:tc>
        <w:tc>
          <w:tcPr>
            <w:tcW w:w="168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D37246D">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本工程排污许可证编号</w:t>
            </w:r>
          </w:p>
        </w:tc>
        <w:tc>
          <w:tcPr>
            <w:tcW w:w="2443"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7E59F507">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eastAsia="微软雅黑" w:cs="Times New Roman"/>
                <w:sz w:val="15"/>
                <w:szCs w:val="15"/>
                <w:highlight w:val="none"/>
                <w:lang w:val="en-US" w:eastAsia="zh-CN"/>
              </w:rPr>
              <w:t>91410711MA3X7RRD2H001R</w:t>
            </w:r>
          </w:p>
        </w:tc>
      </w:tr>
      <w:tr w14:paraId="325210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47" w:type="dxa"/>
            <w:vMerge w:val="continue"/>
            <w:tcBorders>
              <w:top w:val="single" w:color="auto" w:sz="8" w:space="0"/>
              <w:left w:val="single" w:color="auto" w:sz="8" w:space="0"/>
              <w:bottom w:val="single" w:color="auto" w:sz="4" w:space="0"/>
              <w:right w:val="single" w:color="auto" w:sz="4" w:space="0"/>
            </w:tcBorders>
            <w:vAlign w:val="center"/>
          </w:tcPr>
          <w:p w14:paraId="043D1EC6">
            <w:pPr>
              <w:keepNext w:val="0"/>
              <w:keepLines w:val="0"/>
              <w:suppressLineNumbers w:val="0"/>
              <w:spacing w:before="0" w:beforeAutospacing="0" w:after="0" w:afterAutospacing="0"/>
              <w:ind w:left="0" w:right="0"/>
              <w:jc w:val="center"/>
              <w:rPr>
                <w:rFonts w:hint="default" w:eastAsia="微软雅黑" w:cs="Times New Roman"/>
                <w:b/>
                <w:sz w:val="15"/>
                <w:szCs w:val="15"/>
                <w:highlight w:val="yellow"/>
              </w:rPr>
            </w:pPr>
          </w:p>
        </w:tc>
        <w:tc>
          <w:tcPr>
            <w:tcW w:w="179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CCBA17B">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cs="Times New Roman"/>
                <w:b/>
                <w:sz w:val="15"/>
                <w:szCs w:val="15"/>
                <w:highlight w:val="none"/>
              </w:rPr>
              <w:t>验收单位</w:t>
            </w:r>
          </w:p>
        </w:tc>
        <w:tc>
          <w:tcPr>
            <w:tcW w:w="4896"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2E0605B">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cs="Times New Roman"/>
                <w:b/>
                <w:sz w:val="15"/>
                <w:szCs w:val="15"/>
                <w:highlight w:val="none"/>
              </w:rPr>
              <w:t>河南省恒明新能源有限公司</w:t>
            </w:r>
          </w:p>
        </w:tc>
        <w:tc>
          <w:tcPr>
            <w:tcW w:w="215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F52445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sz w:val="15"/>
                <w:szCs w:val="15"/>
                <w:highlight w:val="none"/>
              </w:rPr>
            </w:pPr>
            <w:r>
              <w:rPr>
                <w:rFonts w:hint="default" w:ascii="Times New Roman" w:hAnsi="Times New Roman" w:eastAsia="宋体" w:cs="Times New Roman"/>
                <w:b/>
                <w:sz w:val="15"/>
                <w:szCs w:val="15"/>
                <w:highlight w:val="none"/>
              </w:rPr>
              <w:t>环保设施监测单位</w:t>
            </w:r>
          </w:p>
        </w:tc>
        <w:tc>
          <w:tcPr>
            <w:tcW w:w="19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B92224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sz w:val="15"/>
                <w:szCs w:val="15"/>
                <w:highlight w:val="none"/>
              </w:rPr>
            </w:pPr>
            <w:r>
              <w:rPr>
                <w:rFonts w:hint="default" w:ascii="Times New Roman" w:hAnsi="Times New Roman" w:eastAsia="宋体" w:cs="Times New Roman"/>
                <w:b/>
                <w:sz w:val="15"/>
                <w:szCs w:val="15"/>
                <w:highlight w:val="none"/>
                <w:lang w:val="en-US" w:eastAsia="zh-CN"/>
              </w:rPr>
              <w:t>河南琢磨检测研究院有限公司</w:t>
            </w:r>
          </w:p>
        </w:tc>
        <w:tc>
          <w:tcPr>
            <w:tcW w:w="168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6072301">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验收监测时工况</w:t>
            </w:r>
          </w:p>
        </w:tc>
        <w:tc>
          <w:tcPr>
            <w:tcW w:w="2443"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710817E2">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eastAsia" w:cs="Times New Roman"/>
                <w:b/>
                <w:sz w:val="15"/>
                <w:szCs w:val="15"/>
                <w:highlight w:val="none"/>
                <w:lang w:val="en-US" w:eastAsia="zh-CN"/>
              </w:rPr>
              <w:t>80-87</w:t>
            </w:r>
            <w:r>
              <w:rPr>
                <w:rFonts w:hint="default" w:cs="Times New Roman"/>
                <w:b/>
                <w:sz w:val="15"/>
                <w:szCs w:val="15"/>
                <w:highlight w:val="none"/>
              </w:rPr>
              <w:t>%</w:t>
            </w:r>
          </w:p>
        </w:tc>
      </w:tr>
      <w:tr w14:paraId="191CFA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47" w:type="dxa"/>
            <w:vMerge w:val="continue"/>
            <w:tcBorders>
              <w:top w:val="single" w:color="auto" w:sz="8" w:space="0"/>
              <w:left w:val="single" w:color="auto" w:sz="8" w:space="0"/>
              <w:bottom w:val="single" w:color="auto" w:sz="4" w:space="0"/>
              <w:right w:val="single" w:color="auto" w:sz="4" w:space="0"/>
            </w:tcBorders>
            <w:vAlign w:val="center"/>
          </w:tcPr>
          <w:p w14:paraId="5691B377">
            <w:pPr>
              <w:keepNext w:val="0"/>
              <w:keepLines w:val="0"/>
              <w:suppressLineNumbers w:val="0"/>
              <w:spacing w:before="0" w:beforeAutospacing="0" w:after="0" w:afterAutospacing="0"/>
              <w:ind w:left="0" w:right="0"/>
              <w:jc w:val="center"/>
              <w:rPr>
                <w:rFonts w:hint="default" w:eastAsia="微软雅黑" w:cs="Times New Roman"/>
                <w:b/>
                <w:sz w:val="15"/>
                <w:szCs w:val="15"/>
                <w:highlight w:val="yellow"/>
              </w:rPr>
            </w:pPr>
          </w:p>
        </w:tc>
        <w:tc>
          <w:tcPr>
            <w:tcW w:w="179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150CA0C">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cs="Times New Roman"/>
                <w:b/>
                <w:sz w:val="15"/>
                <w:szCs w:val="15"/>
                <w:highlight w:val="none"/>
              </w:rPr>
              <w:t>投资总概算（万元）</w:t>
            </w:r>
          </w:p>
        </w:tc>
        <w:tc>
          <w:tcPr>
            <w:tcW w:w="4896"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4A4657E">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lang w:val="en-US" w:eastAsia="zh-CN"/>
              </w:rPr>
            </w:pPr>
            <w:r>
              <w:rPr>
                <w:rFonts w:hint="default" w:cs="Times New Roman"/>
                <w:sz w:val="15"/>
                <w:szCs w:val="15"/>
                <w:highlight w:val="none"/>
              </w:rPr>
              <w:t>13000</w:t>
            </w:r>
          </w:p>
        </w:tc>
        <w:tc>
          <w:tcPr>
            <w:tcW w:w="215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4928274">
            <w:pPr>
              <w:keepNext w:val="0"/>
              <w:keepLines w:val="0"/>
              <w:suppressLineNumbers w:val="0"/>
              <w:tabs>
                <w:tab w:val="left" w:pos="690"/>
              </w:tabs>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cs="Times New Roman"/>
                <w:b/>
                <w:sz w:val="15"/>
                <w:szCs w:val="15"/>
                <w:highlight w:val="none"/>
              </w:rPr>
              <w:t>环保投资总概算（万元）</w:t>
            </w:r>
          </w:p>
        </w:tc>
        <w:tc>
          <w:tcPr>
            <w:tcW w:w="19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6FE75CF">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lang w:val="en-US" w:eastAsia="zh-CN"/>
              </w:rPr>
            </w:pPr>
            <w:r>
              <w:rPr>
                <w:rFonts w:hint="eastAsia" w:ascii="Times New Roman" w:hAnsi="Times New Roman" w:eastAsia="微软雅黑" w:cs="Times New Roman"/>
                <w:sz w:val="15"/>
                <w:szCs w:val="15"/>
                <w:highlight w:val="none"/>
                <w:lang w:val="en-US" w:eastAsia="zh-CN"/>
              </w:rPr>
              <w:t>10.5</w:t>
            </w:r>
            <w:r>
              <w:rPr>
                <w:rFonts w:hint="eastAsia" w:eastAsia="微软雅黑" w:cs="Times New Roman"/>
                <w:sz w:val="15"/>
                <w:szCs w:val="15"/>
                <w:highlight w:val="none"/>
                <w:lang w:val="en-US" w:eastAsia="zh-CN"/>
              </w:rPr>
              <w:t>（本期）</w:t>
            </w:r>
          </w:p>
        </w:tc>
        <w:tc>
          <w:tcPr>
            <w:tcW w:w="168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51A450C">
            <w:pPr>
              <w:keepNext w:val="0"/>
              <w:keepLines w:val="0"/>
              <w:suppressLineNumbers w:val="0"/>
              <w:tabs>
                <w:tab w:val="left" w:pos="690"/>
              </w:tabs>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cs="Times New Roman"/>
                <w:b/>
                <w:sz w:val="15"/>
                <w:szCs w:val="15"/>
                <w:highlight w:val="none"/>
              </w:rPr>
              <w:t>所占比例（%）</w:t>
            </w:r>
          </w:p>
        </w:tc>
        <w:tc>
          <w:tcPr>
            <w:tcW w:w="2443"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649D76E2">
            <w:pPr>
              <w:keepNext w:val="0"/>
              <w:keepLines w:val="0"/>
              <w:suppressLineNumbers w:val="0"/>
              <w:tabs>
                <w:tab w:val="left" w:pos="690"/>
              </w:tabs>
              <w:adjustRightInd w:val="0"/>
              <w:snapToGrid w:val="0"/>
              <w:spacing w:before="0" w:beforeAutospacing="0" w:after="0" w:afterAutospacing="0"/>
              <w:ind w:left="0" w:right="0"/>
              <w:jc w:val="center"/>
              <w:rPr>
                <w:rFonts w:hint="default" w:eastAsia="微软雅黑" w:cs="Times New Roman"/>
                <w:b/>
                <w:sz w:val="15"/>
                <w:szCs w:val="15"/>
                <w:highlight w:val="none"/>
                <w:lang w:val="en-US" w:eastAsia="zh-CN"/>
              </w:rPr>
            </w:pPr>
            <w:r>
              <w:rPr>
                <w:rFonts w:hint="eastAsia" w:eastAsia="微软雅黑" w:cs="Times New Roman"/>
                <w:b/>
                <w:sz w:val="15"/>
                <w:szCs w:val="15"/>
                <w:highlight w:val="none"/>
                <w:lang w:val="en-US" w:eastAsia="zh-CN"/>
              </w:rPr>
              <w:t>0.08%</w:t>
            </w:r>
          </w:p>
        </w:tc>
      </w:tr>
      <w:tr w14:paraId="2E7C2F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47" w:type="dxa"/>
            <w:vMerge w:val="continue"/>
            <w:tcBorders>
              <w:top w:val="single" w:color="auto" w:sz="8" w:space="0"/>
              <w:left w:val="single" w:color="auto" w:sz="8" w:space="0"/>
              <w:bottom w:val="single" w:color="auto" w:sz="4" w:space="0"/>
              <w:right w:val="single" w:color="auto" w:sz="4" w:space="0"/>
            </w:tcBorders>
            <w:vAlign w:val="center"/>
          </w:tcPr>
          <w:p w14:paraId="11E7E75B">
            <w:pPr>
              <w:keepNext w:val="0"/>
              <w:keepLines w:val="0"/>
              <w:suppressLineNumbers w:val="0"/>
              <w:spacing w:before="0" w:beforeAutospacing="0" w:after="0" w:afterAutospacing="0"/>
              <w:ind w:left="0" w:right="0"/>
              <w:jc w:val="center"/>
              <w:rPr>
                <w:rFonts w:hint="default" w:eastAsia="微软雅黑" w:cs="Times New Roman"/>
                <w:b/>
                <w:sz w:val="15"/>
                <w:szCs w:val="15"/>
                <w:highlight w:val="yellow"/>
              </w:rPr>
            </w:pPr>
          </w:p>
        </w:tc>
        <w:tc>
          <w:tcPr>
            <w:tcW w:w="179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206D547">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cs="Times New Roman"/>
                <w:b/>
                <w:sz w:val="15"/>
                <w:szCs w:val="15"/>
                <w:highlight w:val="none"/>
              </w:rPr>
              <w:t>实际总投资</w:t>
            </w:r>
          </w:p>
        </w:tc>
        <w:tc>
          <w:tcPr>
            <w:tcW w:w="4896"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664835D">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300（本期）</w:t>
            </w:r>
          </w:p>
        </w:tc>
        <w:tc>
          <w:tcPr>
            <w:tcW w:w="215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F1BDA74">
            <w:pPr>
              <w:keepNext w:val="0"/>
              <w:keepLines w:val="0"/>
              <w:suppressLineNumbers w:val="0"/>
              <w:adjustRightInd w:val="0"/>
              <w:snapToGrid w:val="0"/>
              <w:spacing w:before="0" w:beforeAutospacing="0" w:after="0" w:afterAutospacing="0"/>
              <w:ind w:left="0" w:right="300"/>
              <w:jc w:val="center"/>
              <w:rPr>
                <w:rFonts w:hint="default" w:eastAsia="微软雅黑" w:cs="Times New Roman"/>
                <w:b/>
                <w:sz w:val="15"/>
                <w:szCs w:val="15"/>
                <w:highlight w:val="none"/>
              </w:rPr>
            </w:pPr>
            <w:r>
              <w:rPr>
                <w:rFonts w:hint="default" w:cs="Times New Roman"/>
                <w:b/>
                <w:sz w:val="15"/>
                <w:szCs w:val="15"/>
                <w:highlight w:val="none"/>
              </w:rPr>
              <w:t>实际环保投资（万元）</w:t>
            </w:r>
          </w:p>
        </w:tc>
        <w:tc>
          <w:tcPr>
            <w:tcW w:w="19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62439B4">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lang w:val="en-US" w:eastAsia="zh-CN"/>
              </w:rPr>
            </w:pPr>
            <w:r>
              <w:rPr>
                <w:rFonts w:hint="eastAsia" w:eastAsia="微软雅黑" w:cs="Times New Roman"/>
                <w:sz w:val="15"/>
                <w:szCs w:val="15"/>
                <w:highlight w:val="none"/>
                <w:lang w:val="en-US" w:eastAsia="zh-CN"/>
              </w:rPr>
              <w:t>20</w:t>
            </w:r>
          </w:p>
        </w:tc>
        <w:tc>
          <w:tcPr>
            <w:tcW w:w="168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574FB08">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所占比例（%）</w:t>
            </w:r>
          </w:p>
        </w:tc>
        <w:tc>
          <w:tcPr>
            <w:tcW w:w="2443"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73949B06">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lang w:val="en-US" w:eastAsia="zh-CN"/>
              </w:rPr>
            </w:pPr>
            <w:r>
              <w:rPr>
                <w:rFonts w:hint="eastAsia" w:eastAsia="微软雅黑" w:cs="Times New Roman"/>
                <w:b/>
                <w:sz w:val="15"/>
                <w:szCs w:val="15"/>
                <w:highlight w:val="none"/>
                <w:lang w:val="en-US" w:eastAsia="zh-CN"/>
              </w:rPr>
              <w:t>6.7%</w:t>
            </w:r>
          </w:p>
        </w:tc>
      </w:tr>
      <w:tr w14:paraId="600759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47" w:type="dxa"/>
            <w:vMerge w:val="continue"/>
            <w:tcBorders>
              <w:top w:val="single" w:color="auto" w:sz="8" w:space="0"/>
              <w:left w:val="single" w:color="auto" w:sz="8" w:space="0"/>
              <w:bottom w:val="single" w:color="auto" w:sz="4" w:space="0"/>
              <w:right w:val="single" w:color="auto" w:sz="4" w:space="0"/>
            </w:tcBorders>
            <w:vAlign w:val="center"/>
          </w:tcPr>
          <w:p w14:paraId="69405A25">
            <w:pPr>
              <w:keepNext w:val="0"/>
              <w:keepLines w:val="0"/>
              <w:suppressLineNumbers w:val="0"/>
              <w:spacing w:before="0" w:beforeAutospacing="0" w:after="0" w:afterAutospacing="0"/>
              <w:ind w:left="0" w:right="0"/>
              <w:jc w:val="center"/>
              <w:rPr>
                <w:rFonts w:hint="default" w:eastAsia="微软雅黑" w:cs="Times New Roman"/>
                <w:b/>
                <w:sz w:val="15"/>
                <w:szCs w:val="15"/>
                <w:highlight w:val="yellow"/>
              </w:rPr>
            </w:pPr>
          </w:p>
        </w:tc>
        <w:tc>
          <w:tcPr>
            <w:tcW w:w="179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18C93E6">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cs="Times New Roman"/>
                <w:b/>
                <w:sz w:val="15"/>
                <w:szCs w:val="15"/>
                <w:highlight w:val="none"/>
              </w:rPr>
              <w:t>废水治理（万元）</w:t>
            </w:r>
          </w:p>
        </w:tc>
        <w:tc>
          <w:tcPr>
            <w:tcW w:w="60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E86175A">
            <w:pPr>
              <w:keepNext w:val="0"/>
              <w:keepLines w:val="0"/>
              <w:suppressLineNumbers w:val="0"/>
              <w:adjustRightInd w:val="0"/>
              <w:snapToGrid w:val="0"/>
              <w:spacing w:before="0" w:beforeAutospacing="0" w:after="0" w:afterAutospacing="0"/>
              <w:ind w:left="0" w:right="0"/>
              <w:jc w:val="center"/>
              <w:rPr>
                <w:rFonts w:hint="eastAsia" w:eastAsia="微软雅黑" w:cs="Times New Roman"/>
                <w:sz w:val="15"/>
                <w:szCs w:val="15"/>
                <w:highlight w:val="none"/>
                <w:lang w:eastAsia="zh-CN"/>
              </w:rPr>
            </w:pPr>
            <w:r>
              <w:rPr>
                <w:rFonts w:hint="eastAsia" w:eastAsia="微软雅黑" w:cs="Times New Roman"/>
                <w:sz w:val="15"/>
                <w:szCs w:val="15"/>
                <w:highlight w:val="none"/>
                <w:lang w:val="en-US" w:eastAsia="zh-CN"/>
              </w:rPr>
              <w:t>/</w:t>
            </w:r>
          </w:p>
        </w:tc>
        <w:tc>
          <w:tcPr>
            <w:tcW w:w="129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FE49613">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废气治理（万元）</w:t>
            </w:r>
          </w:p>
        </w:tc>
        <w:tc>
          <w:tcPr>
            <w:tcW w:w="10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A7B0B97">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lang w:val="en-US" w:eastAsia="zh-CN"/>
              </w:rPr>
            </w:pPr>
            <w:r>
              <w:rPr>
                <w:rFonts w:hint="eastAsia" w:eastAsia="微软雅黑" w:cs="Times New Roman"/>
                <w:sz w:val="15"/>
                <w:szCs w:val="15"/>
                <w:highlight w:val="none"/>
                <w:lang w:val="en-US" w:eastAsia="zh-CN"/>
              </w:rPr>
              <w:t>10</w:t>
            </w:r>
          </w:p>
        </w:tc>
        <w:tc>
          <w:tcPr>
            <w:tcW w:w="129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9DF08FB">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噪声治理（万元）</w:t>
            </w:r>
          </w:p>
        </w:tc>
        <w:tc>
          <w:tcPr>
            <w:tcW w:w="6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1EAB353">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cs="Times New Roman"/>
                <w:sz w:val="15"/>
                <w:szCs w:val="15"/>
                <w:highlight w:val="none"/>
              </w:rPr>
              <w:t>10</w:t>
            </w:r>
          </w:p>
        </w:tc>
        <w:tc>
          <w:tcPr>
            <w:tcW w:w="215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2BD73A5">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cs="Times New Roman"/>
                <w:b/>
                <w:sz w:val="15"/>
                <w:szCs w:val="15"/>
                <w:highlight w:val="none"/>
              </w:rPr>
              <w:t>固体废物治理（万元）</w:t>
            </w:r>
          </w:p>
        </w:tc>
        <w:tc>
          <w:tcPr>
            <w:tcW w:w="19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F5E4377">
            <w:pPr>
              <w:keepNext w:val="0"/>
              <w:keepLines w:val="0"/>
              <w:suppressLineNumbers w:val="0"/>
              <w:adjustRightInd w:val="0"/>
              <w:snapToGrid w:val="0"/>
              <w:spacing w:before="0" w:beforeAutospacing="0" w:after="0" w:afterAutospacing="0"/>
              <w:ind w:left="0" w:right="0"/>
              <w:jc w:val="center"/>
              <w:rPr>
                <w:rFonts w:hint="eastAsia" w:eastAsia="微软雅黑" w:cs="Times New Roman"/>
                <w:sz w:val="15"/>
                <w:szCs w:val="15"/>
                <w:highlight w:val="none"/>
                <w:lang w:eastAsia="zh-CN"/>
              </w:rPr>
            </w:pPr>
            <w:r>
              <w:rPr>
                <w:rFonts w:hint="eastAsia" w:eastAsia="微软雅黑" w:cs="Times New Roman"/>
                <w:sz w:val="15"/>
                <w:szCs w:val="15"/>
                <w:highlight w:val="none"/>
                <w:lang w:val="en-US" w:eastAsia="zh-CN"/>
              </w:rPr>
              <w:t>/</w:t>
            </w:r>
          </w:p>
        </w:tc>
        <w:tc>
          <w:tcPr>
            <w:tcW w:w="168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C7E61AF">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绿化及生态（万元）</w:t>
            </w:r>
          </w:p>
        </w:tc>
        <w:tc>
          <w:tcPr>
            <w:tcW w:w="87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65B2535">
            <w:pPr>
              <w:keepNext w:val="0"/>
              <w:keepLines w:val="0"/>
              <w:suppressLineNumbers w:val="0"/>
              <w:adjustRightInd w:val="0"/>
              <w:snapToGrid w:val="0"/>
              <w:spacing w:before="0" w:beforeAutospacing="0" w:after="0" w:afterAutospacing="0"/>
              <w:ind w:left="0" w:right="0"/>
              <w:jc w:val="center"/>
              <w:rPr>
                <w:rFonts w:hint="eastAsia" w:eastAsia="微软雅黑" w:cs="Times New Roman"/>
                <w:b/>
                <w:sz w:val="15"/>
                <w:szCs w:val="15"/>
                <w:highlight w:val="none"/>
                <w:lang w:eastAsia="zh-CN"/>
              </w:rPr>
            </w:pPr>
            <w:r>
              <w:rPr>
                <w:rFonts w:hint="eastAsia" w:eastAsia="微软雅黑" w:cs="Times New Roman"/>
                <w:b/>
                <w:sz w:val="15"/>
                <w:szCs w:val="15"/>
                <w:highlight w:val="none"/>
                <w:lang w:val="en-US" w:eastAsia="zh-CN"/>
              </w:rPr>
              <w:t>/</w:t>
            </w:r>
          </w:p>
        </w:tc>
        <w:tc>
          <w:tcPr>
            <w:tcW w:w="91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18E2CFC">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其他（万元）</w:t>
            </w:r>
          </w:p>
        </w:tc>
        <w:tc>
          <w:tcPr>
            <w:tcW w:w="65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3392A23E">
            <w:pPr>
              <w:keepNext w:val="0"/>
              <w:keepLines w:val="0"/>
              <w:suppressLineNumbers w:val="0"/>
              <w:adjustRightInd w:val="0"/>
              <w:snapToGrid w:val="0"/>
              <w:spacing w:before="0" w:beforeAutospacing="0" w:after="0" w:afterAutospacing="0"/>
              <w:ind w:left="0" w:right="0"/>
              <w:jc w:val="center"/>
              <w:rPr>
                <w:rFonts w:hint="eastAsia" w:eastAsia="微软雅黑" w:cs="Times New Roman"/>
                <w:b/>
                <w:sz w:val="15"/>
                <w:szCs w:val="15"/>
                <w:highlight w:val="none"/>
                <w:lang w:eastAsia="zh-CN"/>
              </w:rPr>
            </w:pPr>
            <w:r>
              <w:rPr>
                <w:rFonts w:hint="eastAsia" w:eastAsia="微软雅黑" w:cs="Times New Roman"/>
                <w:b/>
                <w:sz w:val="15"/>
                <w:szCs w:val="15"/>
                <w:highlight w:val="none"/>
                <w:lang w:val="en-US" w:eastAsia="zh-CN"/>
              </w:rPr>
              <w:t>/</w:t>
            </w:r>
          </w:p>
        </w:tc>
      </w:tr>
      <w:tr w14:paraId="29A585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47" w:type="dxa"/>
            <w:vMerge w:val="continue"/>
            <w:tcBorders>
              <w:top w:val="single" w:color="auto" w:sz="8" w:space="0"/>
              <w:left w:val="single" w:color="auto" w:sz="8" w:space="0"/>
              <w:bottom w:val="single" w:color="auto" w:sz="4" w:space="0"/>
              <w:right w:val="single" w:color="auto" w:sz="4" w:space="0"/>
            </w:tcBorders>
            <w:vAlign w:val="center"/>
          </w:tcPr>
          <w:p w14:paraId="07A776CB">
            <w:pPr>
              <w:keepNext w:val="0"/>
              <w:keepLines w:val="0"/>
              <w:suppressLineNumbers w:val="0"/>
              <w:spacing w:before="0" w:beforeAutospacing="0" w:after="0" w:afterAutospacing="0"/>
              <w:ind w:left="0" w:right="0"/>
              <w:jc w:val="center"/>
              <w:rPr>
                <w:rFonts w:hint="default" w:eastAsia="微软雅黑" w:cs="Times New Roman"/>
                <w:b/>
                <w:sz w:val="15"/>
                <w:szCs w:val="15"/>
                <w:highlight w:val="yellow"/>
              </w:rPr>
            </w:pPr>
          </w:p>
        </w:tc>
        <w:tc>
          <w:tcPr>
            <w:tcW w:w="179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2E27501">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cs="Times New Roman"/>
                <w:b/>
                <w:sz w:val="15"/>
                <w:szCs w:val="15"/>
                <w:highlight w:val="none"/>
              </w:rPr>
              <w:t>新增废水处理设施能力</w:t>
            </w:r>
          </w:p>
        </w:tc>
        <w:tc>
          <w:tcPr>
            <w:tcW w:w="4896"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0C2EAB3">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cs="Times New Roman"/>
                <w:sz w:val="15"/>
                <w:szCs w:val="15"/>
                <w:highlight w:val="none"/>
              </w:rPr>
              <w:t>/</w:t>
            </w:r>
          </w:p>
        </w:tc>
        <w:tc>
          <w:tcPr>
            <w:tcW w:w="215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7FACE2F">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cs="Times New Roman"/>
                <w:b/>
                <w:sz w:val="15"/>
                <w:szCs w:val="15"/>
                <w:highlight w:val="none"/>
              </w:rPr>
              <w:t>新增废气处理设施能力</w:t>
            </w:r>
          </w:p>
        </w:tc>
        <w:tc>
          <w:tcPr>
            <w:tcW w:w="19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AE270ED">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cs="Times New Roman"/>
                <w:sz w:val="15"/>
                <w:szCs w:val="15"/>
                <w:highlight w:val="none"/>
              </w:rPr>
              <w:t>/</w:t>
            </w:r>
          </w:p>
        </w:tc>
        <w:tc>
          <w:tcPr>
            <w:tcW w:w="168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10425D3">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cs="Times New Roman"/>
                <w:b/>
                <w:sz w:val="15"/>
                <w:szCs w:val="15"/>
                <w:highlight w:val="none"/>
              </w:rPr>
              <w:t>年平均工作时</w:t>
            </w:r>
          </w:p>
        </w:tc>
        <w:tc>
          <w:tcPr>
            <w:tcW w:w="2443"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49493E21">
            <w:pPr>
              <w:keepNext w:val="0"/>
              <w:keepLines w:val="0"/>
              <w:suppressLineNumbers w:val="0"/>
              <w:adjustRightInd w:val="0"/>
              <w:snapToGrid w:val="0"/>
              <w:spacing w:before="0" w:beforeAutospacing="0" w:after="0" w:afterAutospacing="0"/>
              <w:ind w:left="0" w:right="0"/>
              <w:jc w:val="center"/>
              <w:rPr>
                <w:rFonts w:hint="eastAsia" w:eastAsia="微软雅黑" w:cs="Times New Roman"/>
                <w:b/>
                <w:sz w:val="15"/>
                <w:szCs w:val="15"/>
                <w:highlight w:val="none"/>
                <w:lang w:eastAsia="zh-CN"/>
              </w:rPr>
            </w:pPr>
            <w:r>
              <w:rPr>
                <w:rFonts w:hint="eastAsia" w:eastAsia="微软雅黑" w:cs="Times New Roman"/>
                <w:b/>
                <w:sz w:val="15"/>
                <w:szCs w:val="15"/>
                <w:highlight w:val="none"/>
                <w:lang w:val="en-US" w:eastAsia="zh-CN"/>
              </w:rPr>
              <w:t>/</w:t>
            </w:r>
          </w:p>
        </w:tc>
      </w:tr>
      <w:tr w14:paraId="1E1ADE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2444" w:type="dxa"/>
            <w:gridSpan w:val="4"/>
            <w:tcBorders>
              <w:top w:val="single" w:color="auto" w:sz="4" w:space="0"/>
              <w:left w:val="single" w:color="auto" w:sz="8" w:space="0"/>
              <w:bottom w:val="single" w:color="auto" w:sz="4" w:space="0"/>
              <w:right w:val="single" w:color="auto" w:sz="4" w:space="0"/>
            </w:tcBorders>
            <w:tcMar>
              <w:top w:w="0" w:type="dxa"/>
              <w:left w:w="57" w:type="dxa"/>
              <w:bottom w:w="0" w:type="dxa"/>
              <w:right w:w="57" w:type="dxa"/>
            </w:tcMar>
            <w:vAlign w:val="center"/>
          </w:tcPr>
          <w:p w14:paraId="606C5F29">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运营单位</w:t>
            </w:r>
          </w:p>
        </w:tc>
        <w:tc>
          <w:tcPr>
            <w:tcW w:w="3889"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EC75217">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cs="Times New Roman"/>
                <w:b/>
                <w:sz w:val="15"/>
                <w:szCs w:val="15"/>
                <w:highlight w:val="none"/>
              </w:rPr>
              <w:t>河南省恒明新能源有限公司</w:t>
            </w:r>
          </w:p>
        </w:tc>
        <w:tc>
          <w:tcPr>
            <w:tcW w:w="3161"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69E9EE7">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cs="Times New Roman"/>
                <w:b/>
                <w:sz w:val="15"/>
                <w:szCs w:val="15"/>
                <w:highlight w:val="none"/>
              </w:rPr>
              <w:t>运营单位社会统一信用代码（或组织机构代码）</w:t>
            </w:r>
          </w:p>
        </w:tc>
        <w:tc>
          <w:tcPr>
            <w:tcW w:w="19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60FAF87">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eastAsia="微软雅黑" w:cs="Times New Roman"/>
                <w:b/>
                <w:sz w:val="15"/>
                <w:szCs w:val="15"/>
                <w:highlight w:val="none"/>
              </w:rPr>
              <w:t>91410711MA3X7RRD2H</w:t>
            </w:r>
          </w:p>
        </w:tc>
        <w:tc>
          <w:tcPr>
            <w:tcW w:w="168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91CD3CE">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验收时间</w:t>
            </w:r>
          </w:p>
        </w:tc>
        <w:tc>
          <w:tcPr>
            <w:tcW w:w="2443"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653CFD9F">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eastAsia="微软雅黑" w:cs="Times New Roman"/>
                <w:b/>
                <w:sz w:val="15"/>
                <w:szCs w:val="15"/>
                <w:highlight w:val="none"/>
                <w:lang w:val="en-US" w:eastAsia="zh-CN"/>
              </w:rPr>
              <w:t>2026年</w:t>
            </w:r>
            <w:r>
              <w:rPr>
                <w:rFonts w:hint="eastAsia" w:eastAsia="微软雅黑" w:cs="Times New Roman"/>
                <w:b/>
                <w:sz w:val="15"/>
                <w:szCs w:val="15"/>
                <w:highlight w:val="none"/>
                <w:lang w:val="en-US" w:eastAsia="zh-CN"/>
              </w:rPr>
              <w:t>4</w:t>
            </w:r>
            <w:bookmarkStart w:id="97" w:name="_GoBack"/>
            <w:bookmarkEnd w:id="97"/>
            <w:r>
              <w:rPr>
                <w:rFonts w:hint="default" w:eastAsia="微软雅黑" w:cs="Times New Roman"/>
                <w:b/>
                <w:sz w:val="15"/>
                <w:szCs w:val="15"/>
                <w:highlight w:val="none"/>
                <w:lang w:val="en-US" w:eastAsia="zh-CN"/>
              </w:rPr>
              <w:t>月-7月</w:t>
            </w:r>
          </w:p>
        </w:tc>
      </w:tr>
      <w:tr w14:paraId="74C8D7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707" w:type="dxa"/>
            <w:gridSpan w:val="2"/>
            <w:vMerge w:val="restart"/>
            <w:tcBorders>
              <w:top w:val="single" w:color="auto" w:sz="4" w:space="0"/>
              <w:left w:val="single" w:color="auto" w:sz="8" w:space="0"/>
              <w:bottom w:val="single" w:color="auto" w:sz="8" w:space="0"/>
              <w:right w:val="single" w:color="auto" w:sz="4" w:space="0"/>
            </w:tcBorders>
            <w:tcMar>
              <w:top w:w="0" w:type="dxa"/>
              <w:left w:w="57" w:type="dxa"/>
              <w:bottom w:w="0" w:type="dxa"/>
              <w:right w:w="57" w:type="dxa"/>
            </w:tcMar>
            <w:vAlign w:val="center"/>
          </w:tcPr>
          <w:p w14:paraId="2B754D1E">
            <w:pPr>
              <w:keepNext w:val="0"/>
              <w:keepLines w:val="0"/>
              <w:suppressLineNumbers w:val="0"/>
              <w:spacing w:before="0" w:beforeAutospacing="0" w:after="0" w:afterAutospacing="0"/>
              <w:ind w:left="0" w:right="0"/>
              <w:jc w:val="center"/>
              <w:rPr>
                <w:rFonts w:hint="default" w:eastAsia="黑体" w:cs="Times New Roman"/>
                <w:b/>
                <w:spacing w:val="20"/>
                <w:sz w:val="15"/>
                <w:szCs w:val="15"/>
                <w:highlight w:val="none"/>
              </w:rPr>
            </w:pPr>
            <w:r>
              <w:rPr>
                <w:rFonts w:hint="default" w:eastAsia="黑体" w:cs="Times New Roman"/>
                <w:b/>
                <w:spacing w:val="20"/>
                <w:sz w:val="15"/>
                <w:szCs w:val="15"/>
                <w:highlight w:val="none"/>
              </w:rPr>
              <w:t>污染</w:t>
            </w:r>
          </w:p>
          <w:p w14:paraId="7176EE20">
            <w:pPr>
              <w:keepNext w:val="0"/>
              <w:keepLines w:val="0"/>
              <w:suppressLineNumbers w:val="0"/>
              <w:spacing w:before="0" w:beforeAutospacing="0" w:after="0" w:afterAutospacing="0"/>
              <w:ind w:left="0" w:right="0"/>
              <w:jc w:val="center"/>
              <w:rPr>
                <w:rFonts w:hint="default" w:eastAsia="黑体" w:cs="Times New Roman"/>
                <w:b/>
                <w:spacing w:val="20"/>
                <w:sz w:val="15"/>
                <w:szCs w:val="15"/>
                <w:highlight w:val="none"/>
              </w:rPr>
            </w:pPr>
            <w:r>
              <w:rPr>
                <w:rFonts w:hint="default" w:eastAsia="黑体" w:cs="Times New Roman"/>
                <w:b/>
                <w:spacing w:val="20"/>
                <w:sz w:val="15"/>
                <w:szCs w:val="15"/>
                <w:highlight w:val="none"/>
              </w:rPr>
              <w:t>物排</w:t>
            </w:r>
          </w:p>
          <w:p w14:paraId="6499D126">
            <w:pPr>
              <w:keepNext w:val="0"/>
              <w:keepLines w:val="0"/>
              <w:suppressLineNumbers w:val="0"/>
              <w:spacing w:before="0" w:beforeAutospacing="0" w:after="0" w:afterAutospacing="0"/>
              <w:ind w:left="0" w:right="0"/>
              <w:jc w:val="center"/>
              <w:rPr>
                <w:rFonts w:hint="default" w:eastAsia="黑体" w:cs="Times New Roman"/>
                <w:b/>
                <w:spacing w:val="20"/>
                <w:sz w:val="15"/>
                <w:szCs w:val="15"/>
                <w:highlight w:val="none"/>
              </w:rPr>
            </w:pPr>
            <w:r>
              <w:rPr>
                <w:rFonts w:hint="default" w:eastAsia="黑体" w:cs="Times New Roman"/>
                <w:b/>
                <w:spacing w:val="20"/>
                <w:sz w:val="15"/>
                <w:szCs w:val="15"/>
                <w:highlight w:val="none"/>
              </w:rPr>
              <w:t>放达</w:t>
            </w:r>
          </w:p>
          <w:p w14:paraId="3C3603B4">
            <w:pPr>
              <w:keepNext w:val="0"/>
              <w:keepLines w:val="0"/>
              <w:suppressLineNumbers w:val="0"/>
              <w:spacing w:before="0" w:beforeAutospacing="0" w:after="0" w:afterAutospacing="0"/>
              <w:ind w:left="0" w:right="0"/>
              <w:jc w:val="center"/>
              <w:rPr>
                <w:rFonts w:hint="default" w:eastAsia="黑体" w:cs="Times New Roman"/>
                <w:b/>
                <w:spacing w:val="20"/>
                <w:sz w:val="15"/>
                <w:szCs w:val="15"/>
                <w:highlight w:val="none"/>
              </w:rPr>
            </w:pPr>
            <w:r>
              <w:rPr>
                <w:rFonts w:hint="default" w:eastAsia="黑体" w:cs="Times New Roman"/>
                <w:b/>
                <w:spacing w:val="20"/>
                <w:sz w:val="15"/>
                <w:szCs w:val="15"/>
                <w:highlight w:val="none"/>
              </w:rPr>
              <w:t>标与</w:t>
            </w:r>
          </w:p>
          <w:p w14:paraId="0F1C72D0">
            <w:pPr>
              <w:keepNext w:val="0"/>
              <w:keepLines w:val="0"/>
              <w:suppressLineNumbers w:val="0"/>
              <w:spacing w:before="0" w:beforeAutospacing="0" w:after="0" w:afterAutospacing="0"/>
              <w:ind w:left="0" w:right="0"/>
              <w:jc w:val="center"/>
              <w:rPr>
                <w:rFonts w:hint="default" w:eastAsia="黑体" w:cs="Times New Roman"/>
                <w:b/>
                <w:spacing w:val="20"/>
                <w:sz w:val="15"/>
                <w:szCs w:val="15"/>
                <w:highlight w:val="none"/>
              </w:rPr>
            </w:pPr>
            <w:r>
              <w:rPr>
                <w:rFonts w:hint="default" w:eastAsia="黑体" w:cs="Times New Roman"/>
                <w:b/>
                <w:spacing w:val="20"/>
                <w:sz w:val="15"/>
                <w:szCs w:val="15"/>
                <w:highlight w:val="none"/>
              </w:rPr>
              <w:t>总量</w:t>
            </w:r>
          </w:p>
          <w:p w14:paraId="1190FE69">
            <w:pPr>
              <w:keepNext w:val="0"/>
              <w:keepLines w:val="0"/>
              <w:suppressLineNumbers w:val="0"/>
              <w:spacing w:before="0" w:beforeAutospacing="0" w:after="0" w:afterAutospacing="0"/>
              <w:ind w:left="0" w:right="0"/>
              <w:jc w:val="center"/>
              <w:rPr>
                <w:rFonts w:hint="default" w:eastAsia="黑体" w:cs="Times New Roman"/>
                <w:b/>
                <w:spacing w:val="20"/>
                <w:sz w:val="15"/>
                <w:szCs w:val="15"/>
                <w:highlight w:val="none"/>
              </w:rPr>
            </w:pPr>
            <w:r>
              <w:rPr>
                <w:rFonts w:hint="default" w:eastAsia="黑体" w:cs="Times New Roman"/>
                <w:b/>
                <w:spacing w:val="20"/>
                <w:sz w:val="15"/>
                <w:szCs w:val="15"/>
                <w:highlight w:val="none"/>
              </w:rPr>
              <w:t>控制（工</w:t>
            </w:r>
          </w:p>
          <w:p w14:paraId="2113F9FE">
            <w:pPr>
              <w:keepNext w:val="0"/>
              <w:keepLines w:val="0"/>
              <w:suppressLineNumbers w:val="0"/>
              <w:spacing w:before="0" w:beforeAutospacing="0" w:after="0" w:afterAutospacing="0"/>
              <w:ind w:left="0" w:right="0"/>
              <w:jc w:val="center"/>
              <w:rPr>
                <w:rFonts w:hint="default" w:eastAsia="黑体" w:cs="Times New Roman"/>
                <w:b/>
                <w:spacing w:val="20"/>
                <w:sz w:val="15"/>
                <w:szCs w:val="15"/>
                <w:highlight w:val="none"/>
              </w:rPr>
            </w:pPr>
            <w:r>
              <w:rPr>
                <w:rFonts w:hint="default" w:eastAsia="黑体" w:cs="Times New Roman"/>
                <w:b/>
                <w:spacing w:val="20"/>
                <w:sz w:val="15"/>
                <w:szCs w:val="15"/>
                <w:highlight w:val="none"/>
              </w:rPr>
              <w:t>业建</w:t>
            </w:r>
          </w:p>
          <w:p w14:paraId="48A66C56">
            <w:pPr>
              <w:keepNext w:val="0"/>
              <w:keepLines w:val="0"/>
              <w:suppressLineNumbers w:val="0"/>
              <w:spacing w:before="0" w:beforeAutospacing="0" w:after="0" w:afterAutospacing="0"/>
              <w:ind w:left="0" w:right="0"/>
              <w:jc w:val="center"/>
              <w:rPr>
                <w:rFonts w:hint="default" w:eastAsia="黑体" w:cs="Times New Roman"/>
                <w:b/>
                <w:spacing w:val="20"/>
                <w:sz w:val="15"/>
                <w:szCs w:val="15"/>
                <w:highlight w:val="none"/>
              </w:rPr>
            </w:pPr>
            <w:r>
              <w:rPr>
                <w:rFonts w:hint="default" w:eastAsia="黑体" w:cs="Times New Roman"/>
                <w:b/>
                <w:spacing w:val="20"/>
                <w:sz w:val="15"/>
                <w:szCs w:val="15"/>
                <w:highlight w:val="none"/>
              </w:rPr>
              <w:t>设项</w:t>
            </w:r>
          </w:p>
          <w:p w14:paraId="6506CAB0">
            <w:pPr>
              <w:keepNext w:val="0"/>
              <w:keepLines w:val="0"/>
              <w:suppressLineNumbers w:val="0"/>
              <w:adjustRightInd w:val="0"/>
              <w:snapToGrid w:val="0"/>
              <w:spacing w:before="0" w:beforeAutospacing="0" w:after="0" w:afterAutospacing="0"/>
              <w:ind w:left="0" w:right="0"/>
              <w:jc w:val="center"/>
              <w:rPr>
                <w:rFonts w:hint="default" w:eastAsia="黑体" w:cs="Times New Roman"/>
                <w:b/>
                <w:spacing w:val="20"/>
                <w:sz w:val="15"/>
                <w:szCs w:val="15"/>
                <w:highlight w:val="none"/>
              </w:rPr>
            </w:pPr>
            <w:r>
              <w:rPr>
                <w:rFonts w:hint="default" w:eastAsia="黑体" w:cs="Times New Roman"/>
                <w:b/>
                <w:spacing w:val="20"/>
                <w:sz w:val="15"/>
                <w:szCs w:val="15"/>
                <w:highlight w:val="none"/>
              </w:rPr>
              <w:t>目详填）</w:t>
            </w:r>
          </w:p>
        </w:tc>
        <w:tc>
          <w:tcPr>
            <w:tcW w:w="173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FDF26EC">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cs="Times New Roman"/>
                <w:b/>
                <w:sz w:val="15"/>
                <w:szCs w:val="15"/>
                <w:highlight w:val="none"/>
              </w:rPr>
              <w:t>污染物</w:t>
            </w:r>
          </w:p>
        </w:tc>
        <w:tc>
          <w:tcPr>
            <w:tcW w:w="60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0179DA4">
            <w:pPr>
              <w:keepNext w:val="0"/>
              <w:keepLines w:val="0"/>
              <w:suppressLineNumbers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原有排</w:t>
            </w:r>
          </w:p>
          <w:p w14:paraId="39485BE9">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放量(1)</w:t>
            </w:r>
          </w:p>
        </w:tc>
        <w:tc>
          <w:tcPr>
            <w:tcW w:w="129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358F6E0">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本期工程实际排放浓度(2)</w:t>
            </w:r>
          </w:p>
        </w:tc>
        <w:tc>
          <w:tcPr>
            <w:tcW w:w="10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0F970FA">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本期工程允许排放浓度(3)</w:t>
            </w:r>
          </w:p>
        </w:tc>
        <w:tc>
          <w:tcPr>
            <w:tcW w:w="88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D6DFE2D">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本期工程产生量(4)</w:t>
            </w:r>
          </w:p>
        </w:tc>
        <w:tc>
          <w:tcPr>
            <w:tcW w:w="10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DF96355">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本期工程自身削减量(5)</w:t>
            </w:r>
          </w:p>
        </w:tc>
        <w:tc>
          <w:tcPr>
            <w:tcW w:w="10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8C63632">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本期工程实际排放量(6)</w:t>
            </w:r>
          </w:p>
        </w:tc>
        <w:tc>
          <w:tcPr>
            <w:tcW w:w="113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4408262">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本期工程核定排放总量(7)</w:t>
            </w:r>
          </w:p>
        </w:tc>
        <w:tc>
          <w:tcPr>
            <w:tcW w:w="19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11A300B">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本期工程“以新带老”削减量(8)</w:t>
            </w:r>
          </w:p>
        </w:tc>
        <w:tc>
          <w:tcPr>
            <w:tcW w:w="168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1752956">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全厂实际排放总量(9)</w:t>
            </w:r>
          </w:p>
        </w:tc>
        <w:tc>
          <w:tcPr>
            <w:tcW w:w="87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406AFC6">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全厂核定排放总量(10)</w:t>
            </w:r>
          </w:p>
        </w:tc>
        <w:tc>
          <w:tcPr>
            <w:tcW w:w="91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5E5FFF6">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区域平衡替代削减量(11)</w:t>
            </w:r>
          </w:p>
        </w:tc>
        <w:tc>
          <w:tcPr>
            <w:tcW w:w="65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13304402">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排放增减量(12)</w:t>
            </w:r>
          </w:p>
        </w:tc>
      </w:tr>
      <w:tr w14:paraId="4B8AF6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707" w:type="dxa"/>
            <w:gridSpan w:val="2"/>
            <w:vMerge w:val="continue"/>
            <w:tcBorders>
              <w:top w:val="single" w:color="auto" w:sz="4" w:space="0"/>
              <w:left w:val="single" w:color="auto" w:sz="8" w:space="0"/>
              <w:bottom w:val="single" w:color="auto" w:sz="8" w:space="0"/>
              <w:right w:val="single" w:color="auto" w:sz="4" w:space="0"/>
            </w:tcBorders>
            <w:vAlign w:val="center"/>
          </w:tcPr>
          <w:p w14:paraId="493B7B0B">
            <w:pPr>
              <w:keepNext w:val="0"/>
              <w:keepLines w:val="0"/>
              <w:suppressLineNumbers w:val="0"/>
              <w:spacing w:before="0" w:beforeAutospacing="0" w:after="0" w:afterAutospacing="0"/>
              <w:ind w:left="0" w:right="0"/>
              <w:jc w:val="center"/>
              <w:rPr>
                <w:rFonts w:hint="default" w:eastAsia="黑体" w:cs="Times New Roman"/>
                <w:b/>
                <w:spacing w:val="20"/>
                <w:sz w:val="15"/>
                <w:szCs w:val="15"/>
                <w:highlight w:val="none"/>
              </w:rPr>
            </w:pPr>
          </w:p>
        </w:tc>
        <w:tc>
          <w:tcPr>
            <w:tcW w:w="173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91C54D3">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cs="Times New Roman"/>
                <w:b/>
                <w:sz w:val="15"/>
                <w:szCs w:val="15"/>
                <w:highlight w:val="none"/>
              </w:rPr>
              <w:t>废水</w:t>
            </w:r>
          </w:p>
        </w:tc>
        <w:tc>
          <w:tcPr>
            <w:tcW w:w="60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8DC465D">
            <w:pPr>
              <w:keepNext w:val="0"/>
              <w:keepLines w:val="0"/>
              <w:suppressLineNumbers w:val="0"/>
              <w:adjustRightInd w:val="0"/>
              <w:snapToGrid w:val="0"/>
              <w:spacing w:before="0" w:beforeAutospacing="0" w:after="0" w:afterAutospacing="0"/>
              <w:ind w:left="0" w:right="0"/>
              <w:jc w:val="center"/>
              <w:rPr>
                <w:rFonts w:hint="eastAsia" w:eastAsia="微软雅黑" w:cs="Times New Roman"/>
                <w:sz w:val="15"/>
                <w:szCs w:val="15"/>
                <w:highlight w:val="none"/>
                <w:lang w:val="en-US" w:eastAsia="zh-CN"/>
              </w:rPr>
            </w:pPr>
            <w:r>
              <w:rPr>
                <w:rFonts w:hint="eastAsia" w:eastAsia="微软雅黑" w:cs="Times New Roman"/>
                <w:sz w:val="15"/>
                <w:szCs w:val="15"/>
                <w:highlight w:val="none"/>
                <w:lang w:val="en-US" w:eastAsia="zh-CN"/>
              </w:rPr>
              <w:t>/</w:t>
            </w:r>
          </w:p>
        </w:tc>
        <w:tc>
          <w:tcPr>
            <w:tcW w:w="129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1C83AFA">
            <w:pPr>
              <w:keepNext w:val="0"/>
              <w:keepLines w:val="0"/>
              <w:suppressLineNumbers w:val="0"/>
              <w:adjustRightInd w:val="0"/>
              <w:snapToGrid w:val="0"/>
              <w:spacing w:before="0" w:beforeAutospacing="0" w:after="0" w:afterAutospacing="0"/>
              <w:ind w:left="0" w:right="0"/>
              <w:jc w:val="center"/>
              <w:rPr>
                <w:rFonts w:hint="eastAsia" w:eastAsia="微软雅黑" w:cs="Times New Roman"/>
                <w:sz w:val="15"/>
                <w:szCs w:val="15"/>
                <w:highlight w:val="none"/>
                <w:lang w:val="en-US" w:eastAsia="zh-CN"/>
              </w:rPr>
            </w:pPr>
            <w:r>
              <w:rPr>
                <w:rFonts w:hint="eastAsia" w:eastAsia="微软雅黑" w:cs="Times New Roman"/>
                <w:sz w:val="15"/>
                <w:szCs w:val="15"/>
                <w:highlight w:val="none"/>
                <w:lang w:val="en-US" w:eastAsia="zh-CN"/>
              </w:rPr>
              <w:t>/</w:t>
            </w:r>
          </w:p>
        </w:tc>
        <w:tc>
          <w:tcPr>
            <w:tcW w:w="10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362C3FE">
            <w:pPr>
              <w:keepNext w:val="0"/>
              <w:keepLines w:val="0"/>
              <w:suppressLineNumbers w:val="0"/>
              <w:adjustRightInd w:val="0"/>
              <w:snapToGrid w:val="0"/>
              <w:spacing w:before="0" w:beforeAutospacing="0" w:after="0" w:afterAutospacing="0"/>
              <w:ind w:left="0" w:right="0"/>
              <w:jc w:val="center"/>
              <w:rPr>
                <w:rFonts w:hint="eastAsia" w:eastAsia="微软雅黑" w:cs="Times New Roman"/>
                <w:sz w:val="15"/>
                <w:szCs w:val="15"/>
                <w:highlight w:val="none"/>
                <w:lang w:val="en-US" w:eastAsia="zh-CN"/>
              </w:rPr>
            </w:pPr>
            <w:r>
              <w:rPr>
                <w:rFonts w:hint="eastAsia" w:eastAsia="微软雅黑" w:cs="Times New Roman"/>
                <w:sz w:val="15"/>
                <w:szCs w:val="15"/>
                <w:highlight w:val="none"/>
                <w:lang w:val="en-US" w:eastAsia="zh-CN"/>
              </w:rPr>
              <w:t>/</w:t>
            </w:r>
          </w:p>
        </w:tc>
        <w:tc>
          <w:tcPr>
            <w:tcW w:w="88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2CE4C2B">
            <w:pPr>
              <w:keepNext w:val="0"/>
              <w:keepLines w:val="0"/>
              <w:suppressLineNumbers w:val="0"/>
              <w:adjustRightInd w:val="0"/>
              <w:snapToGrid w:val="0"/>
              <w:spacing w:before="0" w:beforeAutospacing="0" w:after="0" w:afterAutospacing="0"/>
              <w:ind w:left="0" w:right="0"/>
              <w:jc w:val="center"/>
              <w:rPr>
                <w:rFonts w:hint="eastAsia" w:eastAsia="微软雅黑" w:cs="Times New Roman"/>
                <w:sz w:val="15"/>
                <w:szCs w:val="15"/>
                <w:highlight w:val="none"/>
                <w:lang w:val="en-US" w:eastAsia="zh-CN"/>
              </w:rPr>
            </w:pPr>
            <w:r>
              <w:rPr>
                <w:rFonts w:hint="eastAsia" w:eastAsia="微软雅黑" w:cs="Times New Roman"/>
                <w:sz w:val="15"/>
                <w:szCs w:val="15"/>
                <w:highlight w:val="none"/>
                <w:lang w:val="en-US" w:eastAsia="zh-CN"/>
              </w:rPr>
              <w:t>/</w:t>
            </w:r>
          </w:p>
        </w:tc>
        <w:tc>
          <w:tcPr>
            <w:tcW w:w="10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ED8F5E3">
            <w:pPr>
              <w:keepNext w:val="0"/>
              <w:keepLines w:val="0"/>
              <w:suppressLineNumbers w:val="0"/>
              <w:adjustRightInd w:val="0"/>
              <w:snapToGrid w:val="0"/>
              <w:spacing w:before="0" w:beforeAutospacing="0" w:after="0" w:afterAutospacing="0"/>
              <w:ind w:left="0" w:right="0"/>
              <w:jc w:val="center"/>
              <w:rPr>
                <w:rFonts w:hint="eastAsia" w:eastAsia="微软雅黑" w:cs="Times New Roman"/>
                <w:sz w:val="15"/>
                <w:szCs w:val="15"/>
                <w:highlight w:val="none"/>
                <w:lang w:val="en-US" w:eastAsia="zh-CN"/>
              </w:rPr>
            </w:pPr>
            <w:r>
              <w:rPr>
                <w:rFonts w:hint="eastAsia" w:eastAsia="微软雅黑" w:cs="Times New Roman"/>
                <w:sz w:val="15"/>
                <w:szCs w:val="15"/>
                <w:highlight w:val="none"/>
                <w:lang w:val="en-US" w:eastAsia="zh-CN"/>
              </w:rPr>
              <w:t>/</w:t>
            </w:r>
          </w:p>
        </w:tc>
        <w:tc>
          <w:tcPr>
            <w:tcW w:w="10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EEAAA50">
            <w:pPr>
              <w:keepNext w:val="0"/>
              <w:keepLines w:val="0"/>
              <w:suppressLineNumbers w:val="0"/>
              <w:adjustRightInd w:val="0"/>
              <w:snapToGrid w:val="0"/>
              <w:spacing w:before="0" w:beforeAutospacing="0" w:after="0" w:afterAutospacing="0"/>
              <w:ind w:left="0" w:right="0"/>
              <w:jc w:val="center"/>
              <w:rPr>
                <w:rFonts w:hint="eastAsia" w:eastAsia="微软雅黑" w:cs="Times New Roman"/>
                <w:sz w:val="15"/>
                <w:szCs w:val="15"/>
                <w:highlight w:val="none"/>
                <w:lang w:val="en-US" w:eastAsia="zh-CN"/>
              </w:rPr>
            </w:pPr>
            <w:r>
              <w:rPr>
                <w:rFonts w:hint="eastAsia" w:eastAsia="微软雅黑" w:cs="Times New Roman"/>
                <w:sz w:val="15"/>
                <w:szCs w:val="15"/>
                <w:highlight w:val="none"/>
                <w:lang w:val="en-US" w:eastAsia="zh-CN"/>
              </w:rPr>
              <w:t>/</w:t>
            </w:r>
          </w:p>
        </w:tc>
        <w:tc>
          <w:tcPr>
            <w:tcW w:w="113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991E5D5">
            <w:pPr>
              <w:keepNext w:val="0"/>
              <w:keepLines w:val="0"/>
              <w:suppressLineNumbers w:val="0"/>
              <w:adjustRightInd w:val="0"/>
              <w:snapToGrid w:val="0"/>
              <w:spacing w:before="0" w:beforeAutospacing="0" w:after="0" w:afterAutospacing="0"/>
              <w:ind w:left="0" w:right="0"/>
              <w:jc w:val="center"/>
              <w:rPr>
                <w:rFonts w:hint="eastAsia" w:eastAsia="微软雅黑" w:cs="Times New Roman"/>
                <w:sz w:val="15"/>
                <w:szCs w:val="15"/>
                <w:highlight w:val="none"/>
                <w:lang w:val="en-US" w:eastAsia="zh-CN"/>
              </w:rPr>
            </w:pPr>
            <w:r>
              <w:rPr>
                <w:rFonts w:hint="eastAsia" w:eastAsia="微软雅黑" w:cs="Times New Roman"/>
                <w:sz w:val="15"/>
                <w:szCs w:val="15"/>
                <w:highlight w:val="none"/>
                <w:lang w:val="en-US" w:eastAsia="zh-CN"/>
              </w:rPr>
              <w:t>/</w:t>
            </w:r>
          </w:p>
        </w:tc>
        <w:tc>
          <w:tcPr>
            <w:tcW w:w="19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49B2572">
            <w:pPr>
              <w:keepNext w:val="0"/>
              <w:keepLines w:val="0"/>
              <w:suppressLineNumbers w:val="0"/>
              <w:adjustRightInd w:val="0"/>
              <w:snapToGrid w:val="0"/>
              <w:spacing w:before="0" w:beforeAutospacing="0" w:after="0" w:afterAutospacing="0"/>
              <w:ind w:left="0" w:right="0"/>
              <w:jc w:val="center"/>
              <w:rPr>
                <w:rFonts w:hint="eastAsia" w:eastAsia="微软雅黑" w:cs="Times New Roman"/>
                <w:sz w:val="15"/>
                <w:szCs w:val="15"/>
                <w:highlight w:val="none"/>
                <w:lang w:val="en-US" w:eastAsia="zh-CN"/>
              </w:rPr>
            </w:pPr>
            <w:r>
              <w:rPr>
                <w:rFonts w:hint="eastAsia" w:eastAsia="微软雅黑" w:cs="Times New Roman"/>
                <w:sz w:val="15"/>
                <w:szCs w:val="15"/>
                <w:highlight w:val="none"/>
                <w:lang w:val="en-US" w:eastAsia="zh-CN"/>
              </w:rPr>
              <w:t>/</w:t>
            </w:r>
          </w:p>
        </w:tc>
        <w:tc>
          <w:tcPr>
            <w:tcW w:w="168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9907210">
            <w:pPr>
              <w:keepNext w:val="0"/>
              <w:keepLines w:val="0"/>
              <w:suppressLineNumbers w:val="0"/>
              <w:adjustRightInd w:val="0"/>
              <w:snapToGrid w:val="0"/>
              <w:spacing w:before="0" w:beforeAutospacing="0" w:after="0" w:afterAutospacing="0"/>
              <w:ind w:left="0" w:right="0"/>
              <w:jc w:val="center"/>
              <w:rPr>
                <w:rFonts w:hint="eastAsia" w:eastAsia="微软雅黑" w:cs="Times New Roman"/>
                <w:sz w:val="15"/>
                <w:szCs w:val="15"/>
                <w:highlight w:val="none"/>
                <w:lang w:val="en-US" w:eastAsia="zh-CN"/>
              </w:rPr>
            </w:pPr>
            <w:r>
              <w:rPr>
                <w:rFonts w:hint="eastAsia" w:eastAsia="微软雅黑" w:cs="Times New Roman"/>
                <w:sz w:val="15"/>
                <w:szCs w:val="15"/>
                <w:highlight w:val="none"/>
                <w:lang w:val="en-US" w:eastAsia="zh-CN"/>
              </w:rPr>
              <w:t>/</w:t>
            </w:r>
          </w:p>
        </w:tc>
        <w:tc>
          <w:tcPr>
            <w:tcW w:w="87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F100A69">
            <w:pPr>
              <w:keepNext w:val="0"/>
              <w:keepLines w:val="0"/>
              <w:suppressLineNumbers w:val="0"/>
              <w:adjustRightInd w:val="0"/>
              <w:snapToGrid w:val="0"/>
              <w:spacing w:before="0" w:beforeAutospacing="0" w:after="0" w:afterAutospacing="0"/>
              <w:ind w:left="0" w:right="0"/>
              <w:jc w:val="center"/>
              <w:rPr>
                <w:rFonts w:hint="eastAsia" w:eastAsia="微软雅黑" w:cs="Times New Roman"/>
                <w:sz w:val="15"/>
                <w:szCs w:val="15"/>
                <w:highlight w:val="none"/>
                <w:lang w:val="en-US" w:eastAsia="zh-CN"/>
              </w:rPr>
            </w:pPr>
            <w:r>
              <w:rPr>
                <w:rFonts w:hint="eastAsia" w:eastAsia="微软雅黑" w:cs="Times New Roman"/>
                <w:sz w:val="15"/>
                <w:szCs w:val="15"/>
                <w:highlight w:val="none"/>
                <w:lang w:val="en-US" w:eastAsia="zh-CN"/>
              </w:rPr>
              <w:t>/</w:t>
            </w:r>
          </w:p>
        </w:tc>
        <w:tc>
          <w:tcPr>
            <w:tcW w:w="91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698FE58">
            <w:pPr>
              <w:keepNext w:val="0"/>
              <w:keepLines w:val="0"/>
              <w:suppressLineNumbers w:val="0"/>
              <w:adjustRightInd w:val="0"/>
              <w:snapToGrid w:val="0"/>
              <w:spacing w:before="0" w:beforeAutospacing="0" w:after="0" w:afterAutospacing="0"/>
              <w:ind w:left="0" w:right="0"/>
              <w:jc w:val="center"/>
              <w:rPr>
                <w:rFonts w:hint="eastAsia" w:eastAsia="微软雅黑" w:cs="Times New Roman"/>
                <w:sz w:val="15"/>
                <w:szCs w:val="15"/>
                <w:highlight w:val="none"/>
                <w:lang w:val="en-US" w:eastAsia="zh-CN"/>
              </w:rPr>
            </w:pPr>
            <w:r>
              <w:rPr>
                <w:rFonts w:hint="eastAsia" w:eastAsia="微软雅黑" w:cs="Times New Roman"/>
                <w:sz w:val="15"/>
                <w:szCs w:val="15"/>
                <w:highlight w:val="none"/>
                <w:lang w:val="en-US" w:eastAsia="zh-CN"/>
              </w:rPr>
              <w:t>/</w:t>
            </w:r>
          </w:p>
        </w:tc>
        <w:tc>
          <w:tcPr>
            <w:tcW w:w="65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21A06A20">
            <w:pPr>
              <w:keepNext w:val="0"/>
              <w:keepLines w:val="0"/>
              <w:suppressLineNumbers w:val="0"/>
              <w:adjustRightInd w:val="0"/>
              <w:snapToGrid w:val="0"/>
              <w:spacing w:before="0" w:beforeAutospacing="0" w:after="0" w:afterAutospacing="0"/>
              <w:ind w:left="0" w:right="0"/>
              <w:jc w:val="center"/>
              <w:rPr>
                <w:rFonts w:hint="eastAsia" w:eastAsia="微软雅黑" w:cs="Times New Roman"/>
                <w:sz w:val="15"/>
                <w:szCs w:val="15"/>
                <w:highlight w:val="none"/>
                <w:lang w:val="en-US" w:eastAsia="zh-CN"/>
              </w:rPr>
            </w:pPr>
            <w:r>
              <w:rPr>
                <w:rFonts w:hint="eastAsia" w:eastAsia="微软雅黑" w:cs="Times New Roman"/>
                <w:sz w:val="15"/>
                <w:szCs w:val="15"/>
                <w:highlight w:val="none"/>
                <w:lang w:val="en-US" w:eastAsia="zh-CN"/>
              </w:rPr>
              <w:t>/</w:t>
            </w:r>
          </w:p>
        </w:tc>
      </w:tr>
      <w:tr w14:paraId="5B419F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707" w:type="dxa"/>
            <w:gridSpan w:val="2"/>
            <w:vMerge w:val="continue"/>
            <w:tcBorders>
              <w:top w:val="single" w:color="auto" w:sz="4" w:space="0"/>
              <w:left w:val="single" w:color="auto" w:sz="8" w:space="0"/>
              <w:bottom w:val="single" w:color="auto" w:sz="8" w:space="0"/>
              <w:right w:val="single" w:color="auto" w:sz="4" w:space="0"/>
            </w:tcBorders>
            <w:vAlign w:val="center"/>
          </w:tcPr>
          <w:p w14:paraId="23C22DA7">
            <w:pPr>
              <w:keepNext w:val="0"/>
              <w:keepLines w:val="0"/>
              <w:suppressLineNumbers w:val="0"/>
              <w:spacing w:before="0" w:beforeAutospacing="0" w:after="0" w:afterAutospacing="0"/>
              <w:ind w:left="0" w:right="0"/>
              <w:jc w:val="center"/>
              <w:rPr>
                <w:rFonts w:hint="default" w:eastAsia="黑体" w:cs="Times New Roman"/>
                <w:b/>
                <w:spacing w:val="20"/>
                <w:sz w:val="15"/>
                <w:szCs w:val="15"/>
                <w:highlight w:val="none"/>
              </w:rPr>
            </w:pPr>
          </w:p>
        </w:tc>
        <w:tc>
          <w:tcPr>
            <w:tcW w:w="173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9ABF60E">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化学需氧量</w:t>
            </w:r>
          </w:p>
        </w:tc>
        <w:tc>
          <w:tcPr>
            <w:tcW w:w="60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9C3D42C">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29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72ABF6E">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FD95798">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88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F48C356">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E6D44AC">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B2F9AEA">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13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3AEC248">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9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4C40050">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68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D18BA98">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87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13406EE">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91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065F5CD">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65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5FEAE83D">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r>
      <w:tr w14:paraId="013BA6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707" w:type="dxa"/>
            <w:gridSpan w:val="2"/>
            <w:vMerge w:val="continue"/>
            <w:tcBorders>
              <w:top w:val="single" w:color="auto" w:sz="4" w:space="0"/>
              <w:left w:val="single" w:color="auto" w:sz="8" w:space="0"/>
              <w:bottom w:val="single" w:color="auto" w:sz="8" w:space="0"/>
              <w:right w:val="single" w:color="auto" w:sz="4" w:space="0"/>
            </w:tcBorders>
            <w:vAlign w:val="center"/>
          </w:tcPr>
          <w:p w14:paraId="4A8AF903">
            <w:pPr>
              <w:keepNext w:val="0"/>
              <w:keepLines w:val="0"/>
              <w:suppressLineNumbers w:val="0"/>
              <w:spacing w:before="0" w:beforeAutospacing="0" w:after="0" w:afterAutospacing="0"/>
              <w:ind w:left="0" w:right="0"/>
              <w:jc w:val="center"/>
              <w:rPr>
                <w:rFonts w:hint="default" w:eastAsia="黑体" w:cs="Times New Roman"/>
                <w:b/>
                <w:spacing w:val="20"/>
                <w:sz w:val="15"/>
                <w:szCs w:val="15"/>
                <w:highlight w:val="none"/>
              </w:rPr>
            </w:pPr>
          </w:p>
        </w:tc>
        <w:tc>
          <w:tcPr>
            <w:tcW w:w="173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E647EC2">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氨氮</w:t>
            </w:r>
          </w:p>
        </w:tc>
        <w:tc>
          <w:tcPr>
            <w:tcW w:w="60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EF1682E">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29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ADFFBA9">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4CB1992">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88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149CEFD">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1E77F42">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3F3B12A">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13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A01F23A">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9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DFA8C59">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68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F897C7E">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87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6ADB883">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91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BDC5A15">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65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22FABDFC">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r>
      <w:tr w14:paraId="564879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707" w:type="dxa"/>
            <w:gridSpan w:val="2"/>
            <w:vMerge w:val="continue"/>
            <w:tcBorders>
              <w:top w:val="single" w:color="auto" w:sz="4" w:space="0"/>
              <w:left w:val="single" w:color="auto" w:sz="8" w:space="0"/>
              <w:bottom w:val="single" w:color="auto" w:sz="8" w:space="0"/>
              <w:right w:val="single" w:color="auto" w:sz="4" w:space="0"/>
            </w:tcBorders>
            <w:vAlign w:val="center"/>
          </w:tcPr>
          <w:p w14:paraId="1CB6A604">
            <w:pPr>
              <w:keepNext w:val="0"/>
              <w:keepLines w:val="0"/>
              <w:suppressLineNumbers w:val="0"/>
              <w:spacing w:before="0" w:beforeAutospacing="0" w:after="0" w:afterAutospacing="0"/>
              <w:ind w:left="0" w:right="0"/>
              <w:jc w:val="center"/>
              <w:rPr>
                <w:rFonts w:hint="default" w:eastAsia="黑体" w:cs="Times New Roman"/>
                <w:b/>
                <w:spacing w:val="20"/>
                <w:sz w:val="15"/>
                <w:szCs w:val="15"/>
                <w:highlight w:val="none"/>
              </w:rPr>
            </w:pPr>
          </w:p>
        </w:tc>
        <w:tc>
          <w:tcPr>
            <w:tcW w:w="173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16325B4">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石油类</w:t>
            </w:r>
          </w:p>
        </w:tc>
        <w:tc>
          <w:tcPr>
            <w:tcW w:w="60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3928EA2">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29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E16C3D4">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15C0833">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88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C4A3E6A">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B891BD9">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54E6803">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13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9711D5A">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9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F109CAA">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68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B293AA8">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87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44EF551">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91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977556B">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65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7202ED79">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r>
      <w:tr w14:paraId="0EACAE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707" w:type="dxa"/>
            <w:gridSpan w:val="2"/>
            <w:vMerge w:val="continue"/>
            <w:tcBorders>
              <w:top w:val="single" w:color="auto" w:sz="4" w:space="0"/>
              <w:left w:val="single" w:color="auto" w:sz="8" w:space="0"/>
              <w:bottom w:val="single" w:color="auto" w:sz="8" w:space="0"/>
              <w:right w:val="single" w:color="auto" w:sz="4" w:space="0"/>
            </w:tcBorders>
            <w:vAlign w:val="center"/>
          </w:tcPr>
          <w:p w14:paraId="26485A84">
            <w:pPr>
              <w:keepNext w:val="0"/>
              <w:keepLines w:val="0"/>
              <w:suppressLineNumbers w:val="0"/>
              <w:spacing w:before="0" w:beforeAutospacing="0" w:after="0" w:afterAutospacing="0"/>
              <w:ind w:left="0" w:right="0"/>
              <w:jc w:val="center"/>
              <w:rPr>
                <w:rFonts w:hint="default" w:eastAsia="黑体" w:cs="Times New Roman"/>
                <w:b/>
                <w:spacing w:val="20"/>
                <w:sz w:val="15"/>
                <w:szCs w:val="15"/>
                <w:highlight w:val="none"/>
              </w:rPr>
            </w:pPr>
          </w:p>
        </w:tc>
        <w:tc>
          <w:tcPr>
            <w:tcW w:w="173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1B929C8">
            <w:pPr>
              <w:keepNext w:val="0"/>
              <w:keepLines w:val="0"/>
              <w:suppressLineNumbers w:val="0"/>
              <w:adjustRightInd w:val="0"/>
              <w:snapToGrid w:val="0"/>
              <w:spacing w:before="0" w:beforeAutospacing="0" w:after="0" w:afterAutospacing="0"/>
              <w:ind w:left="0" w:right="0"/>
              <w:jc w:val="center"/>
              <w:rPr>
                <w:rFonts w:hint="default" w:eastAsia="黑体" w:cs="Times New Roman"/>
                <w:b/>
                <w:sz w:val="15"/>
                <w:szCs w:val="15"/>
                <w:highlight w:val="none"/>
              </w:rPr>
            </w:pPr>
            <w:r>
              <w:rPr>
                <w:rFonts w:hint="default" w:cs="Times New Roman"/>
                <w:b/>
                <w:sz w:val="15"/>
                <w:szCs w:val="15"/>
                <w:highlight w:val="none"/>
              </w:rPr>
              <w:t>废气</w:t>
            </w:r>
          </w:p>
        </w:tc>
        <w:tc>
          <w:tcPr>
            <w:tcW w:w="60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D79A5C5">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29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BF19C48">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0E0D456">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88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CA677F2">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9186726">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76F5D14">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13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68E9C53">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9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59A6DD3">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68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28727B3">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87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16C6AE3">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91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A83125A">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65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57D22DA6">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r>
      <w:tr w14:paraId="3378F1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707" w:type="dxa"/>
            <w:gridSpan w:val="2"/>
            <w:vMerge w:val="continue"/>
            <w:tcBorders>
              <w:top w:val="single" w:color="auto" w:sz="4" w:space="0"/>
              <w:left w:val="single" w:color="auto" w:sz="8" w:space="0"/>
              <w:bottom w:val="single" w:color="auto" w:sz="8" w:space="0"/>
              <w:right w:val="single" w:color="auto" w:sz="4" w:space="0"/>
            </w:tcBorders>
            <w:vAlign w:val="center"/>
          </w:tcPr>
          <w:p w14:paraId="24738794">
            <w:pPr>
              <w:keepNext w:val="0"/>
              <w:keepLines w:val="0"/>
              <w:suppressLineNumbers w:val="0"/>
              <w:spacing w:before="0" w:beforeAutospacing="0" w:after="0" w:afterAutospacing="0"/>
              <w:ind w:left="0" w:right="0"/>
              <w:jc w:val="center"/>
              <w:rPr>
                <w:rFonts w:hint="default" w:eastAsia="黑体" w:cs="Times New Roman"/>
                <w:b/>
                <w:spacing w:val="20"/>
                <w:sz w:val="15"/>
                <w:szCs w:val="15"/>
                <w:highlight w:val="none"/>
              </w:rPr>
            </w:pPr>
          </w:p>
        </w:tc>
        <w:tc>
          <w:tcPr>
            <w:tcW w:w="173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41AE962">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二氧化硫</w:t>
            </w:r>
          </w:p>
        </w:tc>
        <w:tc>
          <w:tcPr>
            <w:tcW w:w="60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762FA3F">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29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0B2C566">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24DF336">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88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BBCD653">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3A4DCFD">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A2F43E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15"/>
                <w:szCs w:val="15"/>
                <w:highlight w:val="none"/>
              </w:rPr>
            </w:pPr>
            <w:r>
              <w:rPr>
                <w:rFonts w:hint="eastAsia" w:ascii="Times New Roman" w:hAnsi="Times New Roman" w:eastAsia="宋体" w:cs="Times New Roman"/>
                <w:sz w:val="15"/>
                <w:szCs w:val="15"/>
                <w:highlight w:val="none"/>
              </w:rPr>
              <w:t>0.005</w:t>
            </w:r>
          </w:p>
        </w:tc>
        <w:tc>
          <w:tcPr>
            <w:tcW w:w="113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F1813B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15"/>
                <w:szCs w:val="15"/>
                <w:highlight w:val="none"/>
              </w:rPr>
            </w:pPr>
            <w:r>
              <w:rPr>
                <w:rFonts w:hint="eastAsia" w:ascii="Times New Roman" w:hAnsi="Times New Roman" w:eastAsia="宋体" w:cs="Times New Roman"/>
                <w:sz w:val="15"/>
                <w:szCs w:val="15"/>
                <w:highlight w:val="none"/>
              </w:rPr>
              <w:t>0.112</w:t>
            </w:r>
          </w:p>
        </w:tc>
        <w:tc>
          <w:tcPr>
            <w:tcW w:w="19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736DE41">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68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774B8E1">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ascii="Times New Roman" w:hAnsi="Times New Roman" w:eastAsia="宋体" w:cs="Times New Roman"/>
                <w:sz w:val="15"/>
                <w:szCs w:val="15"/>
                <w:highlight w:val="none"/>
              </w:rPr>
              <w:t>0.005</w:t>
            </w:r>
          </w:p>
        </w:tc>
        <w:tc>
          <w:tcPr>
            <w:tcW w:w="87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C0E2441">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ascii="Times New Roman" w:hAnsi="Times New Roman" w:eastAsia="宋体" w:cs="Times New Roman"/>
                <w:sz w:val="15"/>
                <w:szCs w:val="15"/>
                <w:highlight w:val="none"/>
              </w:rPr>
              <w:t>0.112</w:t>
            </w:r>
          </w:p>
        </w:tc>
        <w:tc>
          <w:tcPr>
            <w:tcW w:w="91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25595BA">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65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0ED959D0">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r>
      <w:tr w14:paraId="1CCEA2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707" w:type="dxa"/>
            <w:gridSpan w:val="2"/>
            <w:vMerge w:val="continue"/>
            <w:tcBorders>
              <w:top w:val="single" w:color="auto" w:sz="4" w:space="0"/>
              <w:left w:val="single" w:color="auto" w:sz="8" w:space="0"/>
              <w:bottom w:val="single" w:color="auto" w:sz="8" w:space="0"/>
              <w:right w:val="single" w:color="auto" w:sz="4" w:space="0"/>
            </w:tcBorders>
            <w:vAlign w:val="center"/>
          </w:tcPr>
          <w:p w14:paraId="4467345B">
            <w:pPr>
              <w:keepNext w:val="0"/>
              <w:keepLines w:val="0"/>
              <w:suppressLineNumbers w:val="0"/>
              <w:spacing w:before="0" w:beforeAutospacing="0" w:after="0" w:afterAutospacing="0"/>
              <w:ind w:left="0" w:right="0"/>
              <w:jc w:val="center"/>
              <w:rPr>
                <w:rFonts w:hint="default" w:eastAsia="黑体" w:cs="Times New Roman"/>
                <w:b/>
                <w:spacing w:val="20"/>
                <w:sz w:val="15"/>
                <w:szCs w:val="15"/>
                <w:highlight w:val="none"/>
              </w:rPr>
            </w:pPr>
          </w:p>
        </w:tc>
        <w:tc>
          <w:tcPr>
            <w:tcW w:w="173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7703653">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烟尘</w:t>
            </w:r>
          </w:p>
        </w:tc>
        <w:tc>
          <w:tcPr>
            <w:tcW w:w="60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F3C1214">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29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8022F17">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2FA4F57">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88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18B738D">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C686BAD">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2C9AE7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15"/>
                <w:szCs w:val="15"/>
                <w:highlight w:val="none"/>
              </w:rPr>
            </w:pPr>
            <w:r>
              <w:rPr>
                <w:rFonts w:hint="eastAsia" w:ascii="Times New Roman" w:hAnsi="Times New Roman" w:eastAsia="宋体" w:cs="Times New Roman"/>
                <w:sz w:val="15"/>
                <w:szCs w:val="15"/>
                <w:highlight w:val="none"/>
              </w:rPr>
              <w:t>0.011</w:t>
            </w:r>
          </w:p>
        </w:tc>
        <w:tc>
          <w:tcPr>
            <w:tcW w:w="113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C8432A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15"/>
                <w:szCs w:val="15"/>
                <w:highlight w:val="none"/>
              </w:rPr>
            </w:pPr>
            <w:r>
              <w:rPr>
                <w:rFonts w:hint="eastAsia" w:ascii="Times New Roman" w:hAnsi="Times New Roman" w:eastAsia="宋体" w:cs="Times New Roman"/>
                <w:sz w:val="15"/>
                <w:szCs w:val="15"/>
                <w:highlight w:val="none"/>
              </w:rPr>
              <w:t>0.134</w:t>
            </w:r>
          </w:p>
        </w:tc>
        <w:tc>
          <w:tcPr>
            <w:tcW w:w="19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05DA8E4">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68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28DC491">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ascii="Times New Roman" w:hAnsi="Times New Roman" w:eastAsia="宋体" w:cs="Times New Roman"/>
                <w:sz w:val="15"/>
                <w:szCs w:val="15"/>
                <w:highlight w:val="none"/>
              </w:rPr>
              <w:t>0.011</w:t>
            </w:r>
          </w:p>
        </w:tc>
        <w:tc>
          <w:tcPr>
            <w:tcW w:w="87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4D9D58E">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ascii="Times New Roman" w:hAnsi="Times New Roman" w:eastAsia="宋体" w:cs="Times New Roman"/>
                <w:sz w:val="15"/>
                <w:szCs w:val="15"/>
                <w:highlight w:val="none"/>
              </w:rPr>
              <w:t>0.134</w:t>
            </w:r>
          </w:p>
        </w:tc>
        <w:tc>
          <w:tcPr>
            <w:tcW w:w="91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6BDE9C9">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65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0865CE5D">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r>
      <w:tr w14:paraId="0335E6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707" w:type="dxa"/>
            <w:gridSpan w:val="2"/>
            <w:vMerge w:val="continue"/>
            <w:tcBorders>
              <w:top w:val="single" w:color="auto" w:sz="4" w:space="0"/>
              <w:left w:val="single" w:color="auto" w:sz="8" w:space="0"/>
              <w:bottom w:val="single" w:color="auto" w:sz="8" w:space="0"/>
              <w:right w:val="single" w:color="auto" w:sz="4" w:space="0"/>
            </w:tcBorders>
            <w:vAlign w:val="center"/>
          </w:tcPr>
          <w:p w14:paraId="76EE56F8">
            <w:pPr>
              <w:keepNext w:val="0"/>
              <w:keepLines w:val="0"/>
              <w:suppressLineNumbers w:val="0"/>
              <w:spacing w:before="0" w:beforeAutospacing="0" w:after="0" w:afterAutospacing="0"/>
              <w:ind w:left="0" w:right="0"/>
              <w:jc w:val="center"/>
              <w:rPr>
                <w:rFonts w:hint="default" w:eastAsia="黑体" w:cs="Times New Roman"/>
                <w:b/>
                <w:spacing w:val="20"/>
                <w:sz w:val="15"/>
                <w:szCs w:val="15"/>
                <w:highlight w:val="none"/>
              </w:rPr>
            </w:pPr>
          </w:p>
        </w:tc>
        <w:tc>
          <w:tcPr>
            <w:tcW w:w="173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B5A574E">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工业粉尘</w:t>
            </w:r>
          </w:p>
        </w:tc>
        <w:tc>
          <w:tcPr>
            <w:tcW w:w="60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9D29177">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29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4DD73A3">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4572926">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88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5ABC694">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B78EE1C">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31DB94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15"/>
                <w:szCs w:val="15"/>
                <w:highlight w:val="none"/>
                <w:lang w:val="en-US" w:eastAsia="zh-CN"/>
              </w:rPr>
            </w:pPr>
            <w:r>
              <w:rPr>
                <w:rFonts w:hint="eastAsia" w:ascii="Times New Roman" w:hAnsi="Times New Roman" w:eastAsia="宋体" w:cs="Times New Roman"/>
                <w:sz w:val="15"/>
                <w:szCs w:val="15"/>
                <w:highlight w:val="none"/>
                <w:lang w:val="en-US" w:eastAsia="zh-CN"/>
              </w:rPr>
              <w:t>/</w:t>
            </w:r>
          </w:p>
        </w:tc>
        <w:tc>
          <w:tcPr>
            <w:tcW w:w="113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933650F">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15"/>
                <w:szCs w:val="15"/>
                <w:highlight w:val="none"/>
                <w:lang w:val="en-US" w:eastAsia="zh-CN"/>
              </w:rPr>
            </w:pPr>
            <w:r>
              <w:rPr>
                <w:rFonts w:hint="eastAsia" w:ascii="Times New Roman" w:hAnsi="Times New Roman" w:eastAsia="宋体" w:cs="Times New Roman"/>
                <w:sz w:val="15"/>
                <w:szCs w:val="15"/>
                <w:highlight w:val="none"/>
                <w:lang w:val="en-US" w:eastAsia="zh-CN"/>
              </w:rPr>
              <w:t>/</w:t>
            </w:r>
          </w:p>
        </w:tc>
        <w:tc>
          <w:tcPr>
            <w:tcW w:w="19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2530C7E">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68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A204D6B">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ascii="Times New Roman" w:hAnsi="Times New Roman" w:eastAsia="宋体" w:cs="Times New Roman"/>
                <w:sz w:val="15"/>
                <w:szCs w:val="15"/>
                <w:highlight w:val="none"/>
                <w:lang w:val="en-US" w:eastAsia="zh-CN"/>
              </w:rPr>
              <w:t>/</w:t>
            </w:r>
          </w:p>
        </w:tc>
        <w:tc>
          <w:tcPr>
            <w:tcW w:w="87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0EBF234">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ascii="Times New Roman" w:hAnsi="Times New Roman" w:eastAsia="宋体" w:cs="Times New Roman"/>
                <w:sz w:val="15"/>
                <w:szCs w:val="15"/>
                <w:highlight w:val="none"/>
                <w:lang w:val="en-US" w:eastAsia="zh-CN"/>
              </w:rPr>
              <w:t>/</w:t>
            </w:r>
          </w:p>
        </w:tc>
        <w:tc>
          <w:tcPr>
            <w:tcW w:w="91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F473A14">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65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25CB3299">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r>
      <w:tr w14:paraId="7008FF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707" w:type="dxa"/>
            <w:gridSpan w:val="2"/>
            <w:vMerge w:val="continue"/>
            <w:tcBorders>
              <w:top w:val="single" w:color="auto" w:sz="4" w:space="0"/>
              <w:left w:val="single" w:color="auto" w:sz="8" w:space="0"/>
              <w:bottom w:val="single" w:color="auto" w:sz="8" w:space="0"/>
              <w:right w:val="single" w:color="auto" w:sz="4" w:space="0"/>
            </w:tcBorders>
            <w:vAlign w:val="center"/>
          </w:tcPr>
          <w:p w14:paraId="377E24BD">
            <w:pPr>
              <w:keepNext w:val="0"/>
              <w:keepLines w:val="0"/>
              <w:suppressLineNumbers w:val="0"/>
              <w:spacing w:before="0" w:beforeAutospacing="0" w:after="0" w:afterAutospacing="0"/>
              <w:ind w:left="0" w:right="0"/>
              <w:jc w:val="center"/>
              <w:rPr>
                <w:rFonts w:hint="default" w:eastAsia="黑体" w:cs="Times New Roman"/>
                <w:b/>
                <w:spacing w:val="20"/>
                <w:sz w:val="15"/>
                <w:szCs w:val="15"/>
                <w:highlight w:val="none"/>
              </w:rPr>
            </w:pPr>
          </w:p>
        </w:tc>
        <w:tc>
          <w:tcPr>
            <w:tcW w:w="173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34F1FC3">
            <w:pPr>
              <w:keepNext w:val="0"/>
              <w:keepLines w:val="0"/>
              <w:suppressLineNumbers w:val="0"/>
              <w:adjustRightInd w:val="0"/>
              <w:snapToGrid w:val="0"/>
              <w:spacing w:before="0" w:beforeAutospacing="0" w:after="0" w:afterAutospacing="0"/>
              <w:ind w:left="0" w:right="0"/>
              <w:jc w:val="center"/>
              <w:rPr>
                <w:rFonts w:hint="default" w:eastAsia="微软雅黑" w:cs="Times New Roman"/>
                <w:b/>
                <w:sz w:val="15"/>
                <w:szCs w:val="15"/>
                <w:highlight w:val="none"/>
              </w:rPr>
            </w:pPr>
            <w:r>
              <w:rPr>
                <w:rFonts w:hint="default" w:cs="Times New Roman"/>
                <w:b/>
                <w:sz w:val="15"/>
                <w:szCs w:val="15"/>
                <w:highlight w:val="none"/>
              </w:rPr>
              <w:t>氮氧化物</w:t>
            </w:r>
          </w:p>
        </w:tc>
        <w:tc>
          <w:tcPr>
            <w:tcW w:w="60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0DE4754">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29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BF205AE">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96FAB20">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88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2300297">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0DF4706">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EDF595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15"/>
                <w:szCs w:val="15"/>
                <w:highlight w:val="none"/>
              </w:rPr>
            </w:pPr>
            <w:r>
              <w:rPr>
                <w:rFonts w:hint="eastAsia" w:ascii="Times New Roman" w:hAnsi="Times New Roman" w:eastAsia="宋体" w:cs="Times New Roman"/>
                <w:sz w:val="15"/>
                <w:szCs w:val="15"/>
                <w:highlight w:val="none"/>
              </w:rPr>
              <w:t>0.05</w:t>
            </w:r>
          </w:p>
        </w:tc>
        <w:tc>
          <w:tcPr>
            <w:tcW w:w="113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252BC4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15"/>
                <w:szCs w:val="15"/>
                <w:highlight w:val="none"/>
              </w:rPr>
            </w:pPr>
            <w:r>
              <w:rPr>
                <w:rFonts w:hint="eastAsia" w:ascii="Times New Roman" w:hAnsi="Times New Roman" w:eastAsia="宋体" w:cs="Times New Roman"/>
                <w:sz w:val="15"/>
                <w:szCs w:val="15"/>
                <w:highlight w:val="none"/>
              </w:rPr>
              <w:t>1.044</w:t>
            </w:r>
          </w:p>
        </w:tc>
        <w:tc>
          <w:tcPr>
            <w:tcW w:w="19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0DEBA42">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68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C5A0914">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ascii="Times New Roman" w:hAnsi="Times New Roman" w:eastAsia="宋体" w:cs="Times New Roman"/>
                <w:sz w:val="15"/>
                <w:szCs w:val="15"/>
                <w:highlight w:val="none"/>
              </w:rPr>
              <w:t>0.05</w:t>
            </w:r>
          </w:p>
        </w:tc>
        <w:tc>
          <w:tcPr>
            <w:tcW w:w="87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4CC61AF">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ascii="Times New Roman" w:hAnsi="Times New Roman" w:eastAsia="宋体" w:cs="Times New Roman"/>
                <w:sz w:val="15"/>
                <w:szCs w:val="15"/>
                <w:highlight w:val="none"/>
              </w:rPr>
              <w:t>1.044</w:t>
            </w:r>
          </w:p>
        </w:tc>
        <w:tc>
          <w:tcPr>
            <w:tcW w:w="91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F12A498">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65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23FC38AC">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r>
      <w:tr w14:paraId="644B46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707" w:type="dxa"/>
            <w:gridSpan w:val="2"/>
            <w:vMerge w:val="continue"/>
            <w:tcBorders>
              <w:top w:val="single" w:color="auto" w:sz="4" w:space="0"/>
              <w:left w:val="single" w:color="auto" w:sz="8" w:space="0"/>
              <w:bottom w:val="single" w:color="auto" w:sz="8" w:space="0"/>
              <w:right w:val="single" w:color="auto" w:sz="4" w:space="0"/>
            </w:tcBorders>
            <w:vAlign w:val="center"/>
          </w:tcPr>
          <w:p w14:paraId="04A21FFD">
            <w:pPr>
              <w:keepNext w:val="0"/>
              <w:keepLines w:val="0"/>
              <w:suppressLineNumbers w:val="0"/>
              <w:spacing w:before="0" w:beforeAutospacing="0" w:after="0" w:afterAutospacing="0"/>
              <w:ind w:left="0" w:right="0"/>
              <w:jc w:val="center"/>
              <w:rPr>
                <w:rFonts w:hint="default" w:eastAsia="黑体" w:cs="Times New Roman"/>
                <w:b/>
                <w:spacing w:val="20"/>
                <w:sz w:val="15"/>
                <w:szCs w:val="15"/>
                <w:highlight w:val="none"/>
              </w:rPr>
            </w:pPr>
          </w:p>
        </w:tc>
        <w:tc>
          <w:tcPr>
            <w:tcW w:w="173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8245A14">
            <w:pPr>
              <w:keepNext w:val="0"/>
              <w:keepLines w:val="0"/>
              <w:suppressLineNumbers w:val="0"/>
              <w:adjustRightInd w:val="0"/>
              <w:snapToGrid w:val="0"/>
              <w:spacing w:before="0" w:beforeAutospacing="0" w:after="0" w:afterAutospacing="0"/>
              <w:ind w:left="0" w:right="0"/>
              <w:jc w:val="center"/>
              <w:rPr>
                <w:rFonts w:hint="default" w:eastAsia="黑体" w:cs="Times New Roman"/>
                <w:b/>
                <w:sz w:val="15"/>
                <w:szCs w:val="15"/>
                <w:highlight w:val="none"/>
              </w:rPr>
            </w:pPr>
            <w:r>
              <w:rPr>
                <w:rFonts w:hint="default" w:cs="Times New Roman"/>
                <w:b/>
                <w:sz w:val="15"/>
                <w:szCs w:val="15"/>
                <w:highlight w:val="none"/>
              </w:rPr>
              <w:t>工业固体废物</w:t>
            </w:r>
          </w:p>
        </w:tc>
        <w:tc>
          <w:tcPr>
            <w:tcW w:w="60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BE71AF5">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29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3295DD9">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F566F3A">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88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EB3FC40">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9DA1BA8">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521DB0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z w:val="15"/>
                <w:szCs w:val="15"/>
                <w:highlight w:val="none"/>
              </w:rPr>
            </w:pPr>
            <w:r>
              <w:rPr>
                <w:rFonts w:hint="eastAsia" w:eastAsia="微软雅黑" w:cs="Times New Roman"/>
                <w:sz w:val="15"/>
                <w:szCs w:val="15"/>
                <w:highlight w:val="none"/>
                <w:lang w:val="en-US" w:eastAsia="zh-CN"/>
              </w:rPr>
              <w:t>/</w:t>
            </w:r>
          </w:p>
        </w:tc>
        <w:tc>
          <w:tcPr>
            <w:tcW w:w="113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230EB7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z w:val="15"/>
                <w:szCs w:val="15"/>
                <w:highlight w:val="none"/>
              </w:rPr>
            </w:pPr>
            <w:r>
              <w:rPr>
                <w:rFonts w:hint="eastAsia" w:eastAsia="微软雅黑" w:cs="Times New Roman"/>
                <w:sz w:val="15"/>
                <w:szCs w:val="15"/>
                <w:highlight w:val="none"/>
                <w:lang w:val="en-US" w:eastAsia="zh-CN"/>
              </w:rPr>
              <w:t>/</w:t>
            </w:r>
          </w:p>
        </w:tc>
        <w:tc>
          <w:tcPr>
            <w:tcW w:w="19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B16C49B">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68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9EEC26C">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87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8774B85">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91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0F44561">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65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1776CF22">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r>
      <w:tr w14:paraId="166A36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707" w:type="dxa"/>
            <w:gridSpan w:val="2"/>
            <w:vMerge w:val="continue"/>
            <w:tcBorders>
              <w:top w:val="single" w:color="auto" w:sz="4" w:space="0"/>
              <w:left w:val="single" w:color="auto" w:sz="8" w:space="0"/>
              <w:bottom w:val="single" w:color="auto" w:sz="8" w:space="0"/>
              <w:right w:val="single" w:color="auto" w:sz="4" w:space="0"/>
            </w:tcBorders>
            <w:vAlign w:val="center"/>
          </w:tcPr>
          <w:p w14:paraId="4AF44155">
            <w:pPr>
              <w:keepNext w:val="0"/>
              <w:keepLines w:val="0"/>
              <w:suppressLineNumbers w:val="0"/>
              <w:spacing w:before="0" w:beforeAutospacing="0" w:after="0" w:afterAutospacing="0"/>
              <w:ind w:left="0" w:right="0"/>
              <w:jc w:val="center"/>
              <w:rPr>
                <w:rFonts w:hint="default" w:eastAsia="黑体" w:cs="Times New Roman"/>
                <w:b/>
                <w:spacing w:val="20"/>
                <w:sz w:val="15"/>
                <w:szCs w:val="15"/>
                <w:highlight w:val="none"/>
              </w:rPr>
            </w:pPr>
          </w:p>
        </w:tc>
        <w:tc>
          <w:tcPr>
            <w:tcW w:w="944" w:type="dxa"/>
            <w:vMerge w:val="restart"/>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vAlign w:val="center"/>
          </w:tcPr>
          <w:p w14:paraId="48420D47">
            <w:pPr>
              <w:keepNext w:val="0"/>
              <w:keepLines w:val="0"/>
              <w:suppressLineNumbers w:val="0"/>
              <w:adjustRightInd w:val="0"/>
              <w:snapToGrid w:val="0"/>
              <w:spacing w:before="0" w:beforeAutospacing="0" w:after="0" w:afterAutospacing="0"/>
              <w:ind w:left="0" w:right="0"/>
              <w:jc w:val="center"/>
              <w:rPr>
                <w:rFonts w:hint="default" w:eastAsia="微软雅黑" w:cs="Times New Roman"/>
                <w:sz w:val="15"/>
                <w:szCs w:val="15"/>
                <w:highlight w:val="none"/>
              </w:rPr>
            </w:pPr>
            <w:r>
              <w:rPr>
                <w:rFonts w:hint="default" w:cs="Times New Roman"/>
                <w:b/>
                <w:sz w:val="15"/>
                <w:szCs w:val="15"/>
                <w:highlight w:val="none"/>
              </w:rPr>
              <w:t>与项目有关的其他特征污染物</w:t>
            </w:r>
          </w:p>
        </w:tc>
        <w:tc>
          <w:tcPr>
            <w:tcW w:w="7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C8996BE">
            <w:pPr>
              <w:keepNext w:val="0"/>
              <w:keepLines w:val="0"/>
              <w:suppressLineNumbers w:val="0"/>
              <w:adjustRightInd w:val="0"/>
              <w:snapToGrid w:val="0"/>
              <w:spacing w:before="0" w:beforeAutospacing="0" w:after="0" w:afterAutospacing="0"/>
              <w:ind w:left="0" w:right="0"/>
              <w:jc w:val="center"/>
              <w:rPr>
                <w:rFonts w:hint="eastAsia" w:eastAsia="微软雅黑" w:cs="Times New Roman"/>
                <w:sz w:val="13"/>
                <w:szCs w:val="13"/>
                <w:highlight w:val="none"/>
                <w:lang w:eastAsia="zh-CN"/>
              </w:rPr>
            </w:pPr>
            <w:r>
              <w:rPr>
                <w:rFonts w:hint="eastAsia" w:eastAsia="微软雅黑" w:cs="Times New Roman"/>
                <w:sz w:val="13"/>
                <w:szCs w:val="13"/>
                <w:highlight w:val="none"/>
                <w:lang w:val="en-US" w:eastAsia="zh-CN"/>
              </w:rPr>
              <w:t>/</w:t>
            </w:r>
          </w:p>
        </w:tc>
        <w:tc>
          <w:tcPr>
            <w:tcW w:w="60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68842EA">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29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14FCC74">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A10DA94">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88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8B8EB55">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B007E50">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12B247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z w:val="15"/>
                <w:szCs w:val="15"/>
                <w:highlight w:val="none"/>
              </w:rPr>
            </w:pPr>
            <w:r>
              <w:rPr>
                <w:rFonts w:hint="eastAsia" w:eastAsia="微软雅黑" w:cs="Times New Roman"/>
                <w:sz w:val="15"/>
                <w:szCs w:val="15"/>
                <w:highlight w:val="none"/>
                <w:lang w:val="en-US" w:eastAsia="zh-CN"/>
              </w:rPr>
              <w:t>/</w:t>
            </w:r>
          </w:p>
        </w:tc>
        <w:tc>
          <w:tcPr>
            <w:tcW w:w="113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F8958B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z w:val="15"/>
                <w:szCs w:val="15"/>
                <w:highlight w:val="none"/>
              </w:rPr>
            </w:pPr>
            <w:r>
              <w:rPr>
                <w:rFonts w:hint="eastAsia" w:eastAsia="微软雅黑" w:cs="Times New Roman"/>
                <w:sz w:val="15"/>
                <w:szCs w:val="15"/>
                <w:highlight w:val="none"/>
                <w:lang w:val="en-US" w:eastAsia="zh-CN"/>
              </w:rPr>
              <w:t>/</w:t>
            </w:r>
          </w:p>
        </w:tc>
        <w:tc>
          <w:tcPr>
            <w:tcW w:w="19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C1DC54A">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68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B5961C4">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87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024AFAF">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91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65F00B9">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65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464A2ED3">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r>
      <w:tr w14:paraId="2BFFC0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707" w:type="dxa"/>
            <w:gridSpan w:val="2"/>
            <w:vMerge w:val="continue"/>
            <w:tcBorders>
              <w:top w:val="single" w:color="auto" w:sz="4" w:space="0"/>
              <w:left w:val="single" w:color="auto" w:sz="8" w:space="0"/>
              <w:bottom w:val="single" w:color="auto" w:sz="8" w:space="0"/>
              <w:right w:val="single" w:color="auto" w:sz="4" w:space="0"/>
            </w:tcBorders>
            <w:vAlign w:val="center"/>
          </w:tcPr>
          <w:p w14:paraId="0113A3E1">
            <w:pPr>
              <w:keepNext w:val="0"/>
              <w:keepLines w:val="0"/>
              <w:suppressLineNumbers w:val="0"/>
              <w:spacing w:before="0" w:beforeAutospacing="0" w:after="0" w:afterAutospacing="0"/>
              <w:ind w:left="0" w:right="0"/>
              <w:jc w:val="center"/>
              <w:rPr>
                <w:rFonts w:hint="default" w:eastAsia="黑体" w:cs="Times New Roman"/>
                <w:b/>
                <w:spacing w:val="20"/>
                <w:sz w:val="15"/>
                <w:szCs w:val="15"/>
                <w:highlight w:val="none"/>
              </w:rPr>
            </w:pPr>
          </w:p>
        </w:tc>
        <w:tc>
          <w:tcPr>
            <w:tcW w:w="944" w:type="dxa"/>
            <w:vMerge w:val="continue"/>
            <w:tcBorders>
              <w:top w:val="single" w:color="auto" w:sz="4" w:space="0"/>
              <w:left w:val="single" w:color="auto" w:sz="4" w:space="0"/>
              <w:bottom w:val="single" w:color="auto" w:sz="8" w:space="0"/>
              <w:right w:val="single" w:color="auto" w:sz="4" w:space="0"/>
            </w:tcBorders>
            <w:vAlign w:val="center"/>
          </w:tcPr>
          <w:p w14:paraId="498046E2">
            <w:pPr>
              <w:keepNext w:val="0"/>
              <w:keepLines w:val="0"/>
              <w:suppressLineNumbers w:val="0"/>
              <w:spacing w:before="0" w:beforeAutospacing="0" w:after="0" w:afterAutospacing="0"/>
              <w:ind w:left="0" w:right="0"/>
              <w:jc w:val="center"/>
              <w:rPr>
                <w:rFonts w:hint="default" w:eastAsia="微软雅黑" w:cs="Times New Roman"/>
                <w:sz w:val="15"/>
                <w:szCs w:val="15"/>
                <w:highlight w:val="none"/>
              </w:rPr>
            </w:pPr>
          </w:p>
        </w:tc>
        <w:tc>
          <w:tcPr>
            <w:tcW w:w="7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7FE4410">
            <w:pPr>
              <w:keepNext w:val="0"/>
              <w:keepLines w:val="0"/>
              <w:suppressLineNumbers w:val="0"/>
              <w:adjustRightInd w:val="0"/>
              <w:snapToGrid w:val="0"/>
              <w:spacing w:before="0" w:beforeAutospacing="0" w:after="0" w:afterAutospacing="0"/>
              <w:ind w:left="0" w:right="0"/>
              <w:jc w:val="center"/>
              <w:rPr>
                <w:rFonts w:hint="eastAsia" w:eastAsia="微软雅黑" w:cs="Times New Roman"/>
                <w:sz w:val="15"/>
                <w:szCs w:val="15"/>
                <w:highlight w:val="none"/>
                <w:lang w:val="en-US" w:eastAsia="zh-CN"/>
              </w:rPr>
            </w:pPr>
            <w:r>
              <w:rPr>
                <w:rFonts w:hint="eastAsia" w:eastAsia="微软雅黑" w:cs="Times New Roman"/>
                <w:sz w:val="15"/>
                <w:szCs w:val="15"/>
                <w:highlight w:val="none"/>
                <w:lang w:val="en-US" w:eastAsia="zh-CN"/>
              </w:rPr>
              <w:t>/</w:t>
            </w:r>
          </w:p>
        </w:tc>
        <w:tc>
          <w:tcPr>
            <w:tcW w:w="60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4D067DE">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29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48C8122">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176BC6F">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88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05957F6">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12CD6FD">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0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D6461B2">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13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7AA62E8">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918"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526301F">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1682"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A5E9572">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87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28AC814">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91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1E72D9E">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c>
          <w:tcPr>
            <w:tcW w:w="654"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14:paraId="0400EB8D">
            <w:pPr>
              <w:keepNext w:val="0"/>
              <w:keepLines w:val="0"/>
              <w:suppressLineNumbers w:val="0"/>
              <w:adjustRightInd w:val="0"/>
              <w:snapToGrid w:val="0"/>
              <w:spacing w:before="0" w:beforeAutospacing="0" w:after="0" w:afterAutospacing="0"/>
              <w:ind w:left="0" w:leftChars="0" w:right="0" w:rightChars="0"/>
              <w:jc w:val="center"/>
              <w:rPr>
                <w:rFonts w:hint="default" w:eastAsia="微软雅黑" w:cs="Times New Roman"/>
                <w:sz w:val="15"/>
                <w:szCs w:val="15"/>
                <w:highlight w:val="none"/>
              </w:rPr>
            </w:pPr>
            <w:r>
              <w:rPr>
                <w:rFonts w:hint="eastAsia" w:eastAsia="微软雅黑" w:cs="Times New Roman"/>
                <w:sz w:val="15"/>
                <w:szCs w:val="15"/>
                <w:highlight w:val="none"/>
                <w:lang w:val="en-US" w:eastAsia="zh-CN"/>
              </w:rPr>
              <w:t>/</w:t>
            </w:r>
          </w:p>
        </w:tc>
      </w:tr>
    </w:tbl>
    <w:p w14:paraId="70C10728">
      <w:pPr>
        <w:spacing w:line="240" w:lineRule="exact"/>
        <w:rPr>
          <w:rFonts w:cs="Times New Roman"/>
          <w:sz w:val="15"/>
          <w:szCs w:val="15"/>
          <w:highlight w:val="yellow"/>
        </w:rPr>
      </w:pPr>
      <w:r>
        <w:rPr>
          <w:rFonts w:cs="Times New Roman"/>
          <w:b/>
          <w:sz w:val="15"/>
          <w:szCs w:val="15"/>
          <w:highlight w:val="none"/>
        </w:rPr>
        <w:t>注</w:t>
      </w:r>
      <w:r>
        <w:rPr>
          <w:rFonts w:cs="Times New Roman"/>
          <w:sz w:val="15"/>
          <w:szCs w:val="15"/>
          <w:highlight w:val="none"/>
        </w:rPr>
        <w:t>：1、</w:t>
      </w:r>
      <w:r>
        <w:rPr>
          <w:rFonts w:cs="Times New Roman"/>
          <w:spacing w:val="-4"/>
          <w:sz w:val="15"/>
          <w:szCs w:val="15"/>
          <w:highlight w:val="none"/>
        </w:rPr>
        <w:t>排放增减量：（+）表示增加，（-）表示减少。2、(12)=(6)-(8)-(11)，（9）= (4)-(5)-(8)- (11) +（1）。3、计量单位：废水排放量——万吨/年；废气排放量——万标立方米/年；工业固体废物排放</w:t>
      </w:r>
      <w:r>
        <w:rPr>
          <w:rFonts w:cs="Times New Roman"/>
          <w:sz w:val="15"/>
          <w:szCs w:val="15"/>
          <w:highlight w:val="none"/>
        </w:rPr>
        <w:t>量——万吨/年；水污染物排放浓度——毫克/升</w:t>
      </w:r>
    </w:p>
    <w:sectPr>
      <w:pgSz w:w="16838" w:h="11906" w:orient="landscape"/>
      <w:pgMar w:top="1418" w:right="1440" w:bottom="1418" w:left="1440" w:header="851" w:footer="992" w:gutter="0"/>
      <w:pgBorders>
        <w:top w:val="none" w:sz="0" w:space="0"/>
        <w:left w:val="none" w:sz="0" w:space="0"/>
        <w:bottom w:val="none" w:sz="0" w:space="0"/>
        <w:right w:val="none" w:sz="0" w:space="0"/>
      </w:pgBorders>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roman"/>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Georgia">
    <w:panose1 w:val="02040502050405020303"/>
    <w:charset w:val="00"/>
    <w:family w:val="auto"/>
    <w:pitch w:val="default"/>
    <w:sig w:usb0="00000287" w:usb1="00000000" w:usb2="00000000" w:usb3="00000000" w:csb0="2000009F" w:csb1="00000000"/>
  </w:font>
  <w:font w:name="Verdana">
    <w:panose1 w:val="020B0604030504040204"/>
    <w:charset w:val="00"/>
    <w:family w:val="auto"/>
    <w:pitch w:val="default"/>
    <w:sig w:usb0="A00006FF" w:usb1="4000205B" w:usb2="00000010" w:usb3="00000000" w:csb0="2000019F" w:csb1="00000000"/>
  </w:font>
  <w:font w:name="Microsoft YaHei UI">
    <w:panose1 w:val="020B0503020204020204"/>
    <w:charset w:val="86"/>
    <w:family w:val="auto"/>
    <w:pitch w:val="default"/>
    <w:sig w:usb0="80000287" w:usb1="2ACF3C50" w:usb2="00000016" w:usb3="00000000" w:csb0="0004001F" w:csb1="00000000"/>
  </w:font>
  <w:font w:name="华文新魏">
    <w:panose1 w:val="02010800040101010101"/>
    <w:charset w:val="86"/>
    <w:family w:val="auto"/>
    <w:pitch w:val="default"/>
    <w:sig w:usb0="00000001" w:usb1="080F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7F895">
    <w:pPr>
      <w:ind w:firstLine="480"/>
      <w:jc w:val="center"/>
      <w:rPr>
        <w:rFonts w:cs="Times New Roman"/>
        <w:sz w:val="18"/>
        <w:szCs w:val="18"/>
      </w:rPr>
    </w:pPr>
    <w:r>
      <w:rPr>
        <w:rFonts w:cs="Times New Roman"/>
        <w:sz w:val="18"/>
        <w:szCs w:val="18"/>
      </w:rPr>
      <w:fldChar w:fldCharType="begin"/>
    </w:r>
    <w:r>
      <w:rPr>
        <w:rFonts w:cs="Times New Roman"/>
        <w:sz w:val="18"/>
        <w:szCs w:val="18"/>
      </w:rPr>
      <w:instrText xml:space="preserve"> PAGE   \* MERGEFORMAT </w:instrText>
    </w:r>
    <w:r>
      <w:rPr>
        <w:rFonts w:cs="Times New Roman"/>
        <w:sz w:val="18"/>
        <w:szCs w:val="18"/>
      </w:rPr>
      <w:fldChar w:fldCharType="separate"/>
    </w:r>
    <w:r>
      <w:rPr>
        <w:rFonts w:cs="Times New Roman"/>
        <w:sz w:val="18"/>
        <w:szCs w:val="18"/>
        <w:lang w:val="zh-CN"/>
      </w:rPr>
      <w:t>50</w:t>
    </w:r>
    <w:r>
      <w:rPr>
        <w:rFonts w:cs="Times New Roman"/>
        <w:sz w:val="18"/>
        <w:szCs w:val="18"/>
      </w:rPr>
      <w:fldChar w:fldCharType="end"/>
    </w:r>
  </w:p>
  <w:p w14:paraId="594C23CF">
    <w:pPr>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5A987">
    <w:pPr>
      <w:pStyle w:val="20"/>
      <w:pBdr>
        <w:bottom w:val="none" w:color="auto" w:sz="0" w:space="0"/>
      </w:pBdr>
      <w:ind w:firstLine="360"/>
      <w:jc w:val="right"/>
      <w:rPr>
        <w:rFonts w:cs="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oNotHyphenateCaps/>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511F770C"/>
    <w:rsid w:val="00000730"/>
    <w:rsid w:val="00002DC8"/>
    <w:rsid w:val="00003629"/>
    <w:rsid w:val="000042F9"/>
    <w:rsid w:val="00005268"/>
    <w:rsid w:val="000055C4"/>
    <w:rsid w:val="00006EF8"/>
    <w:rsid w:val="00007E61"/>
    <w:rsid w:val="000102EF"/>
    <w:rsid w:val="00010594"/>
    <w:rsid w:val="00011AF0"/>
    <w:rsid w:val="000127DD"/>
    <w:rsid w:val="0001283F"/>
    <w:rsid w:val="0001436A"/>
    <w:rsid w:val="000154AF"/>
    <w:rsid w:val="000157B2"/>
    <w:rsid w:val="00015CE3"/>
    <w:rsid w:val="00017EF8"/>
    <w:rsid w:val="0002000B"/>
    <w:rsid w:val="00020489"/>
    <w:rsid w:val="0002392D"/>
    <w:rsid w:val="0002435B"/>
    <w:rsid w:val="00026631"/>
    <w:rsid w:val="00026CB7"/>
    <w:rsid w:val="000272B4"/>
    <w:rsid w:val="00027917"/>
    <w:rsid w:val="00027FD7"/>
    <w:rsid w:val="00027FF4"/>
    <w:rsid w:val="0003023D"/>
    <w:rsid w:val="000307CA"/>
    <w:rsid w:val="000325D7"/>
    <w:rsid w:val="000325FB"/>
    <w:rsid w:val="000358FF"/>
    <w:rsid w:val="000379E6"/>
    <w:rsid w:val="000400BD"/>
    <w:rsid w:val="00040713"/>
    <w:rsid w:val="00041061"/>
    <w:rsid w:val="00042A80"/>
    <w:rsid w:val="00042BBC"/>
    <w:rsid w:val="0004423D"/>
    <w:rsid w:val="000458FA"/>
    <w:rsid w:val="00045C2D"/>
    <w:rsid w:val="00045E75"/>
    <w:rsid w:val="00047661"/>
    <w:rsid w:val="000508FA"/>
    <w:rsid w:val="000513BD"/>
    <w:rsid w:val="000513D7"/>
    <w:rsid w:val="0005142B"/>
    <w:rsid w:val="0005164C"/>
    <w:rsid w:val="00052F88"/>
    <w:rsid w:val="00052FD5"/>
    <w:rsid w:val="00053BD3"/>
    <w:rsid w:val="00053BE8"/>
    <w:rsid w:val="00056A43"/>
    <w:rsid w:val="00056C53"/>
    <w:rsid w:val="00056F23"/>
    <w:rsid w:val="00057761"/>
    <w:rsid w:val="00062C40"/>
    <w:rsid w:val="00062C45"/>
    <w:rsid w:val="000642EE"/>
    <w:rsid w:val="00067157"/>
    <w:rsid w:val="00067D06"/>
    <w:rsid w:val="0007029A"/>
    <w:rsid w:val="00071046"/>
    <w:rsid w:val="000715F9"/>
    <w:rsid w:val="00072215"/>
    <w:rsid w:val="000726C3"/>
    <w:rsid w:val="000734E1"/>
    <w:rsid w:val="00073535"/>
    <w:rsid w:val="00075027"/>
    <w:rsid w:val="0007544E"/>
    <w:rsid w:val="000767EB"/>
    <w:rsid w:val="00077F0C"/>
    <w:rsid w:val="000804E6"/>
    <w:rsid w:val="0008061E"/>
    <w:rsid w:val="000811C1"/>
    <w:rsid w:val="000850E5"/>
    <w:rsid w:val="00085606"/>
    <w:rsid w:val="00085C85"/>
    <w:rsid w:val="000862E0"/>
    <w:rsid w:val="00090817"/>
    <w:rsid w:val="00092137"/>
    <w:rsid w:val="00093445"/>
    <w:rsid w:val="0009392F"/>
    <w:rsid w:val="00094050"/>
    <w:rsid w:val="00097535"/>
    <w:rsid w:val="000977C8"/>
    <w:rsid w:val="000977DC"/>
    <w:rsid w:val="000A06DA"/>
    <w:rsid w:val="000A0A70"/>
    <w:rsid w:val="000A0E87"/>
    <w:rsid w:val="000A1E88"/>
    <w:rsid w:val="000A6EAA"/>
    <w:rsid w:val="000A7760"/>
    <w:rsid w:val="000B01AC"/>
    <w:rsid w:val="000B105F"/>
    <w:rsid w:val="000B3011"/>
    <w:rsid w:val="000B40FF"/>
    <w:rsid w:val="000B4878"/>
    <w:rsid w:val="000B6273"/>
    <w:rsid w:val="000C1472"/>
    <w:rsid w:val="000C1694"/>
    <w:rsid w:val="000C18E9"/>
    <w:rsid w:val="000C1E2D"/>
    <w:rsid w:val="000C3050"/>
    <w:rsid w:val="000C3E90"/>
    <w:rsid w:val="000C3EB8"/>
    <w:rsid w:val="000C4404"/>
    <w:rsid w:val="000C440D"/>
    <w:rsid w:val="000C48D5"/>
    <w:rsid w:val="000C5443"/>
    <w:rsid w:val="000C56D1"/>
    <w:rsid w:val="000C5DE2"/>
    <w:rsid w:val="000D17C3"/>
    <w:rsid w:val="000D1E49"/>
    <w:rsid w:val="000D1EC9"/>
    <w:rsid w:val="000D3F24"/>
    <w:rsid w:val="000D460E"/>
    <w:rsid w:val="000D4718"/>
    <w:rsid w:val="000D6425"/>
    <w:rsid w:val="000D77B3"/>
    <w:rsid w:val="000E1049"/>
    <w:rsid w:val="000E23D3"/>
    <w:rsid w:val="000E380F"/>
    <w:rsid w:val="000E3CA9"/>
    <w:rsid w:val="000E3E84"/>
    <w:rsid w:val="000E40FE"/>
    <w:rsid w:val="000E5CB4"/>
    <w:rsid w:val="000E60D7"/>
    <w:rsid w:val="000E6939"/>
    <w:rsid w:val="000E7440"/>
    <w:rsid w:val="000F0D9F"/>
    <w:rsid w:val="000F106E"/>
    <w:rsid w:val="000F18A0"/>
    <w:rsid w:val="000F1BA6"/>
    <w:rsid w:val="000F22F3"/>
    <w:rsid w:val="000F259B"/>
    <w:rsid w:val="000F2ADC"/>
    <w:rsid w:val="000F2B34"/>
    <w:rsid w:val="000F3386"/>
    <w:rsid w:val="000F46EE"/>
    <w:rsid w:val="000F7A05"/>
    <w:rsid w:val="001003CE"/>
    <w:rsid w:val="001005AD"/>
    <w:rsid w:val="00100627"/>
    <w:rsid w:val="0010199F"/>
    <w:rsid w:val="00101A01"/>
    <w:rsid w:val="0010206E"/>
    <w:rsid w:val="00102E68"/>
    <w:rsid w:val="00103864"/>
    <w:rsid w:val="0010387A"/>
    <w:rsid w:val="001059ED"/>
    <w:rsid w:val="001066B6"/>
    <w:rsid w:val="001071F5"/>
    <w:rsid w:val="0010754E"/>
    <w:rsid w:val="001076A5"/>
    <w:rsid w:val="001076FC"/>
    <w:rsid w:val="00107D61"/>
    <w:rsid w:val="00110789"/>
    <w:rsid w:val="00110E07"/>
    <w:rsid w:val="00112CC5"/>
    <w:rsid w:val="00113246"/>
    <w:rsid w:val="00113FEB"/>
    <w:rsid w:val="001140C8"/>
    <w:rsid w:val="00114264"/>
    <w:rsid w:val="00115EA4"/>
    <w:rsid w:val="001164F7"/>
    <w:rsid w:val="001171CE"/>
    <w:rsid w:val="0012133C"/>
    <w:rsid w:val="00121C83"/>
    <w:rsid w:val="00122185"/>
    <w:rsid w:val="001232FF"/>
    <w:rsid w:val="0012354E"/>
    <w:rsid w:val="0012709D"/>
    <w:rsid w:val="0013177F"/>
    <w:rsid w:val="00132F28"/>
    <w:rsid w:val="00135D1F"/>
    <w:rsid w:val="001379AB"/>
    <w:rsid w:val="00142DBD"/>
    <w:rsid w:val="001437AB"/>
    <w:rsid w:val="0014427C"/>
    <w:rsid w:val="001451D6"/>
    <w:rsid w:val="00145A84"/>
    <w:rsid w:val="00146A8C"/>
    <w:rsid w:val="00147141"/>
    <w:rsid w:val="00150A1C"/>
    <w:rsid w:val="00150AD7"/>
    <w:rsid w:val="00152131"/>
    <w:rsid w:val="00152824"/>
    <w:rsid w:val="00153941"/>
    <w:rsid w:val="00154965"/>
    <w:rsid w:val="00155330"/>
    <w:rsid w:val="00157690"/>
    <w:rsid w:val="001577D7"/>
    <w:rsid w:val="00157FBD"/>
    <w:rsid w:val="00161393"/>
    <w:rsid w:val="00164427"/>
    <w:rsid w:val="0016575F"/>
    <w:rsid w:val="00165F1F"/>
    <w:rsid w:val="001667FF"/>
    <w:rsid w:val="00166D54"/>
    <w:rsid w:val="00167EE6"/>
    <w:rsid w:val="001708C0"/>
    <w:rsid w:val="00170F9E"/>
    <w:rsid w:val="0017132A"/>
    <w:rsid w:val="00176F30"/>
    <w:rsid w:val="00177252"/>
    <w:rsid w:val="00180A38"/>
    <w:rsid w:val="001820D3"/>
    <w:rsid w:val="00183070"/>
    <w:rsid w:val="0018469E"/>
    <w:rsid w:val="00184CEF"/>
    <w:rsid w:val="00185CE1"/>
    <w:rsid w:val="00186FEF"/>
    <w:rsid w:val="00187AF9"/>
    <w:rsid w:val="00190F76"/>
    <w:rsid w:val="0019113E"/>
    <w:rsid w:val="001917F1"/>
    <w:rsid w:val="00192964"/>
    <w:rsid w:val="00193087"/>
    <w:rsid w:val="00193767"/>
    <w:rsid w:val="00193D79"/>
    <w:rsid w:val="0019485F"/>
    <w:rsid w:val="00195372"/>
    <w:rsid w:val="00196805"/>
    <w:rsid w:val="001A0CF4"/>
    <w:rsid w:val="001A0F55"/>
    <w:rsid w:val="001A2BBD"/>
    <w:rsid w:val="001A593F"/>
    <w:rsid w:val="001A7CB9"/>
    <w:rsid w:val="001B1130"/>
    <w:rsid w:val="001B3654"/>
    <w:rsid w:val="001B396F"/>
    <w:rsid w:val="001B47D6"/>
    <w:rsid w:val="001B5291"/>
    <w:rsid w:val="001B68A5"/>
    <w:rsid w:val="001B6B88"/>
    <w:rsid w:val="001B7A30"/>
    <w:rsid w:val="001C0530"/>
    <w:rsid w:val="001C155B"/>
    <w:rsid w:val="001C2001"/>
    <w:rsid w:val="001C249D"/>
    <w:rsid w:val="001C2F4C"/>
    <w:rsid w:val="001C2FB2"/>
    <w:rsid w:val="001C35C2"/>
    <w:rsid w:val="001C3B93"/>
    <w:rsid w:val="001C3D33"/>
    <w:rsid w:val="001C43B3"/>
    <w:rsid w:val="001C70C9"/>
    <w:rsid w:val="001C716F"/>
    <w:rsid w:val="001C75A3"/>
    <w:rsid w:val="001D0413"/>
    <w:rsid w:val="001D0A97"/>
    <w:rsid w:val="001D0D8A"/>
    <w:rsid w:val="001D114A"/>
    <w:rsid w:val="001D4605"/>
    <w:rsid w:val="001D4D98"/>
    <w:rsid w:val="001D51CA"/>
    <w:rsid w:val="001D5552"/>
    <w:rsid w:val="001D7251"/>
    <w:rsid w:val="001D729A"/>
    <w:rsid w:val="001D7AC7"/>
    <w:rsid w:val="001D7D83"/>
    <w:rsid w:val="001E0610"/>
    <w:rsid w:val="001E0975"/>
    <w:rsid w:val="001E11C6"/>
    <w:rsid w:val="001E1D4C"/>
    <w:rsid w:val="001E36D5"/>
    <w:rsid w:val="001E3EE3"/>
    <w:rsid w:val="001E4020"/>
    <w:rsid w:val="001E452F"/>
    <w:rsid w:val="001E5CB3"/>
    <w:rsid w:val="001F0BF1"/>
    <w:rsid w:val="001F204B"/>
    <w:rsid w:val="001F2462"/>
    <w:rsid w:val="001F254B"/>
    <w:rsid w:val="001F2C75"/>
    <w:rsid w:val="001F3B54"/>
    <w:rsid w:val="001F450D"/>
    <w:rsid w:val="001F4BAF"/>
    <w:rsid w:val="001F4C6D"/>
    <w:rsid w:val="001F5E3E"/>
    <w:rsid w:val="001F6A66"/>
    <w:rsid w:val="001F6CB1"/>
    <w:rsid w:val="001F7814"/>
    <w:rsid w:val="001F7992"/>
    <w:rsid w:val="001F7A59"/>
    <w:rsid w:val="002023FF"/>
    <w:rsid w:val="0020252A"/>
    <w:rsid w:val="00203286"/>
    <w:rsid w:val="002035AA"/>
    <w:rsid w:val="002044EC"/>
    <w:rsid w:val="0020623B"/>
    <w:rsid w:val="0020630B"/>
    <w:rsid w:val="00206B46"/>
    <w:rsid w:val="00207050"/>
    <w:rsid w:val="002072D8"/>
    <w:rsid w:val="0020748C"/>
    <w:rsid w:val="00207BFD"/>
    <w:rsid w:val="002107A5"/>
    <w:rsid w:val="0021161E"/>
    <w:rsid w:val="0021246C"/>
    <w:rsid w:val="00212C5F"/>
    <w:rsid w:val="0021366E"/>
    <w:rsid w:val="00213A1E"/>
    <w:rsid w:val="00213E9B"/>
    <w:rsid w:val="00215327"/>
    <w:rsid w:val="00215863"/>
    <w:rsid w:val="002159E8"/>
    <w:rsid w:val="002173CD"/>
    <w:rsid w:val="00220331"/>
    <w:rsid w:val="002210D3"/>
    <w:rsid w:val="00221E6F"/>
    <w:rsid w:val="00222BC1"/>
    <w:rsid w:val="00223AFB"/>
    <w:rsid w:val="00226B37"/>
    <w:rsid w:val="00227874"/>
    <w:rsid w:val="00232270"/>
    <w:rsid w:val="002324D0"/>
    <w:rsid w:val="0023339A"/>
    <w:rsid w:val="00233788"/>
    <w:rsid w:val="0023402A"/>
    <w:rsid w:val="0023429A"/>
    <w:rsid w:val="00234880"/>
    <w:rsid w:val="002351DD"/>
    <w:rsid w:val="00235612"/>
    <w:rsid w:val="00237F53"/>
    <w:rsid w:val="0024024E"/>
    <w:rsid w:val="00241854"/>
    <w:rsid w:val="002502F1"/>
    <w:rsid w:val="00251868"/>
    <w:rsid w:val="00252602"/>
    <w:rsid w:val="00252802"/>
    <w:rsid w:val="002532D8"/>
    <w:rsid w:val="00253403"/>
    <w:rsid w:val="0025360A"/>
    <w:rsid w:val="00253CFB"/>
    <w:rsid w:val="0025477F"/>
    <w:rsid w:val="00254B9A"/>
    <w:rsid w:val="00254F3B"/>
    <w:rsid w:val="00256214"/>
    <w:rsid w:val="0025622A"/>
    <w:rsid w:val="002564FD"/>
    <w:rsid w:val="0026120B"/>
    <w:rsid w:val="002618E9"/>
    <w:rsid w:val="002622A5"/>
    <w:rsid w:val="002650BA"/>
    <w:rsid w:val="002650C5"/>
    <w:rsid w:val="002663A0"/>
    <w:rsid w:val="00266A8A"/>
    <w:rsid w:val="002715F3"/>
    <w:rsid w:val="00271B77"/>
    <w:rsid w:val="0027381A"/>
    <w:rsid w:val="00273EDE"/>
    <w:rsid w:val="002752D7"/>
    <w:rsid w:val="0027533E"/>
    <w:rsid w:val="00275602"/>
    <w:rsid w:val="00275FD9"/>
    <w:rsid w:val="002767A0"/>
    <w:rsid w:val="002818B6"/>
    <w:rsid w:val="002842A4"/>
    <w:rsid w:val="00284768"/>
    <w:rsid w:val="00284BFE"/>
    <w:rsid w:val="00284F01"/>
    <w:rsid w:val="00286FF1"/>
    <w:rsid w:val="00287CAA"/>
    <w:rsid w:val="00290683"/>
    <w:rsid w:val="00291B9B"/>
    <w:rsid w:val="00292295"/>
    <w:rsid w:val="00292F6D"/>
    <w:rsid w:val="0029441E"/>
    <w:rsid w:val="0029516E"/>
    <w:rsid w:val="00295521"/>
    <w:rsid w:val="002955E6"/>
    <w:rsid w:val="0029562B"/>
    <w:rsid w:val="00295C53"/>
    <w:rsid w:val="0029662E"/>
    <w:rsid w:val="002A006B"/>
    <w:rsid w:val="002A02A2"/>
    <w:rsid w:val="002A0B9E"/>
    <w:rsid w:val="002A0C97"/>
    <w:rsid w:val="002A4AA7"/>
    <w:rsid w:val="002A7647"/>
    <w:rsid w:val="002A7835"/>
    <w:rsid w:val="002A7927"/>
    <w:rsid w:val="002B0EAA"/>
    <w:rsid w:val="002B229C"/>
    <w:rsid w:val="002B25CF"/>
    <w:rsid w:val="002B2B7D"/>
    <w:rsid w:val="002B3301"/>
    <w:rsid w:val="002B3F3C"/>
    <w:rsid w:val="002B44AE"/>
    <w:rsid w:val="002B510D"/>
    <w:rsid w:val="002B60EF"/>
    <w:rsid w:val="002B7417"/>
    <w:rsid w:val="002C1B26"/>
    <w:rsid w:val="002C3FD0"/>
    <w:rsid w:val="002C4DBA"/>
    <w:rsid w:val="002C4EB3"/>
    <w:rsid w:val="002C570D"/>
    <w:rsid w:val="002C67E5"/>
    <w:rsid w:val="002C6E5C"/>
    <w:rsid w:val="002D1123"/>
    <w:rsid w:val="002D14C7"/>
    <w:rsid w:val="002D4A8C"/>
    <w:rsid w:val="002D6215"/>
    <w:rsid w:val="002D6C02"/>
    <w:rsid w:val="002D7CDF"/>
    <w:rsid w:val="002E1495"/>
    <w:rsid w:val="002E16A4"/>
    <w:rsid w:val="002E2319"/>
    <w:rsid w:val="002E4D5B"/>
    <w:rsid w:val="002E532F"/>
    <w:rsid w:val="002E5CCF"/>
    <w:rsid w:val="002E5F6A"/>
    <w:rsid w:val="002E627B"/>
    <w:rsid w:val="002E716D"/>
    <w:rsid w:val="002E774D"/>
    <w:rsid w:val="002E7A06"/>
    <w:rsid w:val="002E7C11"/>
    <w:rsid w:val="002F06E7"/>
    <w:rsid w:val="002F1D4D"/>
    <w:rsid w:val="002F1EDC"/>
    <w:rsid w:val="002F2B70"/>
    <w:rsid w:val="002F3F98"/>
    <w:rsid w:val="002F4039"/>
    <w:rsid w:val="002F4B52"/>
    <w:rsid w:val="002F52F1"/>
    <w:rsid w:val="002F54D1"/>
    <w:rsid w:val="002F6576"/>
    <w:rsid w:val="003004AB"/>
    <w:rsid w:val="003022F9"/>
    <w:rsid w:val="00303232"/>
    <w:rsid w:val="00303594"/>
    <w:rsid w:val="003042CE"/>
    <w:rsid w:val="00311557"/>
    <w:rsid w:val="00312D69"/>
    <w:rsid w:val="003131BC"/>
    <w:rsid w:val="00313958"/>
    <w:rsid w:val="00316A78"/>
    <w:rsid w:val="0032000F"/>
    <w:rsid w:val="003204CA"/>
    <w:rsid w:val="00321447"/>
    <w:rsid w:val="00321BAE"/>
    <w:rsid w:val="00322F22"/>
    <w:rsid w:val="00324358"/>
    <w:rsid w:val="00325A46"/>
    <w:rsid w:val="00325CCB"/>
    <w:rsid w:val="00327FBD"/>
    <w:rsid w:val="00330864"/>
    <w:rsid w:val="0033276C"/>
    <w:rsid w:val="00333916"/>
    <w:rsid w:val="00333F5C"/>
    <w:rsid w:val="00335927"/>
    <w:rsid w:val="00336036"/>
    <w:rsid w:val="003367DB"/>
    <w:rsid w:val="003416C4"/>
    <w:rsid w:val="00341EBE"/>
    <w:rsid w:val="003445A4"/>
    <w:rsid w:val="00344C58"/>
    <w:rsid w:val="003465E5"/>
    <w:rsid w:val="00346F56"/>
    <w:rsid w:val="003475A3"/>
    <w:rsid w:val="00347A66"/>
    <w:rsid w:val="00350334"/>
    <w:rsid w:val="00350359"/>
    <w:rsid w:val="00351C3F"/>
    <w:rsid w:val="00355AA6"/>
    <w:rsid w:val="00360A49"/>
    <w:rsid w:val="003629E0"/>
    <w:rsid w:val="00362D35"/>
    <w:rsid w:val="00362D45"/>
    <w:rsid w:val="00363419"/>
    <w:rsid w:val="00366879"/>
    <w:rsid w:val="00366AB2"/>
    <w:rsid w:val="0036718A"/>
    <w:rsid w:val="00367328"/>
    <w:rsid w:val="00367C2B"/>
    <w:rsid w:val="00370A96"/>
    <w:rsid w:val="0037231E"/>
    <w:rsid w:val="003727F9"/>
    <w:rsid w:val="00372DE1"/>
    <w:rsid w:val="00373E46"/>
    <w:rsid w:val="003760AD"/>
    <w:rsid w:val="0037630D"/>
    <w:rsid w:val="003768C0"/>
    <w:rsid w:val="003813B4"/>
    <w:rsid w:val="003813C6"/>
    <w:rsid w:val="00381EA2"/>
    <w:rsid w:val="003823D7"/>
    <w:rsid w:val="00382587"/>
    <w:rsid w:val="00382B4A"/>
    <w:rsid w:val="0038308C"/>
    <w:rsid w:val="00386D13"/>
    <w:rsid w:val="00390910"/>
    <w:rsid w:val="00391A2B"/>
    <w:rsid w:val="00391AD5"/>
    <w:rsid w:val="003921B0"/>
    <w:rsid w:val="00392715"/>
    <w:rsid w:val="00392863"/>
    <w:rsid w:val="003934D2"/>
    <w:rsid w:val="003938AB"/>
    <w:rsid w:val="00393AC6"/>
    <w:rsid w:val="00394CDD"/>
    <w:rsid w:val="0039510E"/>
    <w:rsid w:val="00395348"/>
    <w:rsid w:val="00395CCE"/>
    <w:rsid w:val="003A0133"/>
    <w:rsid w:val="003A120E"/>
    <w:rsid w:val="003A1498"/>
    <w:rsid w:val="003A1C70"/>
    <w:rsid w:val="003A32AF"/>
    <w:rsid w:val="003A4EAE"/>
    <w:rsid w:val="003A5559"/>
    <w:rsid w:val="003A711A"/>
    <w:rsid w:val="003B1543"/>
    <w:rsid w:val="003B47E6"/>
    <w:rsid w:val="003B5E54"/>
    <w:rsid w:val="003B5FC5"/>
    <w:rsid w:val="003B7B3E"/>
    <w:rsid w:val="003C1CA8"/>
    <w:rsid w:val="003C20C5"/>
    <w:rsid w:val="003C20DA"/>
    <w:rsid w:val="003C2340"/>
    <w:rsid w:val="003C3309"/>
    <w:rsid w:val="003C3CA8"/>
    <w:rsid w:val="003C3D3B"/>
    <w:rsid w:val="003C5826"/>
    <w:rsid w:val="003C6C17"/>
    <w:rsid w:val="003D0811"/>
    <w:rsid w:val="003D0829"/>
    <w:rsid w:val="003D1A7F"/>
    <w:rsid w:val="003D234B"/>
    <w:rsid w:val="003D4729"/>
    <w:rsid w:val="003D4822"/>
    <w:rsid w:val="003D4C09"/>
    <w:rsid w:val="003D571E"/>
    <w:rsid w:val="003D5D20"/>
    <w:rsid w:val="003D6BF1"/>
    <w:rsid w:val="003D6CFE"/>
    <w:rsid w:val="003D71B2"/>
    <w:rsid w:val="003E4B19"/>
    <w:rsid w:val="003E6F0F"/>
    <w:rsid w:val="003E71CA"/>
    <w:rsid w:val="003E7EB0"/>
    <w:rsid w:val="003F2DC3"/>
    <w:rsid w:val="003F309C"/>
    <w:rsid w:val="003F38F9"/>
    <w:rsid w:val="003F3949"/>
    <w:rsid w:val="003F6296"/>
    <w:rsid w:val="003F62C6"/>
    <w:rsid w:val="003F71C2"/>
    <w:rsid w:val="003F78C2"/>
    <w:rsid w:val="00400CAC"/>
    <w:rsid w:val="0040124B"/>
    <w:rsid w:val="00401B35"/>
    <w:rsid w:val="00402FD3"/>
    <w:rsid w:val="00403D25"/>
    <w:rsid w:val="00404350"/>
    <w:rsid w:val="0040461F"/>
    <w:rsid w:val="00406B08"/>
    <w:rsid w:val="00412A90"/>
    <w:rsid w:val="00414C42"/>
    <w:rsid w:val="00415567"/>
    <w:rsid w:val="00415737"/>
    <w:rsid w:val="0041661C"/>
    <w:rsid w:val="00416754"/>
    <w:rsid w:val="004167EF"/>
    <w:rsid w:val="00417437"/>
    <w:rsid w:val="004218E5"/>
    <w:rsid w:val="00422437"/>
    <w:rsid w:val="004227CE"/>
    <w:rsid w:val="00422831"/>
    <w:rsid w:val="00424530"/>
    <w:rsid w:val="004246D7"/>
    <w:rsid w:val="004252AA"/>
    <w:rsid w:val="0042585B"/>
    <w:rsid w:val="004265AF"/>
    <w:rsid w:val="00426AD0"/>
    <w:rsid w:val="00430BEB"/>
    <w:rsid w:val="00430D62"/>
    <w:rsid w:val="00430FC8"/>
    <w:rsid w:val="004312C1"/>
    <w:rsid w:val="00431915"/>
    <w:rsid w:val="0043246F"/>
    <w:rsid w:val="00433FCF"/>
    <w:rsid w:val="004346DC"/>
    <w:rsid w:val="00435071"/>
    <w:rsid w:val="00435174"/>
    <w:rsid w:val="00436368"/>
    <w:rsid w:val="00436DA9"/>
    <w:rsid w:val="004419CE"/>
    <w:rsid w:val="00441A0F"/>
    <w:rsid w:val="00442567"/>
    <w:rsid w:val="004431C4"/>
    <w:rsid w:val="004437DC"/>
    <w:rsid w:val="00444C62"/>
    <w:rsid w:val="00444CB6"/>
    <w:rsid w:val="00444F14"/>
    <w:rsid w:val="00446BA7"/>
    <w:rsid w:val="00446E20"/>
    <w:rsid w:val="004472AA"/>
    <w:rsid w:val="00450BDC"/>
    <w:rsid w:val="00452988"/>
    <w:rsid w:val="00452B21"/>
    <w:rsid w:val="00453815"/>
    <w:rsid w:val="00453954"/>
    <w:rsid w:val="00454C1D"/>
    <w:rsid w:val="0045508D"/>
    <w:rsid w:val="0045553F"/>
    <w:rsid w:val="0045744A"/>
    <w:rsid w:val="00460070"/>
    <w:rsid w:val="004628F6"/>
    <w:rsid w:val="00462F89"/>
    <w:rsid w:val="0046333D"/>
    <w:rsid w:val="0046647C"/>
    <w:rsid w:val="0046675F"/>
    <w:rsid w:val="00467122"/>
    <w:rsid w:val="00473576"/>
    <w:rsid w:val="00473981"/>
    <w:rsid w:val="00473CE5"/>
    <w:rsid w:val="00473CEC"/>
    <w:rsid w:val="00474708"/>
    <w:rsid w:val="00475DED"/>
    <w:rsid w:val="00475E6B"/>
    <w:rsid w:val="00480C74"/>
    <w:rsid w:val="0048162E"/>
    <w:rsid w:val="00481E13"/>
    <w:rsid w:val="0048253F"/>
    <w:rsid w:val="0048288A"/>
    <w:rsid w:val="004832F6"/>
    <w:rsid w:val="00483963"/>
    <w:rsid w:val="00484776"/>
    <w:rsid w:val="0048490E"/>
    <w:rsid w:val="00484D64"/>
    <w:rsid w:val="00485439"/>
    <w:rsid w:val="00485840"/>
    <w:rsid w:val="00485B8C"/>
    <w:rsid w:val="00486431"/>
    <w:rsid w:val="00487931"/>
    <w:rsid w:val="00487C43"/>
    <w:rsid w:val="00490191"/>
    <w:rsid w:val="004901E6"/>
    <w:rsid w:val="00491B65"/>
    <w:rsid w:val="004925FD"/>
    <w:rsid w:val="004930FE"/>
    <w:rsid w:val="00494E6A"/>
    <w:rsid w:val="00495A89"/>
    <w:rsid w:val="004970DB"/>
    <w:rsid w:val="004A0F9C"/>
    <w:rsid w:val="004A1778"/>
    <w:rsid w:val="004A3E54"/>
    <w:rsid w:val="004A564A"/>
    <w:rsid w:val="004A5B49"/>
    <w:rsid w:val="004A6EFD"/>
    <w:rsid w:val="004B0550"/>
    <w:rsid w:val="004B361E"/>
    <w:rsid w:val="004B400C"/>
    <w:rsid w:val="004B5C0A"/>
    <w:rsid w:val="004B6B27"/>
    <w:rsid w:val="004B777C"/>
    <w:rsid w:val="004C1832"/>
    <w:rsid w:val="004C1DD3"/>
    <w:rsid w:val="004C353F"/>
    <w:rsid w:val="004C35D0"/>
    <w:rsid w:val="004C3E97"/>
    <w:rsid w:val="004C55D1"/>
    <w:rsid w:val="004C5F62"/>
    <w:rsid w:val="004C6C42"/>
    <w:rsid w:val="004C7FBF"/>
    <w:rsid w:val="004D0B0B"/>
    <w:rsid w:val="004D130D"/>
    <w:rsid w:val="004D2DFA"/>
    <w:rsid w:val="004D3FE3"/>
    <w:rsid w:val="004D404C"/>
    <w:rsid w:val="004D4122"/>
    <w:rsid w:val="004D5B9E"/>
    <w:rsid w:val="004D6220"/>
    <w:rsid w:val="004D6753"/>
    <w:rsid w:val="004E1F41"/>
    <w:rsid w:val="004E2F23"/>
    <w:rsid w:val="004E2FBD"/>
    <w:rsid w:val="004E3F69"/>
    <w:rsid w:val="004E48F8"/>
    <w:rsid w:val="004E565E"/>
    <w:rsid w:val="004E5DF4"/>
    <w:rsid w:val="004E5F4C"/>
    <w:rsid w:val="004E7B09"/>
    <w:rsid w:val="004F2118"/>
    <w:rsid w:val="004F2586"/>
    <w:rsid w:val="004F2E0C"/>
    <w:rsid w:val="004F4662"/>
    <w:rsid w:val="004F6EF1"/>
    <w:rsid w:val="005013B0"/>
    <w:rsid w:val="0050226A"/>
    <w:rsid w:val="0050259B"/>
    <w:rsid w:val="00505630"/>
    <w:rsid w:val="005056FB"/>
    <w:rsid w:val="00505AFA"/>
    <w:rsid w:val="00507839"/>
    <w:rsid w:val="00507CDF"/>
    <w:rsid w:val="00507E3E"/>
    <w:rsid w:val="00507FC4"/>
    <w:rsid w:val="00510636"/>
    <w:rsid w:val="0051088A"/>
    <w:rsid w:val="00511134"/>
    <w:rsid w:val="00511B24"/>
    <w:rsid w:val="00511DD5"/>
    <w:rsid w:val="005130A4"/>
    <w:rsid w:val="005139AB"/>
    <w:rsid w:val="00514928"/>
    <w:rsid w:val="0051518C"/>
    <w:rsid w:val="005169C9"/>
    <w:rsid w:val="005170DB"/>
    <w:rsid w:val="0052174B"/>
    <w:rsid w:val="00521C25"/>
    <w:rsid w:val="00521E66"/>
    <w:rsid w:val="005222E4"/>
    <w:rsid w:val="00522350"/>
    <w:rsid w:val="00522F87"/>
    <w:rsid w:val="00524D40"/>
    <w:rsid w:val="00525551"/>
    <w:rsid w:val="0052559B"/>
    <w:rsid w:val="005263BE"/>
    <w:rsid w:val="00526E70"/>
    <w:rsid w:val="00527321"/>
    <w:rsid w:val="00530A8F"/>
    <w:rsid w:val="00530F52"/>
    <w:rsid w:val="005325D2"/>
    <w:rsid w:val="00534F20"/>
    <w:rsid w:val="005358F3"/>
    <w:rsid w:val="005363BC"/>
    <w:rsid w:val="005378A9"/>
    <w:rsid w:val="0054025E"/>
    <w:rsid w:val="00541B49"/>
    <w:rsid w:val="005425F2"/>
    <w:rsid w:val="00542B61"/>
    <w:rsid w:val="005439B8"/>
    <w:rsid w:val="00543A18"/>
    <w:rsid w:val="00543EA7"/>
    <w:rsid w:val="00544331"/>
    <w:rsid w:val="00544CD9"/>
    <w:rsid w:val="00551702"/>
    <w:rsid w:val="005523D7"/>
    <w:rsid w:val="00552681"/>
    <w:rsid w:val="00552E31"/>
    <w:rsid w:val="00552FCA"/>
    <w:rsid w:val="00553144"/>
    <w:rsid w:val="00555785"/>
    <w:rsid w:val="00557191"/>
    <w:rsid w:val="005625B4"/>
    <w:rsid w:val="00562B4E"/>
    <w:rsid w:val="00562D5D"/>
    <w:rsid w:val="00563342"/>
    <w:rsid w:val="005642A5"/>
    <w:rsid w:val="0056443C"/>
    <w:rsid w:val="00564D77"/>
    <w:rsid w:val="00565A61"/>
    <w:rsid w:val="00566A2C"/>
    <w:rsid w:val="0057074F"/>
    <w:rsid w:val="0057234C"/>
    <w:rsid w:val="005728D0"/>
    <w:rsid w:val="00572B17"/>
    <w:rsid w:val="00573A38"/>
    <w:rsid w:val="00573D4B"/>
    <w:rsid w:val="00573F81"/>
    <w:rsid w:val="00574474"/>
    <w:rsid w:val="00575C04"/>
    <w:rsid w:val="00575DB7"/>
    <w:rsid w:val="00576A91"/>
    <w:rsid w:val="00576F97"/>
    <w:rsid w:val="00577346"/>
    <w:rsid w:val="00581D3C"/>
    <w:rsid w:val="0058248B"/>
    <w:rsid w:val="00583141"/>
    <w:rsid w:val="00583721"/>
    <w:rsid w:val="005846C4"/>
    <w:rsid w:val="00585EA5"/>
    <w:rsid w:val="0058645E"/>
    <w:rsid w:val="005864C1"/>
    <w:rsid w:val="00586BF1"/>
    <w:rsid w:val="00587FB8"/>
    <w:rsid w:val="00591246"/>
    <w:rsid w:val="00591872"/>
    <w:rsid w:val="00591D65"/>
    <w:rsid w:val="00593AE8"/>
    <w:rsid w:val="005948D4"/>
    <w:rsid w:val="00594F73"/>
    <w:rsid w:val="00595069"/>
    <w:rsid w:val="00596874"/>
    <w:rsid w:val="00596E4D"/>
    <w:rsid w:val="005A02CF"/>
    <w:rsid w:val="005A22EA"/>
    <w:rsid w:val="005A4B44"/>
    <w:rsid w:val="005A4C80"/>
    <w:rsid w:val="005A6F8B"/>
    <w:rsid w:val="005B003F"/>
    <w:rsid w:val="005B4067"/>
    <w:rsid w:val="005B4195"/>
    <w:rsid w:val="005B4D8B"/>
    <w:rsid w:val="005B6211"/>
    <w:rsid w:val="005B6930"/>
    <w:rsid w:val="005B72FE"/>
    <w:rsid w:val="005C058C"/>
    <w:rsid w:val="005C1369"/>
    <w:rsid w:val="005C155C"/>
    <w:rsid w:val="005C1CFC"/>
    <w:rsid w:val="005C3CFF"/>
    <w:rsid w:val="005C4FD0"/>
    <w:rsid w:val="005C65E9"/>
    <w:rsid w:val="005C66EA"/>
    <w:rsid w:val="005C7215"/>
    <w:rsid w:val="005D1A33"/>
    <w:rsid w:val="005D4B43"/>
    <w:rsid w:val="005D4E07"/>
    <w:rsid w:val="005D54D1"/>
    <w:rsid w:val="005D743F"/>
    <w:rsid w:val="005E0D1C"/>
    <w:rsid w:val="005E0D25"/>
    <w:rsid w:val="005E0DD8"/>
    <w:rsid w:val="005E14A9"/>
    <w:rsid w:val="005E2D0F"/>
    <w:rsid w:val="005E3450"/>
    <w:rsid w:val="005E3A52"/>
    <w:rsid w:val="005E5549"/>
    <w:rsid w:val="005E5E38"/>
    <w:rsid w:val="005E6C03"/>
    <w:rsid w:val="005E73EF"/>
    <w:rsid w:val="005E7DB7"/>
    <w:rsid w:val="005F026F"/>
    <w:rsid w:val="005F1DEF"/>
    <w:rsid w:val="005F23C2"/>
    <w:rsid w:val="005F2F3C"/>
    <w:rsid w:val="005F38FD"/>
    <w:rsid w:val="005F3C05"/>
    <w:rsid w:val="005F51DE"/>
    <w:rsid w:val="005F6C86"/>
    <w:rsid w:val="005F7396"/>
    <w:rsid w:val="005F73C5"/>
    <w:rsid w:val="00600640"/>
    <w:rsid w:val="0060135B"/>
    <w:rsid w:val="00601389"/>
    <w:rsid w:val="006015BA"/>
    <w:rsid w:val="00601B23"/>
    <w:rsid w:val="006027A3"/>
    <w:rsid w:val="006033F1"/>
    <w:rsid w:val="0060448E"/>
    <w:rsid w:val="0060518E"/>
    <w:rsid w:val="006073B1"/>
    <w:rsid w:val="0060751B"/>
    <w:rsid w:val="00607DCE"/>
    <w:rsid w:val="00610024"/>
    <w:rsid w:val="00612575"/>
    <w:rsid w:val="00613A52"/>
    <w:rsid w:val="00614C6C"/>
    <w:rsid w:val="006162EC"/>
    <w:rsid w:val="00616B3C"/>
    <w:rsid w:val="00616CD5"/>
    <w:rsid w:val="006171CE"/>
    <w:rsid w:val="00617B90"/>
    <w:rsid w:val="00620CE6"/>
    <w:rsid w:val="0062129E"/>
    <w:rsid w:val="00621611"/>
    <w:rsid w:val="00621E7E"/>
    <w:rsid w:val="0062271C"/>
    <w:rsid w:val="00622B6A"/>
    <w:rsid w:val="00622E25"/>
    <w:rsid w:val="006250C4"/>
    <w:rsid w:val="0062581B"/>
    <w:rsid w:val="0062599E"/>
    <w:rsid w:val="006263F4"/>
    <w:rsid w:val="00626B2E"/>
    <w:rsid w:val="006300EC"/>
    <w:rsid w:val="006306DF"/>
    <w:rsid w:val="00630CF8"/>
    <w:rsid w:val="00630F65"/>
    <w:rsid w:val="00633065"/>
    <w:rsid w:val="0063380E"/>
    <w:rsid w:val="00635722"/>
    <w:rsid w:val="00635957"/>
    <w:rsid w:val="00635B32"/>
    <w:rsid w:val="00635C14"/>
    <w:rsid w:val="00635DEE"/>
    <w:rsid w:val="00635EF1"/>
    <w:rsid w:val="00636107"/>
    <w:rsid w:val="0063635C"/>
    <w:rsid w:val="0063644D"/>
    <w:rsid w:val="00636EC2"/>
    <w:rsid w:val="0064286E"/>
    <w:rsid w:val="00642E2C"/>
    <w:rsid w:val="006436BC"/>
    <w:rsid w:val="00644C30"/>
    <w:rsid w:val="00645AE1"/>
    <w:rsid w:val="00647058"/>
    <w:rsid w:val="00651548"/>
    <w:rsid w:val="006518C3"/>
    <w:rsid w:val="006535EC"/>
    <w:rsid w:val="00653648"/>
    <w:rsid w:val="00654853"/>
    <w:rsid w:val="00656DA4"/>
    <w:rsid w:val="00662726"/>
    <w:rsid w:val="00663BB3"/>
    <w:rsid w:val="00663E6E"/>
    <w:rsid w:val="00664E31"/>
    <w:rsid w:val="0066580A"/>
    <w:rsid w:val="00666147"/>
    <w:rsid w:val="00666C5A"/>
    <w:rsid w:val="00667215"/>
    <w:rsid w:val="00667BDB"/>
    <w:rsid w:val="006721BF"/>
    <w:rsid w:val="006740F4"/>
    <w:rsid w:val="00675621"/>
    <w:rsid w:val="006759B3"/>
    <w:rsid w:val="00675C1D"/>
    <w:rsid w:val="00675CE6"/>
    <w:rsid w:val="00676EDD"/>
    <w:rsid w:val="006774EC"/>
    <w:rsid w:val="00677791"/>
    <w:rsid w:val="0068087C"/>
    <w:rsid w:val="00680C37"/>
    <w:rsid w:val="00682E74"/>
    <w:rsid w:val="00683755"/>
    <w:rsid w:val="006843E2"/>
    <w:rsid w:val="0068543A"/>
    <w:rsid w:val="0068569E"/>
    <w:rsid w:val="00686B5E"/>
    <w:rsid w:val="0068755A"/>
    <w:rsid w:val="006877F5"/>
    <w:rsid w:val="00687A76"/>
    <w:rsid w:val="00687CA5"/>
    <w:rsid w:val="00690187"/>
    <w:rsid w:val="006901F9"/>
    <w:rsid w:val="00690BFA"/>
    <w:rsid w:val="006923B9"/>
    <w:rsid w:val="00696358"/>
    <w:rsid w:val="0069661B"/>
    <w:rsid w:val="00696FF2"/>
    <w:rsid w:val="00697584"/>
    <w:rsid w:val="00697DEF"/>
    <w:rsid w:val="006A0829"/>
    <w:rsid w:val="006A0ACB"/>
    <w:rsid w:val="006A2918"/>
    <w:rsid w:val="006A3FAD"/>
    <w:rsid w:val="006A4139"/>
    <w:rsid w:val="006A4BC4"/>
    <w:rsid w:val="006A4BDD"/>
    <w:rsid w:val="006A5B6F"/>
    <w:rsid w:val="006A62B7"/>
    <w:rsid w:val="006A71A6"/>
    <w:rsid w:val="006A73E8"/>
    <w:rsid w:val="006A748D"/>
    <w:rsid w:val="006B082C"/>
    <w:rsid w:val="006B0E6B"/>
    <w:rsid w:val="006B3DBC"/>
    <w:rsid w:val="006B4D6A"/>
    <w:rsid w:val="006B4E50"/>
    <w:rsid w:val="006B4F9A"/>
    <w:rsid w:val="006B53AA"/>
    <w:rsid w:val="006B604A"/>
    <w:rsid w:val="006B6965"/>
    <w:rsid w:val="006B779C"/>
    <w:rsid w:val="006C276D"/>
    <w:rsid w:val="006C27D8"/>
    <w:rsid w:val="006C48BD"/>
    <w:rsid w:val="006C5FF2"/>
    <w:rsid w:val="006C60CF"/>
    <w:rsid w:val="006C7F70"/>
    <w:rsid w:val="006D0423"/>
    <w:rsid w:val="006D0C24"/>
    <w:rsid w:val="006D10F9"/>
    <w:rsid w:val="006D1557"/>
    <w:rsid w:val="006D17A1"/>
    <w:rsid w:val="006D1D8D"/>
    <w:rsid w:val="006D1F0F"/>
    <w:rsid w:val="006D1FFB"/>
    <w:rsid w:val="006D64A4"/>
    <w:rsid w:val="006D687C"/>
    <w:rsid w:val="006D7826"/>
    <w:rsid w:val="006E03BF"/>
    <w:rsid w:val="006E0E4D"/>
    <w:rsid w:val="006E1785"/>
    <w:rsid w:val="006E19C2"/>
    <w:rsid w:val="006E1EED"/>
    <w:rsid w:val="006E2015"/>
    <w:rsid w:val="006E3D8D"/>
    <w:rsid w:val="006E553E"/>
    <w:rsid w:val="006E59B3"/>
    <w:rsid w:val="006F0113"/>
    <w:rsid w:val="006F148F"/>
    <w:rsid w:val="006F2C1A"/>
    <w:rsid w:val="006F320F"/>
    <w:rsid w:val="006F3A28"/>
    <w:rsid w:val="006F3D93"/>
    <w:rsid w:val="006F3E83"/>
    <w:rsid w:val="006F54D2"/>
    <w:rsid w:val="006F5C21"/>
    <w:rsid w:val="006F5EEC"/>
    <w:rsid w:val="006F6B96"/>
    <w:rsid w:val="006F74B9"/>
    <w:rsid w:val="00700648"/>
    <w:rsid w:val="007017A1"/>
    <w:rsid w:val="00701AB7"/>
    <w:rsid w:val="007033FA"/>
    <w:rsid w:val="00703B8E"/>
    <w:rsid w:val="00704E9F"/>
    <w:rsid w:val="007050D4"/>
    <w:rsid w:val="00705A38"/>
    <w:rsid w:val="0070664D"/>
    <w:rsid w:val="00706AB2"/>
    <w:rsid w:val="00707BD6"/>
    <w:rsid w:val="00710911"/>
    <w:rsid w:val="007127EF"/>
    <w:rsid w:val="00712E06"/>
    <w:rsid w:val="00715116"/>
    <w:rsid w:val="00717896"/>
    <w:rsid w:val="00717C6F"/>
    <w:rsid w:val="00720446"/>
    <w:rsid w:val="00720997"/>
    <w:rsid w:val="00720CA1"/>
    <w:rsid w:val="00720F93"/>
    <w:rsid w:val="00721D39"/>
    <w:rsid w:val="00722122"/>
    <w:rsid w:val="00722AED"/>
    <w:rsid w:val="0072577C"/>
    <w:rsid w:val="00726426"/>
    <w:rsid w:val="00727F59"/>
    <w:rsid w:val="00732513"/>
    <w:rsid w:val="00732C44"/>
    <w:rsid w:val="00732CD4"/>
    <w:rsid w:val="00732F96"/>
    <w:rsid w:val="00733B61"/>
    <w:rsid w:val="00734939"/>
    <w:rsid w:val="00734B21"/>
    <w:rsid w:val="00735298"/>
    <w:rsid w:val="00736250"/>
    <w:rsid w:val="00737EBC"/>
    <w:rsid w:val="00740264"/>
    <w:rsid w:val="00740342"/>
    <w:rsid w:val="00740F52"/>
    <w:rsid w:val="007416CC"/>
    <w:rsid w:val="00742252"/>
    <w:rsid w:val="0074442B"/>
    <w:rsid w:val="007446FA"/>
    <w:rsid w:val="00744AE0"/>
    <w:rsid w:val="007466CD"/>
    <w:rsid w:val="007476C9"/>
    <w:rsid w:val="007478D4"/>
    <w:rsid w:val="00747DA7"/>
    <w:rsid w:val="00750729"/>
    <w:rsid w:val="00752E60"/>
    <w:rsid w:val="007536A6"/>
    <w:rsid w:val="007544D9"/>
    <w:rsid w:val="0075481A"/>
    <w:rsid w:val="0075616C"/>
    <w:rsid w:val="0075629F"/>
    <w:rsid w:val="00756671"/>
    <w:rsid w:val="00756F32"/>
    <w:rsid w:val="007572AB"/>
    <w:rsid w:val="00760F77"/>
    <w:rsid w:val="0076187A"/>
    <w:rsid w:val="00763D4E"/>
    <w:rsid w:val="00764C09"/>
    <w:rsid w:val="007656BC"/>
    <w:rsid w:val="007657E1"/>
    <w:rsid w:val="00765930"/>
    <w:rsid w:val="00765CC1"/>
    <w:rsid w:val="00767E2E"/>
    <w:rsid w:val="0077028A"/>
    <w:rsid w:val="007705F8"/>
    <w:rsid w:val="00770F6D"/>
    <w:rsid w:val="0077108E"/>
    <w:rsid w:val="007713D0"/>
    <w:rsid w:val="007718C0"/>
    <w:rsid w:val="00771A00"/>
    <w:rsid w:val="00773D1B"/>
    <w:rsid w:val="00774743"/>
    <w:rsid w:val="00775C32"/>
    <w:rsid w:val="007762B2"/>
    <w:rsid w:val="007762DD"/>
    <w:rsid w:val="007831F9"/>
    <w:rsid w:val="007852DF"/>
    <w:rsid w:val="0078549F"/>
    <w:rsid w:val="00785AB5"/>
    <w:rsid w:val="00785D3C"/>
    <w:rsid w:val="0078641E"/>
    <w:rsid w:val="00791000"/>
    <w:rsid w:val="007914F9"/>
    <w:rsid w:val="00791CDB"/>
    <w:rsid w:val="00792E08"/>
    <w:rsid w:val="00793EC1"/>
    <w:rsid w:val="0079557B"/>
    <w:rsid w:val="007A51B7"/>
    <w:rsid w:val="007A52A6"/>
    <w:rsid w:val="007A54B2"/>
    <w:rsid w:val="007A5741"/>
    <w:rsid w:val="007A584C"/>
    <w:rsid w:val="007A660A"/>
    <w:rsid w:val="007A79F0"/>
    <w:rsid w:val="007B219E"/>
    <w:rsid w:val="007B356C"/>
    <w:rsid w:val="007B3BE5"/>
    <w:rsid w:val="007B4A21"/>
    <w:rsid w:val="007B4D17"/>
    <w:rsid w:val="007B566D"/>
    <w:rsid w:val="007B58F0"/>
    <w:rsid w:val="007B6C15"/>
    <w:rsid w:val="007B71B8"/>
    <w:rsid w:val="007B7235"/>
    <w:rsid w:val="007B7888"/>
    <w:rsid w:val="007C09A5"/>
    <w:rsid w:val="007C1927"/>
    <w:rsid w:val="007C2DCE"/>
    <w:rsid w:val="007C6B88"/>
    <w:rsid w:val="007D21E8"/>
    <w:rsid w:val="007D320B"/>
    <w:rsid w:val="007D3703"/>
    <w:rsid w:val="007D371D"/>
    <w:rsid w:val="007D4539"/>
    <w:rsid w:val="007D46A5"/>
    <w:rsid w:val="007D5CC3"/>
    <w:rsid w:val="007D64F4"/>
    <w:rsid w:val="007D69E5"/>
    <w:rsid w:val="007D6DDA"/>
    <w:rsid w:val="007D7783"/>
    <w:rsid w:val="007D7EB3"/>
    <w:rsid w:val="007D7F4F"/>
    <w:rsid w:val="007E31C3"/>
    <w:rsid w:val="007E42AC"/>
    <w:rsid w:val="007E4350"/>
    <w:rsid w:val="007E43CF"/>
    <w:rsid w:val="007E489C"/>
    <w:rsid w:val="007E5468"/>
    <w:rsid w:val="007E723E"/>
    <w:rsid w:val="007E7C04"/>
    <w:rsid w:val="007E7F41"/>
    <w:rsid w:val="007F034C"/>
    <w:rsid w:val="007F0FE2"/>
    <w:rsid w:val="007F1B68"/>
    <w:rsid w:val="007F3593"/>
    <w:rsid w:val="007F41C8"/>
    <w:rsid w:val="007F5E04"/>
    <w:rsid w:val="007F6D79"/>
    <w:rsid w:val="007F6DD6"/>
    <w:rsid w:val="007F7BC6"/>
    <w:rsid w:val="007F7D81"/>
    <w:rsid w:val="00801032"/>
    <w:rsid w:val="00801274"/>
    <w:rsid w:val="00802D9B"/>
    <w:rsid w:val="00803529"/>
    <w:rsid w:val="00803B96"/>
    <w:rsid w:val="00804067"/>
    <w:rsid w:val="008054AA"/>
    <w:rsid w:val="0080556E"/>
    <w:rsid w:val="00805CD6"/>
    <w:rsid w:val="00806A37"/>
    <w:rsid w:val="00806EDA"/>
    <w:rsid w:val="008072B5"/>
    <w:rsid w:val="00807BF2"/>
    <w:rsid w:val="00807D62"/>
    <w:rsid w:val="00810503"/>
    <w:rsid w:val="008124A2"/>
    <w:rsid w:val="00812694"/>
    <w:rsid w:val="00812990"/>
    <w:rsid w:val="00813131"/>
    <w:rsid w:val="008131C9"/>
    <w:rsid w:val="00813E00"/>
    <w:rsid w:val="00815C33"/>
    <w:rsid w:val="00817767"/>
    <w:rsid w:val="0082111D"/>
    <w:rsid w:val="00821700"/>
    <w:rsid w:val="00825223"/>
    <w:rsid w:val="008252C6"/>
    <w:rsid w:val="008262A1"/>
    <w:rsid w:val="0082721D"/>
    <w:rsid w:val="008273EC"/>
    <w:rsid w:val="00827A0F"/>
    <w:rsid w:val="00827D33"/>
    <w:rsid w:val="00832FD6"/>
    <w:rsid w:val="008332A7"/>
    <w:rsid w:val="008339EF"/>
    <w:rsid w:val="00834E05"/>
    <w:rsid w:val="008365AA"/>
    <w:rsid w:val="00837868"/>
    <w:rsid w:val="00837962"/>
    <w:rsid w:val="00842645"/>
    <w:rsid w:val="008446ED"/>
    <w:rsid w:val="00845042"/>
    <w:rsid w:val="00845A8F"/>
    <w:rsid w:val="00845C04"/>
    <w:rsid w:val="00845EF3"/>
    <w:rsid w:val="0084661E"/>
    <w:rsid w:val="008466A5"/>
    <w:rsid w:val="008467CC"/>
    <w:rsid w:val="0084723A"/>
    <w:rsid w:val="00847FC8"/>
    <w:rsid w:val="0085034E"/>
    <w:rsid w:val="008519DB"/>
    <w:rsid w:val="00851FCF"/>
    <w:rsid w:val="00854B93"/>
    <w:rsid w:val="008550F1"/>
    <w:rsid w:val="008563E6"/>
    <w:rsid w:val="00857114"/>
    <w:rsid w:val="0085718C"/>
    <w:rsid w:val="0086170A"/>
    <w:rsid w:val="008618DA"/>
    <w:rsid w:val="00861F0D"/>
    <w:rsid w:val="00862556"/>
    <w:rsid w:val="008629C4"/>
    <w:rsid w:val="00863003"/>
    <w:rsid w:val="00863AED"/>
    <w:rsid w:val="00864365"/>
    <w:rsid w:val="0086444C"/>
    <w:rsid w:val="00865E63"/>
    <w:rsid w:val="008668C3"/>
    <w:rsid w:val="00866FAC"/>
    <w:rsid w:val="00871385"/>
    <w:rsid w:val="00871703"/>
    <w:rsid w:val="00872DE7"/>
    <w:rsid w:val="00872FBD"/>
    <w:rsid w:val="008734EA"/>
    <w:rsid w:val="008748D8"/>
    <w:rsid w:val="00876202"/>
    <w:rsid w:val="0087641A"/>
    <w:rsid w:val="008768DE"/>
    <w:rsid w:val="00876A35"/>
    <w:rsid w:val="00881174"/>
    <w:rsid w:val="0088166E"/>
    <w:rsid w:val="00882122"/>
    <w:rsid w:val="008852D5"/>
    <w:rsid w:val="008854FE"/>
    <w:rsid w:val="00885DD6"/>
    <w:rsid w:val="00886517"/>
    <w:rsid w:val="00891ADA"/>
    <w:rsid w:val="008920BA"/>
    <w:rsid w:val="00892E78"/>
    <w:rsid w:val="0089320C"/>
    <w:rsid w:val="008939B6"/>
    <w:rsid w:val="008962E6"/>
    <w:rsid w:val="0089638E"/>
    <w:rsid w:val="008965BB"/>
    <w:rsid w:val="008965C6"/>
    <w:rsid w:val="0089677B"/>
    <w:rsid w:val="008971D2"/>
    <w:rsid w:val="008A169A"/>
    <w:rsid w:val="008A2DDB"/>
    <w:rsid w:val="008A4107"/>
    <w:rsid w:val="008A45E0"/>
    <w:rsid w:val="008A4FA8"/>
    <w:rsid w:val="008A56EC"/>
    <w:rsid w:val="008A59B5"/>
    <w:rsid w:val="008A5C54"/>
    <w:rsid w:val="008A683B"/>
    <w:rsid w:val="008B1769"/>
    <w:rsid w:val="008B1CF8"/>
    <w:rsid w:val="008B1F1C"/>
    <w:rsid w:val="008B3015"/>
    <w:rsid w:val="008B5362"/>
    <w:rsid w:val="008B69CC"/>
    <w:rsid w:val="008C1B6B"/>
    <w:rsid w:val="008C22D6"/>
    <w:rsid w:val="008C2B71"/>
    <w:rsid w:val="008C3148"/>
    <w:rsid w:val="008C3461"/>
    <w:rsid w:val="008C4884"/>
    <w:rsid w:val="008D161B"/>
    <w:rsid w:val="008D3287"/>
    <w:rsid w:val="008D3ED3"/>
    <w:rsid w:val="008D3ED7"/>
    <w:rsid w:val="008D5212"/>
    <w:rsid w:val="008D55DB"/>
    <w:rsid w:val="008D6898"/>
    <w:rsid w:val="008D6CB3"/>
    <w:rsid w:val="008D70BE"/>
    <w:rsid w:val="008D70F6"/>
    <w:rsid w:val="008D7946"/>
    <w:rsid w:val="008D7C8D"/>
    <w:rsid w:val="008E07CE"/>
    <w:rsid w:val="008E1F86"/>
    <w:rsid w:val="008E343A"/>
    <w:rsid w:val="008E528B"/>
    <w:rsid w:val="008E5D54"/>
    <w:rsid w:val="008E5FCA"/>
    <w:rsid w:val="008E6011"/>
    <w:rsid w:val="008E6403"/>
    <w:rsid w:val="008F0C16"/>
    <w:rsid w:val="008F1108"/>
    <w:rsid w:val="008F16A2"/>
    <w:rsid w:val="008F2979"/>
    <w:rsid w:val="008F3094"/>
    <w:rsid w:val="008F33EA"/>
    <w:rsid w:val="008F5200"/>
    <w:rsid w:val="008F5369"/>
    <w:rsid w:val="008F6898"/>
    <w:rsid w:val="0090069E"/>
    <w:rsid w:val="00900DE5"/>
    <w:rsid w:val="00902CF4"/>
    <w:rsid w:val="0090398C"/>
    <w:rsid w:val="0090455F"/>
    <w:rsid w:val="00904841"/>
    <w:rsid w:val="0090588C"/>
    <w:rsid w:val="00906DE1"/>
    <w:rsid w:val="00907277"/>
    <w:rsid w:val="00907394"/>
    <w:rsid w:val="009074C8"/>
    <w:rsid w:val="00912AB1"/>
    <w:rsid w:val="009144FB"/>
    <w:rsid w:val="00914646"/>
    <w:rsid w:val="00914982"/>
    <w:rsid w:val="00915473"/>
    <w:rsid w:val="00915C8D"/>
    <w:rsid w:val="00916FE2"/>
    <w:rsid w:val="00917522"/>
    <w:rsid w:val="0092194E"/>
    <w:rsid w:val="00922AC6"/>
    <w:rsid w:val="009231AB"/>
    <w:rsid w:val="00923563"/>
    <w:rsid w:val="00923FE8"/>
    <w:rsid w:val="00924977"/>
    <w:rsid w:val="00924A18"/>
    <w:rsid w:val="00924FF4"/>
    <w:rsid w:val="0092544E"/>
    <w:rsid w:val="0092633E"/>
    <w:rsid w:val="009306F4"/>
    <w:rsid w:val="00930EE3"/>
    <w:rsid w:val="009362A3"/>
    <w:rsid w:val="00936423"/>
    <w:rsid w:val="00940617"/>
    <w:rsid w:val="009409E1"/>
    <w:rsid w:val="00941251"/>
    <w:rsid w:val="00942752"/>
    <w:rsid w:val="009427D5"/>
    <w:rsid w:val="00943419"/>
    <w:rsid w:val="0094364D"/>
    <w:rsid w:val="00943A57"/>
    <w:rsid w:val="00943B3C"/>
    <w:rsid w:val="00943D4D"/>
    <w:rsid w:val="00945E2F"/>
    <w:rsid w:val="00946B00"/>
    <w:rsid w:val="00946B0A"/>
    <w:rsid w:val="009471B7"/>
    <w:rsid w:val="00950928"/>
    <w:rsid w:val="0095095D"/>
    <w:rsid w:val="00950A04"/>
    <w:rsid w:val="00950ADA"/>
    <w:rsid w:val="00951099"/>
    <w:rsid w:val="009520C0"/>
    <w:rsid w:val="00954154"/>
    <w:rsid w:val="00954F62"/>
    <w:rsid w:val="009566FF"/>
    <w:rsid w:val="00956986"/>
    <w:rsid w:val="009576C4"/>
    <w:rsid w:val="0096260B"/>
    <w:rsid w:val="00963469"/>
    <w:rsid w:val="0096510D"/>
    <w:rsid w:val="00965BE5"/>
    <w:rsid w:val="00965F17"/>
    <w:rsid w:val="00966A82"/>
    <w:rsid w:val="009670D4"/>
    <w:rsid w:val="00967CD8"/>
    <w:rsid w:val="00970716"/>
    <w:rsid w:val="00970C26"/>
    <w:rsid w:val="00970F1E"/>
    <w:rsid w:val="0097186B"/>
    <w:rsid w:val="00971EEF"/>
    <w:rsid w:val="0097281C"/>
    <w:rsid w:val="0097303A"/>
    <w:rsid w:val="00974158"/>
    <w:rsid w:val="00974BDF"/>
    <w:rsid w:val="009757E4"/>
    <w:rsid w:val="00976501"/>
    <w:rsid w:val="0097703D"/>
    <w:rsid w:val="00980C07"/>
    <w:rsid w:val="0098157D"/>
    <w:rsid w:val="00982437"/>
    <w:rsid w:val="00982476"/>
    <w:rsid w:val="00983A96"/>
    <w:rsid w:val="00986912"/>
    <w:rsid w:val="009900ED"/>
    <w:rsid w:val="00990B12"/>
    <w:rsid w:val="00991C44"/>
    <w:rsid w:val="009922BB"/>
    <w:rsid w:val="009934DC"/>
    <w:rsid w:val="00993B6E"/>
    <w:rsid w:val="00993DA4"/>
    <w:rsid w:val="00994EBF"/>
    <w:rsid w:val="009955C4"/>
    <w:rsid w:val="009955E7"/>
    <w:rsid w:val="0099648D"/>
    <w:rsid w:val="00996587"/>
    <w:rsid w:val="00997D92"/>
    <w:rsid w:val="009A127D"/>
    <w:rsid w:val="009A143E"/>
    <w:rsid w:val="009A2478"/>
    <w:rsid w:val="009A5C63"/>
    <w:rsid w:val="009A6B55"/>
    <w:rsid w:val="009A7605"/>
    <w:rsid w:val="009A7C98"/>
    <w:rsid w:val="009A7DDB"/>
    <w:rsid w:val="009B13EE"/>
    <w:rsid w:val="009B245B"/>
    <w:rsid w:val="009B2CFF"/>
    <w:rsid w:val="009B5DE0"/>
    <w:rsid w:val="009B5E14"/>
    <w:rsid w:val="009B744A"/>
    <w:rsid w:val="009B75C3"/>
    <w:rsid w:val="009B7689"/>
    <w:rsid w:val="009C04C2"/>
    <w:rsid w:val="009C0CE5"/>
    <w:rsid w:val="009C176F"/>
    <w:rsid w:val="009C19BF"/>
    <w:rsid w:val="009C2612"/>
    <w:rsid w:val="009C33B0"/>
    <w:rsid w:val="009C53B3"/>
    <w:rsid w:val="009D0015"/>
    <w:rsid w:val="009D12F4"/>
    <w:rsid w:val="009D195A"/>
    <w:rsid w:val="009D2E4E"/>
    <w:rsid w:val="009D42AD"/>
    <w:rsid w:val="009D4DE8"/>
    <w:rsid w:val="009D64D4"/>
    <w:rsid w:val="009D7A9E"/>
    <w:rsid w:val="009E07EF"/>
    <w:rsid w:val="009E0B7E"/>
    <w:rsid w:val="009E2079"/>
    <w:rsid w:val="009E2E1B"/>
    <w:rsid w:val="009E2FDA"/>
    <w:rsid w:val="009E3BBC"/>
    <w:rsid w:val="009E4625"/>
    <w:rsid w:val="009E498B"/>
    <w:rsid w:val="009E76E9"/>
    <w:rsid w:val="009E7DDA"/>
    <w:rsid w:val="009F08B4"/>
    <w:rsid w:val="009F22EA"/>
    <w:rsid w:val="009F2389"/>
    <w:rsid w:val="009F2DB8"/>
    <w:rsid w:val="009F34F0"/>
    <w:rsid w:val="009F480D"/>
    <w:rsid w:val="009F490A"/>
    <w:rsid w:val="009F6DD2"/>
    <w:rsid w:val="009F7379"/>
    <w:rsid w:val="00A00610"/>
    <w:rsid w:val="00A01AFA"/>
    <w:rsid w:val="00A03121"/>
    <w:rsid w:val="00A035E4"/>
    <w:rsid w:val="00A03927"/>
    <w:rsid w:val="00A044D0"/>
    <w:rsid w:val="00A04DBA"/>
    <w:rsid w:val="00A06BD5"/>
    <w:rsid w:val="00A107F3"/>
    <w:rsid w:val="00A10B58"/>
    <w:rsid w:val="00A128EB"/>
    <w:rsid w:val="00A13B40"/>
    <w:rsid w:val="00A15B4D"/>
    <w:rsid w:val="00A15E5F"/>
    <w:rsid w:val="00A17513"/>
    <w:rsid w:val="00A17788"/>
    <w:rsid w:val="00A17EF3"/>
    <w:rsid w:val="00A20464"/>
    <w:rsid w:val="00A20BF5"/>
    <w:rsid w:val="00A226D2"/>
    <w:rsid w:val="00A22CF4"/>
    <w:rsid w:val="00A23D27"/>
    <w:rsid w:val="00A25166"/>
    <w:rsid w:val="00A26183"/>
    <w:rsid w:val="00A26267"/>
    <w:rsid w:val="00A269E3"/>
    <w:rsid w:val="00A26E1D"/>
    <w:rsid w:val="00A308E0"/>
    <w:rsid w:val="00A31011"/>
    <w:rsid w:val="00A32DB3"/>
    <w:rsid w:val="00A32FDF"/>
    <w:rsid w:val="00A32FFE"/>
    <w:rsid w:val="00A33DD6"/>
    <w:rsid w:val="00A33EB2"/>
    <w:rsid w:val="00A34F4F"/>
    <w:rsid w:val="00A350EB"/>
    <w:rsid w:val="00A35C5D"/>
    <w:rsid w:val="00A40AF1"/>
    <w:rsid w:val="00A40C22"/>
    <w:rsid w:val="00A4123B"/>
    <w:rsid w:val="00A43478"/>
    <w:rsid w:val="00A4482F"/>
    <w:rsid w:val="00A454BA"/>
    <w:rsid w:val="00A45B9A"/>
    <w:rsid w:val="00A45DCC"/>
    <w:rsid w:val="00A46B6C"/>
    <w:rsid w:val="00A47058"/>
    <w:rsid w:val="00A473F4"/>
    <w:rsid w:val="00A47A21"/>
    <w:rsid w:val="00A47B13"/>
    <w:rsid w:val="00A50C81"/>
    <w:rsid w:val="00A52569"/>
    <w:rsid w:val="00A52BB5"/>
    <w:rsid w:val="00A532DD"/>
    <w:rsid w:val="00A54470"/>
    <w:rsid w:val="00A5465A"/>
    <w:rsid w:val="00A55386"/>
    <w:rsid w:val="00A55D05"/>
    <w:rsid w:val="00A563A4"/>
    <w:rsid w:val="00A563E8"/>
    <w:rsid w:val="00A56913"/>
    <w:rsid w:val="00A57131"/>
    <w:rsid w:val="00A57B29"/>
    <w:rsid w:val="00A57D11"/>
    <w:rsid w:val="00A57E53"/>
    <w:rsid w:val="00A57F0F"/>
    <w:rsid w:val="00A604E8"/>
    <w:rsid w:val="00A60E13"/>
    <w:rsid w:val="00A62043"/>
    <w:rsid w:val="00A63D17"/>
    <w:rsid w:val="00A63E50"/>
    <w:rsid w:val="00A642CD"/>
    <w:rsid w:val="00A66595"/>
    <w:rsid w:val="00A702ED"/>
    <w:rsid w:val="00A70A92"/>
    <w:rsid w:val="00A71923"/>
    <w:rsid w:val="00A7320B"/>
    <w:rsid w:val="00A73CDA"/>
    <w:rsid w:val="00A73D66"/>
    <w:rsid w:val="00A749FB"/>
    <w:rsid w:val="00A750B1"/>
    <w:rsid w:val="00A75E72"/>
    <w:rsid w:val="00A76C20"/>
    <w:rsid w:val="00A7712C"/>
    <w:rsid w:val="00A8053F"/>
    <w:rsid w:val="00A81356"/>
    <w:rsid w:val="00A81547"/>
    <w:rsid w:val="00A8430B"/>
    <w:rsid w:val="00A84659"/>
    <w:rsid w:val="00A84853"/>
    <w:rsid w:val="00A84942"/>
    <w:rsid w:val="00A85F20"/>
    <w:rsid w:val="00A905FC"/>
    <w:rsid w:val="00A90E53"/>
    <w:rsid w:val="00A913AE"/>
    <w:rsid w:val="00A9156E"/>
    <w:rsid w:val="00A9178E"/>
    <w:rsid w:val="00A929D3"/>
    <w:rsid w:val="00A930F1"/>
    <w:rsid w:val="00A9371E"/>
    <w:rsid w:val="00A940A1"/>
    <w:rsid w:val="00A94D3C"/>
    <w:rsid w:val="00A95F7D"/>
    <w:rsid w:val="00A96318"/>
    <w:rsid w:val="00A974F3"/>
    <w:rsid w:val="00AA0FD5"/>
    <w:rsid w:val="00AA3398"/>
    <w:rsid w:val="00AA5133"/>
    <w:rsid w:val="00AA53D0"/>
    <w:rsid w:val="00AA7781"/>
    <w:rsid w:val="00AA785D"/>
    <w:rsid w:val="00AB034A"/>
    <w:rsid w:val="00AB08FD"/>
    <w:rsid w:val="00AB1004"/>
    <w:rsid w:val="00AB15E2"/>
    <w:rsid w:val="00AB38B2"/>
    <w:rsid w:val="00AB3E17"/>
    <w:rsid w:val="00AB3E43"/>
    <w:rsid w:val="00AB6F96"/>
    <w:rsid w:val="00AB74CC"/>
    <w:rsid w:val="00AC16C4"/>
    <w:rsid w:val="00AC2C36"/>
    <w:rsid w:val="00AC3178"/>
    <w:rsid w:val="00AC31AB"/>
    <w:rsid w:val="00AC3EEA"/>
    <w:rsid w:val="00AC50C9"/>
    <w:rsid w:val="00AC53EA"/>
    <w:rsid w:val="00AC572F"/>
    <w:rsid w:val="00AD1A46"/>
    <w:rsid w:val="00AD253A"/>
    <w:rsid w:val="00AD581F"/>
    <w:rsid w:val="00AD6763"/>
    <w:rsid w:val="00AD69B9"/>
    <w:rsid w:val="00AD6C57"/>
    <w:rsid w:val="00AD7D1A"/>
    <w:rsid w:val="00AE067D"/>
    <w:rsid w:val="00AE0887"/>
    <w:rsid w:val="00AE0C67"/>
    <w:rsid w:val="00AE0F45"/>
    <w:rsid w:val="00AE0FCD"/>
    <w:rsid w:val="00AE6FB6"/>
    <w:rsid w:val="00AE76CD"/>
    <w:rsid w:val="00AE7748"/>
    <w:rsid w:val="00AF07BA"/>
    <w:rsid w:val="00AF0C14"/>
    <w:rsid w:val="00AF0C77"/>
    <w:rsid w:val="00AF0CBD"/>
    <w:rsid w:val="00AF3191"/>
    <w:rsid w:val="00AF3448"/>
    <w:rsid w:val="00B002F6"/>
    <w:rsid w:val="00B00481"/>
    <w:rsid w:val="00B01684"/>
    <w:rsid w:val="00B04736"/>
    <w:rsid w:val="00B04C15"/>
    <w:rsid w:val="00B0502C"/>
    <w:rsid w:val="00B0602E"/>
    <w:rsid w:val="00B06B0A"/>
    <w:rsid w:val="00B06E18"/>
    <w:rsid w:val="00B118D0"/>
    <w:rsid w:val="00B12CF3"/>
    <w:rsid w:val="00B137BA"/>
    <w:rsid w:val="00B14502"/>
    <w:rsid w:val="00B14DA6"/>
    <w:rsid w:val="00B15132"/>
    <w:rsid w:val="00B15BB1"/>
    <w:rsid w:val="00B1738A"/>
    <w:rsid w:val="00B1776A"/>
    <w:rsid w:val="00B20E04"/>
    <w:rsid w:val="00B247E0"/>
    <w:rsid w:val="00B24A6C"/>
    <w:rsid w:val="00B26742"/>
    <w:rsid w:val="00B26E26"/>
    <w:rsid w:val="00B27B12"/>
    <w:rsid w:val="00B30257"/>
    <w:rsid w:val="00B3039C"/>
    <w:rsid w:val="00B3042A"/>
    <w:rsid w:val="00B310D6"/>
    <w:rsid w:val="00B3129F"/>
    <w:rsid w:val="00B32B73"/>
    <w:rsid w:val="00B335AB"/>
    <w:rsid w:val="00B3389E"/>
    <w:rsid w:val="00B34884"/>
    <w:rsid w:val="00B35A95"/>
    <w:rsid w:val="00B35D8C"/>
    <w:rsid w:val="00B3757B"/>
    <w:rsid w:val="00B37645"/>
    <w:rsid w:val="00B376CE"/>
    <w:rsid w:val="00B37A5F"/>
    <w:rsid w:val="00B37ADF"/>
    <w:rsid w:val="00B404D7"/>
    <w:rsid w:val="00B40992"/>
    <w:rsid w:val="00B41BBA"/>
    <w:rsid w:val="00B41EA2"/>
    <w:rsid w:val="00B42BCC"/>
    <w:rsid w:val="00B43314"/>
    <w:rsid w:val="00B43522"/>
    <w:rsid w:val="00B435DD"/>
    <w:rsid w:val="00B43FA7"/>
    <w:rsid w:val="00B442EC"/>
    <w:rsid w:val="00B466A6"/>
    <w:rsid w:val="00B46B5A"/>
    <w:rsid w:val="00B47A04"/>
    <w:rsid w:val="00B5014F"/>
    <w:rsid w:val="00B510B7"/>
    <w:rsid w:val="00B51859"/>
    <w:rsid w:val="00B51C5A"/>
    <w:rsid w:val="00B523BC"/>
    <w:rsid w:val="00B52F28"/>
    <w:rsid w:val="00B53B17"/>
    <w:rsid w:val="00B55E52"/>
    <w:rsid w:val="00B56468"/>
    <w:rsid w:val="00B56975"/>
    <w:rsid w:val="00B570DB"/>
    <w:rsid w:val="00B57491"/>
    <w:rsid w:val="00B60A5F"/>
    <w:rsid w:val="00B610B0"/>
    <w:rsid w:val="00B612B5"/>
    <w:rsid w:val="00B631EC"/>
    <w:rsid w:val="00B657F6"/>
    <w:rsid w:val="00B661AE"/>
    <w:rsid w:val="00B668AB"/>
    <w:rsid w:val="00B67BCD"/>
    <w:rsid w:val="00B70A8A"/>
    <w:rsid w:val="00B70D70"/>
    <w:rsid w:val="00B71F29"/>
    <w:rsid w:val="00B72564"/>
    <w:rsid w:val="00B73CDD"/>
    <w:rsid w:val="00B74E7D"/>
    <w:rsid w:val="00B75206"/>
    <w:rsid w:val="00B76A98"/>
    <w:rsid w:val="00B81161"/>
    <w:rsid w:val="00B81343"/>
    <w:rsid w:val="00B8180C"/>
    <w:rsid w:val="00B81DC5"/>
    <w:rsid w:val="00B82023"/>
    <w:rsid w:val="00B84B25"/>
    <w:rsid w:val="00B8523D"/>
    <w:rsid w:val="00B85469"/>
    <w:rsid w:val="00B85636"/>
    <w:rsid w:val="00B86128"/>
    <w:rsid w:val="00B863E2"/>
    <w:rsid w:val="00B86422"/>
    <w:rsid w:val="00B86A8D"/>
    <w:rsid w:val="00B87F68"/>
    <w:rsid w:val="00B9003F"/>
    <w:rsid w:val="00B9193E"/>
    <w:rsid w:val="00B92154"/>
    <w:rsid w:val="00B92F56"/>
    <w:rsid w:val="00B93473"/>
    <w:rsid w:val="00B9354D"/>
    <w:rsid w:val="00B939B6"/>
    <w:rsid w:val="00B93CA2"/>
    <w:rsid w:val="00BA018D"/>
    <w:rsid w:val="00BA14DF"/>
    <w:rsid w:val="00BA1571"/>
    <w:rsid w:val="00BA1B83"/>
    <w:rsid w:val="00BA4979"/>
    <w:rsid w:val="00BA4D5E"/>
    <w:rsid w:val="00BA502F"/>
    <w:rsid w:val="00BA52C7"/>
    <w:rsid w:val="00BA53E4"/>
    <w:rsid w:val="00BA71D3"/>
    <w:rsid w:val="00BA75CC"/>
    <w:rsid w:val="00BA766E"/>
    <w:rsid w:val="00BB00F8"/>
    <w:rsid w:val="00BB017B"/>
    <w:rsid w:val="00BB0618"/>
    <w:rsid w:val="00BB217F"/>
    <w:rsid w:val="00BB2228"/>
    <w:rsid w:val="00BB25A5"/>
    <w:rsid w:val="00BB45E0"/>
    <w:rsid w:val="00BB5183"/>
    <w:rsid w:val="00BC155C"/>
    <w:rsid w:val="00BC1EE0"/>
    <w:rsid w:val="00BC37B9"/>
    <w:rsid w:val="00BC54F8"/>
    <w:rsid w:val="00BC5A7E"/>
    <w:rsid w:val="00BC7552"/>
    <w:rsid w:val="00BC76E5"/>
    <w:rsid w:val="00BC779E"/>
    <w:rsid w:val="00BD02A7"/>
    <w:rsid w:val="00BD160B"/>
    <w:rsid w:val="00BD1FED"/>
    <w:rsid w:val="00BD2707"/>
    <w:rsid w:val="00BD2C41"/>
    <w:rsid w:val="00BD764C"/>
    <w:rsid w:val="00BD78BA"/>
    <w:rsid w:val="00BE066F"/>
    <w:rsid w:val="00BE0D2B"/>
    <w:rsid w:val="00BE11D3"/>
    <w:rsid w:val="00BE1326"/>
    <w:rsid w:val="00BE1908"/>
    <w:rsid w:val="00BE203C"/>
    <w:rsid w:val="00BE2B6B"/>
    <w:rsid w:val="00BE3164"/>
    <w:rsid w:val="00BE37A5"/>
    <w:rsid w:val="00BE3F33"/>
    <w:rsid w:val="00BE4729"/>
    <w:rsid w:val="00BE5CF5"/>
    <w:rsid w:val="00BF1001"/>
    <w:rsid w:val="00BF1A03"/>
    <w:rsid w:val="00BF1CF0"/>
    <w:rsid w:val="00BF3AE8"/>
    <w:rsid w:val="00BF3C62"/>
    <w:rsid w:val="00BF4B5E"/>
    <w:rsid w:val="00BF4E1F"/>
    <w:rsid w:val="00BF506B"/>
    <w:rsid w:val="00BF6A36"/>
    <w:rsid w:val="00BF7489"/>
    <w:rsid w:val="00C003DC"/>
    <w:rsid w:val="00C0078B"/>
    <w:rsid w:val="00C00CD5"/>
    <w:rsid w:val="00C044AF"/>
    <w:rsid w:val="00C052F1"/>
    <w:rsid w:val="00C055D2"/>
    <w:rsid w:val="00C05F43"/>
    <w:rsid w:val="00C071E5"/>
    <w:rsid w:val="00C07ECC"/>
    <w:rsid w:val="00C11A3D"/>
    <w:rsid w:val="00C129C9"/>
    <w:rsid w:val="00C12FE4"/>
    <w:rsid w:val="00C150AE"/>
    <w:rsid w:val="00C156D2"/>
    <w:rsid w:val="00C1703E"/>
    <w:rsid w:val="00C17395"/>
    <w:rsid w:val="00C1769B"/>
    <w:rsid w:val="00C20DBB"/>
    <w:rsid w:val="00C21600"/>
    <w:rsid w:val="00C21922"/>
    <w:rsid w:val="00C21A10"/>
    <w:rsid w:val="00C25800"/>
    <w:rsid w:val="00C3055E"/>
    <w:rsid w:val="00C30D58"/>
    <w:rsid w:val="00C318C5"/>
    <w:rsid w:val="00C31DD7"/>
    <w:rsid w:val="00C31FB1"/>
    <w:rsid w:val="00C33127"/>
    <w:rsid w:val="00C33D36"/>
    <w:rsid w:val="00C340D3"/>
    <w:rsid w:val="00C346B2"/>
    <w:rsid w:val="00C35588"/>
    <w:rsid w:val="00C362DC"/>
    <w:rsid w:val="00C3707A"/>
    <w:rsid w:val="00C373A5"/>
    <w:rsid w:val="00C40286"/>
    <w:rsid w:val="00C40357"/>
    <w:rsid w:val="00C40AC1"/>
    <w:rsid w:val="00C40C72"/>
    <w:rsid w:val="00C4223A"/>
    <w:rsid w:val="00C422EA"/>
    <w:rsid w:val="00C46246"/>
    <w:rsid w:val="00C46543"/>
    <w:rsid w:val="00C47140"/>
    <w:rsid w:val="00C47277"/>
    <w:rsid w:val="00C473B0"/>
    <w:rsid w:val="00C4744A"/>
    <w:rsid w:val="00C47D56"/>
    <w:rsid w:val="00C5017F"/>
    <w:rsid w:val="00C50A69"/>
    <w:rsid w:val="00C51070"/>
    <w:rsid w:val="00C53720"/>
    <w:rsid w:val="00C53FC8"/>
    <w:rsid w:val="00C546AA"/>
    <w:rsid w:val="00C55BF0"/>
    <w:rsid w:val="00C560D0"/>
    <w:rsid w:val="00C562CB"/>
    <w:rsid w:val="00C56B0B"/>
    <w:rsid w:val="00C600E7"/>
    <w:rsid w:val="00C61890"/>
    <w:rsid w:val="00C63852"/>
    <w:rsid w:val="00C638D3"/>
    <w:rsid w:val="00C64AFA"/>
    <w:rsid w:val="00C659A7"/>
    <w:rsid w:val="00C65A17"/>
    <w:rsid w:val="00C65D22"/>
    <w:rsid w:val="00C65DF0"/>
    <w:rsid w:val="00C664EF"/>
    <w:rsid w:val="00C67D2E"/>
    <w:rsid w:val="00C70F1C"/>
    <w:rsid w:val="00C72127"/>
    <w:rsid w:val="00C72958"/>
    <w:rsid w:val="00C742A7"/>
    <w:rsid w:val="00C766D7"/>
    <w:rsid w:val="00C82602"/>
    <w:rsid w:val="00C831C8"/>
    <w:rsid w:val="00C833BF"/>
    <w:rsid w:val="00C84009"/>
    <w:rsid w:val="00C86297"/>
    <w:rsid w:val="00C91E02"/>
    <w:rsid w:val="00C9266B"/>
    <w:rsid w:val="00C93645"/>
    <w:rsid w:val="00C93816"/>
    <w:rsid w:val="00CA12EF"/>
    <w:rsid w:val="00CA24D2"/>
    <w:rsid w:val="00CA266F"/>
    <w:rsid w:val="00CA2F38"/>
    <w:rsid w:val="00CA35A8"/>
    <w:rsid w:val="00CA4684"/>
    <w:rsid w:val="00CA5856"/>
    <w:rsid w:val="00CA6317"/>
    <w:rsid w:val="00CB07C1"/>
    <w:rsid w:val="00CB198A"/>
    <w:rsid w:val="00CB3879"/>
    <w:rsid w:val="00CB3982"/>
    <w:rsid w:val="00CB4BBA"/>
    <w:rsid w:val="00CB53E3"/>
    <w:rsid w:val="00CB6A52"/>
    <w:rsid w:val="00CB74A4"/>
    <w:rsid w:val="00CB78FA"/>
    <w:rsid w:val="00CC0C2F"/>
    <w:rsid w:val="00CC106A"/>
    <w:rsid w:val="00CC2595"/>
    <w:rsid w:val="00CC3262"/>
    <w:rsid w:val="00CC3673"/>
    <w:rsid w:val="00CC482E"/>
    <w:rsid w:val="00CC505A"/>
    <w:rsid w:val="00CC5B5E"/>
    <w:rsid w:val="00CC5FFF"/>
    <w:rsid w:val="00CD03DF"/>
    <w:rsid w:val="00CD094A"/>
    <w:rsid w:val="00CD0FF4"/>
    <w:rsid w:val="00CD246D"/>
    <w:rsid w:val="00CD45EE"/>
    <w:rsid w:val="00CD6787"/>
    <w:rsid w:val="00CD6D4C"/>
    <w:rsid w:val="00CD71CD"/>
    <w:rsid w:val="00CD7868"/>
    <w:rsid w:val="00CE2CAF"/>
    <w:rsid w:val="00CE2EF1"/>
    <w:rsid w:val="00CE42F0"/>
    <w:rsid w:val="00CE5DC9"/>
    <w:rsid w:val="00CE7F6E"/>
    <w:rsid w:val="00CF0029"/>
    <w:rsid w:val="00CF0DB6"/>
    <w:rsid w:val="00CF10AF"/>
    <w:rsid w:val="00CF159F"/>
    <w:rsid w:val="00CF1C69"/>
    <w:rsid w:val="00CF1E83"/>
    <w:rsid w:val="00CF2DFE"/>
    <w:rsid w:val="00CF3ED5"/>
    <w:rsid w:val="00CF4A8D"/>
    <w:rsid w:val="00CF4D5B"/>
    <w:rsid w:val="00CF5C02"/>
    <w:rsid w:val="00CF5F17"/>
    <w:rsid w:val="00CF6680"/>
    <w:rsid w:val="00D009B5"/>
    <w:rsid w:val="00D01D99"/>
    <w:rsid w:val="00D028A0"/>
    <w:rsid w:val="00D04D7B"/>
    <w:rsid w:val="00D06DDC"/>
    <w:rsid w:val="00D1024F"/>
    <w:rsid w:val="00D11F72"/>
    <w:rsid w:val="00D13AB3"/>
    <w:rsid w:val="00D13C68"/>
    <w:rsid w:val="00D1427B"/>
    <w:rsid w:val="00D14DFE"/>
    <w:rsid w:val="00D15BE7"/>
    <w:rsid w:val="00D16BF8"/>
    <w:rsid w:val="00D21A04"/>
    <w:rsid w:val="00D235A6"/>
    <w:rsid w:val="00D23699"/>
    <w:rsid w:val="00D23D2B"/>
    <w:rsid w:val="00D24F36"/>
    <w:rsid w:val="00D258B1"/>
    <w:rsid w:val="00D26A5A"/>
    <w:rsid w:val="00D26F52"/>
    <w:rsid w:val="00D27246"/>
    <w:rsid w:val="00D27AC4"/>
    <w:rsid w:val="00D30A34"/>
    <w:rsid w:val="00D30C00"/>
    <w:rsid w:val="00D31F7B"/>
    <w:rsid w:val="00D33156"/>
    <w:rsid w:val="00D35769"/>
    <w:rsid w:val="00D357F0"/>
    <w:rsid w:val="00D36F2E"/>
    <w:rsid w:val="00D40478"/>
    <w:rsid w:val="00D40BC1"/>
    <w:rsid w:val="00D40EB3"/>
    <w:rsid w:val="00D419AD"/>
    <w:rsid w:val="00D42A4B"/>
    <w:rsid w:val="00D431DF"/>
    <w:rsid w:val="00D44985"/>
    <w:rsid w:val="00D45802"/>
    <w:rsid w:val="00D45C3C"/>
    <w:rsid w:val="00D4686C"/>
    <w:rsid w:val="00D5005C"/>
    <w:rsid w:val="00D51406"/>
    <w:rsid w:val="00D51704"/>
    <w:rsid w:val="00D51A3F"/>
    <w:rsid w:val="00D51B08"/>
    <w:rsid w:val="00D52027"/>
    <w:rsid w:val="00D53378"/>
    <w:rsid w:val="00D53E97"/>
    <w:rsid w:val="00D55626"/>
    <w:rsid w:val="00D55B6E"/>
    <w:rsid w:val="00D560B9"/>
    <w:rsid w:val="00D56240"/>
    <w:rsid w:val="00D572F9"/>
    <w:rsid w:val="00D574BF"/>
    <w:rsid w:val="00D578A6"/>
    <w:rsid w:val="00D60005"/>
    <w:rsid w:val="00D60463"/>
    <w:rsid w:val="00D620BD"/>
    <w:rsid w:val="00D627DA"/>
    <w:rsid w:val="00D62EE5"/>
    <w:rsid w:val="00D63102"/>
    <w:rsid w:val="00D6324F"/>
    <w:rsid w:val="00D635AE"/>
    <w:rsid w:val="00D635F3"/>
    <w:rsid w:val="00D63861"/>
    <w:rsid w:val="00D64840"/>
    <w:rsid w:val="00D64AF9"/>
    <w:rsid w:val="00D64E09"/>
    <w:rsid w:val="00D656D3"/>
    <w:rsid w:val="00D66BE3"/>
    <w:rsid w:val="00D71AF7"/>
    <w:rsid w:val="00D71DD4"/>
    <w:rsid w:val="00D721A5"/>
    <w:rsid w:val="00D722FC"/>
    <w:rsid w:val="00D73281"/>
    <w:rsid w:val="00D74299"/>
    <w:rsid w:val="00D74DB0"/>
    <w:rsid w:val="00D754AD"/>
    <w:rsid w:val="00D754EC"/>
    <w:rsid w:val="00D7699C"/>
    <w:rsid w:val="00D76AC4"/>
    <w:rsid w:val="00D77253"/>
    <w:rsid w:val="00D77A35"/>
    <w:rsid w:val="00D82C8C"/>
    <w:rsid w:val="00D837B7"/>
    <w:rsid w:val="00D839FB"/>
    <w:rsid w:val="00D83EA2"/>
    <w:rsid w:val="00D847D4"/>
    <w:rsid w:val="00D87518"/>
    <w:rsid w:val="00D878E7"/>
    <w:rsid w:val="00D87CC7"/>
    <w:rsid w:val="00D908AF"/>
    <w:rsid w:val="00D94416"/>
    <w:rsid w:val="00D94467"/>
    <w:rsid w:val="00D955F1"/>
    <w:rsid w:val="00D96097"/>
    <w:rsid w:val="00D966CA"/>
    <w:rsid w:val="00D971D2"/>
    <w:rsid w:val="00D9795E"/>
    <w:rsid w:val="00DA09DC"/>
    <w:rsid w:val="00DA15F0"/>
    <w:rsid w:val="00DA2383"/>
    <w:rsid w:val="00DA28D6"/>
    <w:rsid w:val="00DA4013"/>
    <w:rsid w:val="00DA4C0C"/>
    <w:rsid w:val="00DA643C"/>
    <w:rsid w:val="00DB0C0F"/>
    <w:rsid w:val="00DB1224"/>
    <w:rsid w:val="00DB1749"/>
    <w:rsid w:val="00DB1F6D"/>
    <w:rsid w:val="00DB365D"/>
    <w:rsid w:val="00DB5AE0"/>
    <w:rsid w:val="00DB5FA9"/>
    <w:rsid w:val="00DB6860"/>
    <w:rsid w:val="00DB73B6"/>
    <w:rsid w:val="00DB7BAF"/>
    <w:rsid w:val="00DC00B6"/>
    <w:rsid w:val="00DC299B"/>
    <w:rsid w:val="00DC4322"/>
    <w:rsid w:val="00DC471F"/>
    <w:rsid w:val="00DC4732"/>
    <w:rsid w:val="00DC4818"/>
    <w:rsid w:val="00DC5891"/>
    <w:rsid w:val="00DC7A28"/>
    <w:rsid w:val="00DD020B"/>
    <w:rsid w:val="00DD0269"/>
    <w:rsid w:val="00DD05A7"/>
    <w:rsid w:val="00DD1B2D"/>
    <w:rsid w:val="00DD285D"/>
    <w:rsid w:val="00DD3FA6"/>
    <w:rsid w:val="00DD43D1"/>
    <w:rsid w:val="00DD4A91"/>
    <w:rsid w:val="00DD584F"/>
    <w:rsid w:val="00DD69AB"/>
    <w:rsid w:val="00DE4FB8"/>
    <w:rsid w:val="00DE507D"/>
    <w:rsid w:val="00DE5C41"/>
    <w:rsid w:val="00DE632C"/>
    <w:rsid w:val="00DE6EBC"/>
    <w:rsid w:val="00DF01AE"/>
    <w:rsid w:val="00DF0724"/>
    <w:rsid w:val="00DF1A20"/>
    <w:rsid w:val="00DF1C62"/>
    <w:rsid w:val="00DF3F65"/>
    <w:rsid w:val="00DF4728"/>
    <w:rsid w:val="00DF48E3"/>
    <w:rsid w:val="00DF4E22"/>
    <w:rsid w:val="00DF54FA"/>
    <w:rsid w:val="00DF5B87"/>
    <w:rsid w:val="00DF5C27"/>
    <w:rsid w:val="00DF6811"/>
    <w:rsid w:val="00E00CC4"/>
    <w:rsid w:val="00E01238"/>
    <w:rsid w:val="00E02454"/>
    <w:rsid w:val="00E0304F"/>
    <w:rsid w:val="00E064AA"/>
    <w:rsid w:val="00E07274"/>
    <w:rsid w:val="00E07AAC"/>
    <w:rsid w:val="00E102B2"/>
    <w:rsid w:val="00E142D9"/>
    <w:rsid w:val="00E15ABA"/>
    <w:rsid w:val="00E15B41"/>
    <w:rsid w:val="00E1699E"/>
    <w:rsid w:val="00E17843"/>
    <w:rsid w:val="00E20552"/>
    <w:rsid w:val="00E20749"/>
    <w:rsid w:val="00E21A28"/>
    <w:rsid w:val="00E21C30"/>
    <w:rsid w:val="00E225B1"/>
    <w:rsid w:val="00E228A6"/>
    <w:rsid w:val="00E235EE"/>
    <w:rsid w:val="00E2438C"/>
    <w:rsid w:val="00E266F9"/>
    <w:rsid w:val="00E268E4"/>
    <w:rsid w:val="00E26F8B"/>
    <w:rsid w:val="00E27419"/>
    <w:rsid w:val="00E30C02"/>
    <w:rsid w:val="00E30FAF"/>
    <w:rsid w:val="00E320CE"/>
    <w:rsid w:val="00E325E5"/>
    <w:rsid w:val="00E32EFB"/>
    <w:rsid w:val="00E32F9D"/>
    <w:rsid w:val="00E33DAC"/>
    <w:rsid w:val="00E34C21"/>
    <w:rsid w:val="00E34F61"/>
    <w:rsid w:val="00E35AB1"/>
    <w:rsid w:val="00E36901"/>
    <w:rsid w:val="00E36E7B"/>
    <w:rsid w:val="00E37DBE"/>
    <w:rsid w:val="00E4097B"/>
    <w:rsid w:val="00E41248"/>
    <w:rsid w:val="00E4166E"/>
    <w:rsid w:val="00E42103"/>
    <w:rsid w:val="00E4358F"/>
    <w:rsid w:val="00E43BA2"/>
    <w:rsid w:val="00E45E4A"/>
    <w:rsid w:val="00E4603D"/>
    <w:rsid w:val="00E47206"/>
    <w:rsid w:val="00E47626"/>
    <w:rsid w:val="00E51A07"/>
    <w:rsid w:val="00E535F6"/>
    <w:rsid w:val="00E544CD"/>
    <w:rsid w:val="00E576DA"/>
    <w:rsid w:val="00E622AE"/>
    <w:rsid w:val="00E626AC"/>
    <w:rsid w:val="00E6273B"/>
    <w:rsid w:val="00E62CA4"/>
    <w:rsid w:val="00E63D07"/>
    <w:rsid w:val="00E6410A"/>
    <w:rsid w:val="00E64595"/>
    <w:rsid w:val="00E647D5"/>
    <w:rsid w:val="00E64C33"/>
    <w:rsid w:val="00E66DF4"/>
    <w:rsid w:val="00E70144"/>
    <w:rsid w:val="00E70507"/>
    <w:rsid w:val="00E7249F"/>
    <w:rsid w:val="00E725CA"/>
    <w:rsid w:val="00E73491"/>
    <w:rsid w:val="00E7360A"/>
    <w:rsid w:val="00E740F3"/>
    <w:rsid w:val="00E764C3"/>
    <w:rsid w:val="00E801B5"/>
    <w:rsid w:val="00E80B90"/>
    <w:rsid w:val="00E815B0"/>
    <w:rsid w:val="00E83249"/>
    <w:rsid w:val="00E85BF0"/>
    <w:rsid w:val="00E86D12"/>
    <w:rsid w:val="00E86FA2"/>
    <w:rsid w:val="00E870B1"/>
    <w:rsid w:val="00E90172"/>
    <w:rsid w:val="00E9113A"/>
    <w:rsid w:val="00E913EC"/>
    <w:rsid w:val="00E915C5"/>
    <w:rsid w:val="00E92A12"/>
    <w:rsid w:val="00E9342A"/>
    <w:rsid w:val="00E936A6"/>
    <w:rsid w:val="00E941EC"/>
    <w:rsid w:val="00E9467C"/>
    <w:rsid w:val="00E947A8"/>
    <w:rsid w:val="00E972EF"/>
    <w:rsid w:val="00E979B5"/>
    <w:rsid w:val="00E97CAE"/>
    <w:rsid w:val="00EA13A0"/>
    <w:rsid w:val="00EA1BBF"/>
    <w:rsid w:val="00EA28E1"/>
    <w:rsid w:val="00EA4E7F"/>
    <w:rsid w:val="00EA54B8"/>
    <w:rsid w:val="00EA6312"/>
    <w:rsid w:val="00EB07D1"/>
    <w:rsid w:val="00EB12E5"/>
    <w:rsid w:val="00EB27BA"/>
    <w:rsid w:val="00EB2EB9"/>
    <w:rsid w:val="00EB32BE"/>
    <w:rsid w:val="00EB3E79"/>
    <w:rsid w:val="00EB403F"/>
    <w:rsid w:val="00EB5AB7"/>
    <w:rsid w:val="00EB68FA"/>
    <w:rsid w:val="00EB6BCA"/>
    <w:rsid w:val="00EC0CFC"/>
    <w:rsid w:val="00EC1C17"/>
    <w:rsid w:val="00EC2325"/>
    <w:rsid w:val="00EC2910"/>
    <w:rsid w:val="00EC3CEF"/>
    <w:rsid w:val="00EC4061"/>
    <w:rsid w:val="00EC4222"/>
    <w:rsid w:val="00EC480F"/>
    <w:rsid w:val="00EC6BE0"/>
    <w:rsid w:val="00EC7556"/>
    <w:rsid w:val="00EC7B6D"/>
    <w:rsid w:val="00ED080D"/>
    <w:rsid w:val="00ED0905"/>
    <w:rsid w:val="00ED210E"/>
    <w:rsid w:val="00ED2242"/>
    <w:rsid w:val="00ED22BC"/>
    <w:rsid w:val="00ED28D0"/>
    <w:rsid w:val="00ED2AEB"/>
    <w:rsid w:val="00ED36C3"/>
    <w:rsid w:val="00ED487C"/>
    <w:rsid w:val="00ED5593"/>
    <w:rsid w:val="00ED656D"/>
    <w:rsid w:val="00ED6F11"/>
    <w:rsid w:val="00ED7450"/>
    <w:rsid w:val="00ED7B36"/>
    <w:rsid w:val="00EE000C"/>
    <w:rsid w:val="00EE0DF3"/>
    <w:rsid w:val="00EE180C"/>
    <w:rsid w:val="00EE1FDF"/>
    <w:rsid w:val="00EE22C1"/>
    <w:rsid w:val="00EE2665"/>
    <w:rsid w:val="00EE28DD"/>
    <w:rsid w:val="00EE5A22"/>
    <w:rsid w:val="00EE71F9"/>
    <w:rsid w:val="00EE7C9B"/>
    <w:rsid w:val="00EE7CA3"/>
    <w:rsid w:val="00EF16DB"/>
    <w:rsid w:val="00EF1F29"/>
    <w:rsid w:val="00EF2CE0"/>
    <w:rsid w:val="00EF3800"/>
    <w:rsid w:val="00EF3C53"/>
    <w:rsid w:val="00EF53E0"/>
    <w:rsid w:val="00EF5979"/>
    <w:rsid w:val="00F009B5"/>
    <w:rsid w:val="00F01838"/>
    <w:rsid w:val="00F02AA3"/>
    <w:rsid w:val="00F02CC4"/>
    <w:rsid w:val="00F0389D"/>
    <w:rsid w:val="00F04FAC"/>
    <w:rsid w:val="00F057AB"/>
    <w:rsid w:val="00F06027"/>
    <w:rsid w:val="00F079DD"/>
    <w:rsid w:val="00F07E3F"/>
    <w:rsid w:val="00F10235"/>
    <w:rsid w:val="00F10C33"/>
    <w:rsid w:val="00F10CBE"/>
    <w:rsid w:val="00F12299"/>
    <w:rsid w:val="00F1399F"/>
    <w:rsid w:val="00F141E7"/>
    <w:rsid w:val="00F148F2"/>
    <w:rsid w:val="00F176E3"/>
    <w:rsid w:val="00F20C5A"/>
    <w:rsid w:val="00F20E03"/>
    <w:rsid w:val="00F20FE1"/>
    <w:rsid w:val="00F21D98"/>
    <w:rsid w:val="00F221E2"/>
    <w:rsid w:val="00F22265"/>
    <w:rsid w:val="00F22F3A"/>
    <w:rsid w:val="00F23F4D"/>
    <w:rsid w:val="00F246CA"/>
    <w:rsid w:val="00F26772"/>
    <w:rsid w:val="00F26B93"/>
    <w:rsid w:val="00F3077C"/>
    <w:rsid w:val="00F31120"/>
    <w:rsid w:val="00F31C42"/>
    <w:rsid w:val="00F31D94"/>
    <w:rsid w:val="00F31E68"/>
    <w:rsid w:val="00F322C0"/>
    <w:rsid w:val="00F33A8B"/>
    <w:rsid w:val="00F342E6"/>
    <w:rsid w:val="00F34A1A"/>
    <w:rsid w:val="00F366FF"/>
    <w:rsid w:val="00F36811"/>
    <w:rsid w:val="00F4112B"/>
    <w:rsid w:val="00F41CC9"/>
    <w:rsid w:val="00F4240C"/>
    <w:rsid w:val="00F42BB9"/>
    <w:rsid w:val="00F42EA0"/>
    <w:rsid w:val="00F42F4C"/>
    <w:rsid w:val="00F430BC"/>
    <w:rsid w:val="00F43737"/>
    <w:rsid w:val="00F43B0B"/>
    <w:rsid w:val="00F4604C"/>
    <w:rsid w:val="00F4605E"/>
    <w:rsid w:val="00F4747D"/>
    <w:rsid w:val="00F474FA"/>
    <w:rsid w:val="00F50092"/>
    <w:rsid w:val="00F5024D"/>
    <w:rsid w:val="00F51521"/>
    <w:rsid w:val="00F53A90"/>
    <w:rsid w:val="00F558F8"/>
    <w:rsid w:val="00F56F6B"/>
    <w:rsid w:val="00F60F96"/>
    <w:rsid w:val="00F6133A"/>
    <w:rsid w:val="00F62A50"/>
    <w:rsid w:val="00F6306A"/>
    <w:rsid w:val="00F649FE"/>
    <w:rsid w:val="00F70391"/>
    <w:rsid w:val="00F70DED"/>
    <w:rsid w:val="00F71210"/>
    <w:rsid w:val="00F7309F"/>
    <w:rsid w:val="00F734EA"/>
    <w:rsid w:val="00F73AC9"/>
    <w:rsid w:val="00F73B8C"/>
    <w:rsid w:val="00F73EA7"/>
    <w:rsid w:val="00F745D1"/>
    <w:rsid w:val="00F752FE"/>
    <w:rsid w:val="00F775CA"/>
    <w:rsid w:val="00F8058F"/>
    <w:rsid w:val="00F81CC6"/>
    <w:rsid w:val="00F84375"/>
    <w:rsid w:val="00F8468D"/>
    <w:rsid w:val="00F848B9"/>
    <w:rsid w:val="00F84CA3"/>
    <w:rsid w:val="00F85E2F"/>
    <w:rsid w:val="00F863C6"/>
    <w:rsid w:val="00F86864"/>
    <w:rsid w:val="00F87E73"/>
    <w:rsid w:val="00F90961"/>
    <w:rsid w:val="00F92088"/>
    <w:rsid w:val="00F92296"/>
    <w:rsid w:val="00F927E9"/>
    <w:rsid w:val="00F93F22"/>
    <w:rsid w:val="00F95623"/>
    <w:rsid w:val="00F9577D"/>
    <w:rsid w:val="00F9789F"/>
    <w:rsid w:val="00F97B3D"/>
    <w:rsid w:val="00FA160C"/>
    <w:rsid w:val="00FA369B"/>
    <w:rsid w:val="00FA38A6"/>
    <w:rsid w:val="00FA41A6"/>
    <w:rsid w:val="00FA62C1"/>
    <w:rsid w:val="00FA6581"/>
    <w:rsid w:val="00FA73AF"/>
    <w:rsid w:val="00FB1811"/>
    <w:rsid w:val="00FB2678"/>
    <w:rsid w:val="00FB2FD8"/>
    <w:rsid w:val="00FB30C3"/>
    <w:rsid w:val="00FB35EA"/>
    <w:rsid w:val="00FB3928"/>
    <w:rsid w:val="00FB4EE5"/>
    <w:rsid w:val="00FB527C"/>
    <w:rsid w:val="00FB61A2"/>
    <w:rsid w:val="00FB7D7B"/>
    <w:rsid w:val="00FC0A2D"/>
    <w:rsid w:val="00FC2F78"/>
    <w:rsid w:val="00FC4CBA"/>
    <w:rsid w:val="00FC4D33"/>
    <w:rsid w:val="00FC5269"/>
    <w:rsid w:val="00FC52D9"/>
    <w:rsid w:val="00FC62E0"/>
    <w:rsid w:val="00FC67F0"/>
    <w:rsid w:val="00FC70D4"/>
    <w:rsid w:val="00FC7771"/>
    <w:rsid w:val="00FC7AC8"/>
    <w:rsid w:val="00FD0094"/>
    <w:rsid w:val="00FD0706"/>
    <w:rsid w:val="00FD1542"/>
    <w:rsid w:val="00FD2892"/>
    <w:rsid w:val="00FD33AD"/>
    <w:rsid w:val="00FD3EB7"/>
    <w:rsid w:val="00FD63FB"/>
    <w:rsid w:val="00FD6B18"/>
    <w:rsid w:val="00FD7824"/>
    <w:rsid w:val="00FE08FF"/>
    <w:rsid w:val="00FE2EE0"/>
    <w:rsid w:val="00FE3F46"/>
    <w:rsid w:val="00FE4CE4"/>
    <w:rsid w:val="00FE4FEC"/>
    <w:rsid w:val="00FE5571"/>
    <w:rsid w:val="00FE6240"/>
    <w:rsid w:val="00FE6340"/>
    <w:rsid w:val="00FE69E9"/>
    <w:rsid w:val="00FF020A"/>
    <w:rsid w:val="00FF0806"/>
    <w:rsid w:val="00FF268A"/>
    <w:rsid w:val="00FF27BF"/>
    <w:rsid w:val="00FF4C80"/>
    <w:rsid w:val="00FF5D42"/>
    <w:rsid w:val="00FF5D80"/>
    <w:rsid w:val="00FF61A7"/>
    <w:rsid w:val="00FF65B6"/>
    <w:rsid w:val="00FF743F"/>
    <w:rsid w:val="00FF74AE"/>
    <w:rsid w:val="00FF7742"/>
    <w:rsid w:val="00FF7C26"/>
    <w:rsid w:val="020B6A0C"/>
    <w:rsid w:val="03DB18EF"/>
    <w:rsid w:val="05095189"/>
    <w:rsid w:val="06E326CF"/>
    <w:rsid w:val="07C24902"/>
    <w:rsid w:val="0ABB6AF5"/>
    <w:rsid w:val="0BE30590"/>
    <w:rsid w:val="0C346B5F"/>
    <w:rsid w:val="0CB71954"/>
    <w:rsid w:val="0DEA1BCB"/>
    <w:rsid w:val="110C1E59"/>
    <w:rsid w:val="11447845"/>
    <w:rsid w:val="12850115"/>
    <w:rsid w:val="13107FE2"/>
    <w:rsid w:val="13BE74E3"/>
    <w:rsid w:val="15D80FEE"/>
    <w:rsid w:val="177C4BB5"/>
    <w:rsid w:val="184D4839"/>
    <w:rsid w:val="186662F2"/>
    <w:rsid w:val="18C70119"/>
    <w:rsid w:val="1B721452"/>
    <w:rsid w:val="1C7021D3"/>
    <w:rsid w:val="1D9C4564"/>
    <w:rsid w:val="1EED0A2C"/>
    <w:rsid w:val="1F08012F"/>
    <w:rsid w:val="1F494278"/>
    <w:rsid w:val="1F9574BD"/>
    <w:rsid w:val="1FAA65AA"/>
    <w:rsid w:val="20905093"/>
    <w:rsid w:val="20BE3982"/>
    <w:rsid w:val="21617F9F"/>
    <w:rsid w:val="219519F6"/>
    <w:rsid w:val="21952780"/>
    <w:rsid w:val="21B35BB5"/>
    <w:rsid w:val="233F7E6C"/>
    <w:rsid w:val="2403482C"/>
    <w:rsid w:val="255D690A"/>
    <w:rsid w:val="26D77D73"/>
    <w:rsid w:val="28713755"/>
    <w:rsid w:val="2B88383C"/>
    <w:rsid w:val="2BB4516F"/>
    <w:rsid w:val="2C534988"/>
    <w:rsid w:val="2D4652DE"/>
    <w:rsid w:val="2E0210E2"/>
    <w:rsid w:val="2EF837C6"/>
    <w:rsid w:val="320F4372"/>
    <w:rsid w:val="331A2564"/>
    <w:rsid w:val="343B642D"/>
    <w:rsid w:val="35447514"/>
    <w:rsid w:val="35A2282C"/>
    <w:rsid w:val="35FB071E"/>
    <w:rsid w:val="367F33A5"/>
    <w:rsid w:val="36C97D20"/>
    <w:rsid w:val="36CE5337"/>
    <w:rsid w:val="37AF5471"/>
    <w:rsid w:val="37D747A3"/>
    <w:rsid w:val="383160CD"/>
    <w:rsid w:val="396C0E37"/>
    <w:rsid w:val="3A4F2C33"/>
    <w:rsid w:val="3A695377"/>
    <w:rsid w:val="3C991F43"/>
    <w:rsid w:val="3D913562"/>
    <w:rsid w:val="3E567CFB"/>
    <w:rsid w:val="40776A3F"/>
    <w:rsid w:val="40A11F22"/>
    <w:rsid w:val="414A4154"/>
    <w:rsid w:val="41A72D2E"/>
    <w:rsid w:val="42F04887"/>
    <w:rsid w:val="448654A3"/>
    <w:rsid w:val="45743CB6"/>
    <w:rsid w:val="46D83D53"/>
    <w:rsid w:val="471548BC"/>
    <w:rsid w:val="472218E1"/>
    <w:rsid w:val="47976684"/>
    <w:rsid w:val="48052B82"/>
    <w:rsid w:val="485F6112"/>
    <w:rsid w:val="487748CF"/>
    <w:rsid w:val="4A345076"/>
    <w:rsid w:val="4D0C6761"/>
    <w:rsid w:val="4D8E7176"/>
    <w:rsid w:val="4DD3727F"/>
    <w:rsid w:val="4E04568A"/>
    <w:rsid w:val="4EDB463D"/>
    <w:rsid w:val="4FBD0D7E"/>
    <w:rsid w:val="511F770C"/>
    <w:rsid w:val="51F872B4"/>
    <w:rsid w:val="5224275F"/>
    <w:rsid w:val="535B3412"/>
    <w:rsid w:val="54031E32"/>
    <w:rsid w:val="55DE25A6"/>
    <w:rsid w:val="56673495"/>
    <w:rsid w:val="56DF38A3"/>
    <w:rsid w:val="56E72901"/>
    <w:rsid w:val="578C1291"/>
    <w:rsid w:val="58D8399B"/>
    <w:rsid w:val="592F7A5F"/>
    <w:rsid w:val="5B5D050A"/>
    <w:rsid w:val="5CA22C3E"/>
    <w:rsid w:val="5CDF5654"/>
    <w:rsid w:val="5CFA284C"/>
    <w:rsid w:val="5D137545"/>
    <w:rsid w:val="5D5A13D3"/>
    <w:rsid w:val="5E584EC1"/>
    <w:rsid w:val="5F07390F"/>
    <w:rsid w:val="5F5F4E16"/>
    <w:rsid w:val="5FB213EA"/>
    <w:rsid w:val="5FD136DF"/>
    <w:rsid w:val="5FFC2665"/>
    <w:rsid w:val="6022031E"/>
    <w:rsid w:val="61720586"/>
    <w:rsid w:val="630E4B89"/>
    <w:rsid w:val="63B7448E"/>
    <w:rsid w:val="643456B1"/>
    <w:rsid w:val="66636F9A"/>
    <w:rsid w:val="670818F0"/>
    <w:rsid w:val="67D068B1"/>
    <w:rsid w:val="685A617B"/>
    <w:rsid w:val="6BD36970"/>
    <w:rsid w:val="6CD56718"/>
    <w:rsid w:val="6F4F27B2"/>
    <w:rsid w:val="6F7400DC"/>
    <w:rsid w:val="70300F5D"/>
    <w:rsid w:val="70961541"/>
    <w:rsid w:val="70D867D7"/>
    <w:rsid w:val="733F6699"/>
    <w:rsid w:val="75DE663D"/>
    <w:rsid w:val="75EA6D90"/>
    <w:rsid w:val="771C4271"/>
    <w:rsid w:val="776E2960"/>
    <w:rsid w:val="77A70AAF"/>
    <w:rsid w:val="797F7639"/>
    <w:rsid w:val="7A0E45DF"/>
    <w:rsid w:val="7C5009F0"/>
    <w:rsid w:val="7D4A280A"/>
    <w:rsid w:val="7DCC76C3"/>
    <w:rsid w:val="7E402B79"/>
    <w:rsid w:val="7EB577B3"/>
    <w:rsid w:val="7EEF71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qFormat="1" w:uiPriority="39" w:name="toc 6"/>
    <w:lsdException w:qFormat="1" w:uiPriority="39" w:semiHidden="0" w:name="toc 7"/>
    <w:lsdException w:uiPriority="39" w:name="toc 8"/>
    <w:lsdException w:qFormat="1" w:uiPriority="39" w:semiHidden="0" w:name="toc 9"/>
    <w:lsdException w:qFormat="1" w:unhideWhenUsed="0" w:uiPriority="99" w:semiHidden="0" w:name="Normal Indent" w:locked="1"/>
    <w:lsdException w:uiPriority="99" w:name="footnote text"/>
    <w:lsdException w:qFormat="1" w:uiPriority="99" w:semiHidden="0" w:name="annotation text"/>
    <w:lsdException w:qFormat="1" w:unhideWhenUsed="0" w:uiPriority="0" w:semiHidden="0" w:name="header"/>
    <w:lsdException w:qFormat="1" w:unhideWhenUsed="0" w:uiPriority="0" w:semiHidden="0" w:name="footer" w:locked="1"/>
    <w:lsdException w:uiPriority="99" w:name="index heading"/>
    <w:lsdException w:qFormat="1" w:unhideWhenUsed="0" w:uiPriority="0" w:semiHidden="0" w:name="caption" w:locked="1"/>
    <w:lsdException w:uiPriority="0"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semiHidden="0" w:name="Date"/>
    <w:lsdException w:uiPriority="99" w:name="Body Text First Indent"/>
    <w:lsdException w:qFormat="1" w:uiPriority="0" w:semiHidden="0"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0" w:semiHidden="0" w:name="Strong" w:locked="1"/>
    <w:lsdException w:qFormat="1" w:unhideWhenUsed="0" w:uiPriority="0" w:semiHidden="0" w:name="Emphasis" w:locked="1"/>
    <w:lsdException w:qFormat="1" w:uiPriority="99" w:semiHidden="0" w:name="Document Map"/>
    <w:lsdException w:qFormat="1" w:uiPriority="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Calibri"/>
      <w:kern w:val="2"/>
      <w:sz w:val="21"/>
      <w:szCs w:val="21"/>
      <w:lang w:val="en-US" w:eastAsia="zh-CN" w:bidi="ar-SA"/>
    </w:rPr>
  </w:style>
  <w:style w:type="paragraph" w:styleId="2">
    <w:name w:val="heading 1"/>
    <w:basedOn w:val="1"/>
    <w:next w:val="1"/>
    <w:link w:val="85"/>
    <w:qFormat/>
    <w:uiPriority w:val="0"/>
    <w:pPr>
      <w:keepNext/>
      <w:keepLines/>
      <w:spacing w:line="360" w:lineRule="auto"/>
      <w:jc w:val="center"/>
      <w:outlineLvl w:val="0"/>
    </w:pPr>
    <w:rPr>
      <w:b/>
      <w:bCs/>
      <w:color w:val="000000"/>
      <w:kern w:val="44"/>
      <w:sz w:val="28"/>
      <w:szCs w:val="28"/>
    </w:rPr>
  </w:style>
  <w:style w:type="paragraph" w:styleId="3">
    <w:name w:val="heading 2"/>
    <w:basedOn w:val="1"/>
    <w:next w:val="1"/>
    <w:link w:val="53"/>
    <w:qFormat/>
    <w:locked/>
    <w:uiPriority w:val="0"/>
    <w:pPr>
      <w:keepNext/>
      <w:spacing w:before="240" w:after="240"/>
      <w:outlineLvl w:val="1"/>
    </w:pPr>
    <w:rPr>
      <w:rFonts w:cs="Times New Roman"/>
      <w:b/>
      <w:bCs/>
      <w:sz w:val="30"/>
      <w:szCs w:val="32"/>
    </w:rPr>
  </w:style>
  <w:style w:type="paragraph" w:styleId="4">
    <w:name w:val="heading 3"/>
    <w:basedOn w:val="1"/>
    <w:next w:val="1"/>
    <w:link w:val="56"/>
    <w:qFormat/>
    <w:locked/>
    <w:uiPriority w:val="0"/>
    <w:pPr>
      <w:keepLines/>
      <w:spacing w:before="120" w:after="120"/>
      <w:outlineLvl w:val="2"/>
    </w:pPr>
    <w:rPr>
      <w:b/>
      <w:bCs/>
      <w:sz w:val="28"/>
      <w:szCs w:val="32"/>
    </w:rPr>
  </w:style>
  <w:style w:type="paragraph" w:styleId="5">
    <w:name w:val="heading 4"/>
    <w:basedOn w:val="1"/>
    <w:next w:val="1"/>
    <w:link w:val="49"/>
    <w:qFormat/>
    <w:locked/>
    <w:uiPriority w:val="0"/>
    <w:pPr>
      <w:keepNext/>
      <w:keepLines/>
      <w:spacing w:beforeLines="100" w:afterLines="100"/>
      <w:outlineLvl w:val="3"/>
    </w:pPr>
    <w:rPr>
      <w:rFonts w:cs="Times New Roman"/>
      <w:b/>
      <w:bCs/>
      <w:sz w:val="24"/>
      <w:szCs w:val="28"/>
    </w:rPr>
  </w:style>
  <w:style w:type="paragraph" w:styleId="6">
    <w:name w:val="heading 8"/>
    <w:basedOn w:val="1"/>
    <w:next w:val="1"/>
    <w:link w:val="72"/>
    <w:semiHidden/>
    <w:unhideWhenUsed/>
    <w:qFormat/>
    <w:locked/>
    <w:uiPriority w:val="0"/>
    <w:pPr>
      <w:keepNext/>
      <w:keepLines/>
      <w:spacing w:before="240" w:after="64" w:line="320" w:lineRule="auto"/>
      <w:outlineLvl w:val="7"/>
    </w:pPr>
    <w:rPr>
      <w:rFonts w:asciiTheme="majorHAnsi" w:hAnsiTheme="majorHAnsi" w:eastAsiaTheme="majorEastAsia" w:cstheme="majorBidi"/>
      <w:sz w:val="24"/>
      <w:szCs w:val="24"/>
    </w:rPr>
  </w:style>
  <w:style w:type="character" w:default="1" w:styleId="31">
    <w:name w:val="Default Paragraph Font"/>
    <w:semiHidden/>
    <w:unhideWhenUsed/>
    <w:qFormat/>
    <w:uiPriority w:val="1"/>
  </w:style>
  <w:style w:type="table" w:default="1" w:styleId="29">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7">
    <w:name w:val="toc 7"/>
    <w:basedOn w:val="1"/>
    <w:next w:val="1"/>
    <w:unhideWhenUsed/>
    <w:qFormat/>
    <w:uiPriority w:val="39"/>
    <w:pPr>
      <w:ind w:left="2520" w:leftChars="1200"/>
    </w:pPr>
  </w:style>
  <w:style w:type="paragraph" w:styleId="8">
    <w:name w:val="Normal Indent"/>
    <w:basedOn w:val="1"/>
    <w:qFormat/>
    <w:locked/>
    <w:uiPriority w:val="99"/>
    <w:rPr>
      <w:rFonts w:ascii="Calibri" w:hAnsi="Calibri"/>
      <w:sz w:val="28"/>
      <w:szCs w:val="28"/>
    </w:rPr>
  </w:style>
  <w:style w:type="paragraph" w:styleId="9">
    <w:name w:val="caption"/>
    <w:basedOn w:val="1"/>
    <w:next w:val="1"/>
    <w:qFormat/>
    <w:locked/>
    <w:uiPriority w:val="0"/>
    <w:rPr>
      <w:rFonts w:ascii="Arial" w:hAnsi="Arial" w:eastAsia="黑体" w:cs="Times New Roman"/>
      <w:sz w:val="20"/>
      <w:szCs w:val="20"/>
    </w:rPr>
  </w:style>
  <w:style w:type="paragraph" w:styleId="10">
    <w:name w:val="Document Map"/>
    <w:basedOn w:val="1"/>
    <w:link w:val="57"/>
    <w:unhideWhenUsed/>
    <w:qFormat/>
    <w:uiPriority w:val="99"/>
    <w:rPr>
      <w:rFonts w:ascii="宋体"/>
      <w:sz w:val="18"/>
      <w:szCs w:val="18"/>
    </w:rPr>
  </w:style>
  <w:style w:type="paragraph" w:styleId="11">
    <w:name w:val="annotation text"/>
    <w:basedOn w:val="1"/>
    <w:link w:val="107"/>
    <w:unhideWhenUsed/>
    <w:qFormat/>
    <w:uiPriority w:val="99"/>
    <w:pPr>
      <w:jc w:val="left"/>
    </w:pPr>
  </w:style>
  <w:style w:type="paragraph" w:styleId="12">
    <w:name w:val="Body Text"/>
    <w:basedOn w:val="1"/>
    <w:link w:val="83"/>
    <w:unhideWhenUsed/>
    <w:qFormat/>
    <w:uiPriority w:val="0"/>
    <w:pPr>
      <w:widowControl/>
      <w:adjustRightInd w:val="0"/>
      <w:snapToGrid w:val="0"/>
      <w:spacing w:after="120"/>
      <w:jc w:val="left"/>
    </w:pPr>
    <w:rPr>
      <w:rFonts w:eastAsia="微软雅黑" w:cs="Times New Roman"/>
      <w:szCs w:val="20"/>
    </w:rPr>
  </w:style>
  <w:style w:type="paragraph" w:styleId="13">
    <w:name w:val="Body Text Indent"/>
    <w:basedOn w:val="1"/>
    <w:link w:val="96"/>
    <w:semiHidden/>
    <w:unhideWhenUsed/>
    <w:qFormat/>
    <w:uiPriority w:val="99"/>
    <w:pPr>
      <w:spacing w:after="120"/>
      <w:ind w:left="420" w:leftChars="200"/>
    </w:pPr>
  </w:style>
  <w:style w:type="paragraph" w:styleId="14">
    <w:name w:val="Block Text"/>
    <w:basedOn w:val="1"/>
    <w:qFormat/>
    <w:uiPriority w:val="0"/>
    <w:pPr>
      <w:snapToGrid w:val="0"/>
      <w:spacing w:line="408" w:lineRule="auto"/>
      <w:ind w:left="-113" w:right="-510" w:firstLine="510"/>
    </w:pPr>
    <w:rPr>
      <w:rFonts w:cs="Times New Roman"/>
      <w:sz w:val="24"/>
      <w:szCs w:val="20"/>
    </w:rPr>
  </w:style>
  <w:style w:type="paragraph" w:styleId="15">
    <w:name w:val="toc 3"/>
    <w:basedOn w:val="1"/>
    <w:next w:val="1"/>
    <w:unhideWhenUsed/>
    <w:qFormat/>
    <w:uiPriority w:val="39"/>
    <w:pPr>
      <w:ind w:left="840" w:leftChars="400"/>
    </w:pPr>
  </w:style>
  <w:style w:type="paragraph" w:styleId="16">
    <w:name w:val="Plain Text"/>
    <w:basedOn w:val="1"/>
    <w:link w:val="94"/>
    <w:semiHidden/>
    <w:unhideWhenUsed/>
    <w:qFormat/>
    <w:uiPriority w:val="0"/>
    <w:rPr>
      <w:rFonts w:ascii="宋体" w:hAnsi="Courier New"/>
    </w:rPr>
  </w:style>
  <w:style w:type="paragraph" w:styleId="17">
    <w:name w:val="Date"/>
    <w:basedOn w:val="1"/>
    <w:next w:val="1"/>
    <w:link w:val="43"/>
    <w:unhideWhenUsed/>
    <w:qFormat/>
    <w:uiPriority w:val="99"/>
    <w:pPr>
      <w:ind w:left="100" w:leftChars="2500"/>
    </w:pPr>
  </w:style>
  <w:style w:type="paragraph" w:styleId="18">
    <w:name w:val="Balloon Text"/>
    <w:basedOn w:val="1"/>
    <w:link w:val="92"/>
    <w:unhideWhenUsed/>
    <w:qFormat/>
    <w:uiPriority w:val="0"/>
    <w:rPr>
      <w:sz w:val="18"/>
      <w:szCs w:val="18"/>
    </w:rPr>
  </w:style>
  <w:style w:type="paragraph" w:styleId="19">
    <w:name w:val="footer"/>
    <w:basedOn w:val="1"/>
    <w:link w:val="97"/>
    <w:qFormat/>
    <w:locked/>
    <w:uiPriority w:val="0"/>
    <w:pPr>
      <w:tabs>
        <w:tab w:val="center" w:pos="4153"/>
        <w:tab w:val="right" w:pos="8306"/>
      </w:tabs>
      <w:snapToGrid w:val="0"/>
      <w:jc w:val="left"/>
    </w:pPr>
    <w:rPr>
      <w:sz w:val="18"/>
      <w:szCs w:val="18"/>
    </w:rPr>
  </w:style>
  <w:style w:type="paragraph" w:styleId="20">
    <w:name w:val="header"/>
    <w:basedOn w:val="1"/>
    <w:link w:val="87"/>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spacing w:line="400" w:lineRule="exact"/>
    </w:pPr>
    <w:rPr>
      <w:sz w:val="24"/>
    </w:rPr>
  </w:style>
  <w:style w:type="paragraph" w:styleId="22">
    <w:name w:val="toc 6"/>
    <w:basedOn w:val="1"/>
    <w:next w:val="1"/>
    <w:autoRedefine/>
    <w:semiHidden/>
    <w:unhideWhenUsed/>
    <w:qFormat/>
    <w:uiPriority w:val="39"/>
    <w:pPr>
      <w:ind w:left="2100" w:leftChars="1000"/>
    </w:pPr>
  </w:style>
  <w:style w:type="paragraph" w:styleId="23">
    <w:name w:val="toc 2"/>
    <w:basedOn w:val="1"/>
    <w:next w:val="1"/>
    <w:qFormat/>
    <w:uiPriority w:val="39"/>
    <w:pPr>
      <w:tabs>
        <w:tab w:val="right" w:leader="dot" w:pos="8296"/>
      </w:tabs>
      <w:spacing w:line="400" w:lineRule="exact"/>
      <w:ind w:left="200" w:leftChars="200"/>
    </w:pPr>
    <w:rPr>
      <w:sz w:val="24"/>
    </w:rPr>
  </w:style>
  <w:style w:type="paragraph" w:styleId="24">
    <w:name w:val="toc 9"/>
    <w:basedOn w:val="1"/>
    <w:next w:val="1"/>
    <w:unhideWhenUsed/>
    <w:qFormat/>
    <w:uiPriority w:val="39"/>
    <w:pPr>
      <w:ind w:left="3360" w:leftChars="1600"/>
    </w:pPr>
  </w:style>
  <w:style w:type="paragraph" w:styleId="25">
    <w:name w:val="Body Text 2"/>
    <w:basedOn w:val="1"/>
    <w:link w:val="98"/>
    <w:semiHidden/>
    <w:unhideWhenUsed/>
    <w:qFormat/>
    <w:uiPriority w:val="99"/>
    <w:pPr>
      <w:spacing w:after="120" w:line="480" w:lineRule="auto"/>
    </w:pPr>
  </w:style>
  <w:style w:type="paragraph" w:styleId="26">
    <w:name w:val="Title"/>
    <w:basedOn w:val="1"/>
    <w:next w:val="1"/>
    <w:link w:val="63"/>
    <w:qFormat/>
    <w:locked/>
    <w:uiPriority w:val="0"/>
    <w:pPr>
      <w:pageBreakBefore/>
      <w:spacing w:before="240" w:after="60"/>
      <w:jc w:val="left"/>
      <w:outlineLvl w:val="0"/>
    </w:pPr>
    <w:rPr>
      <w:rFonts w:cs="Times New Roman"/>
      <w:b/>
      <w:bCs/>
      <w:sz w:val="32"/>
      <w:szCs w:val="32"/>
    </w:rPr>
  </w:style>
  <w:style w:type="paragraph" w:styleId="27">
    <w:name w:val="annotation subject"/>
    <w:basedOn w:val="11"/>
    <w:next w:val="11"/>
    <w:link w:val="89"/>
    <w:unhideWhenUsed/>
    <w:qFormat/>
    <w:uiPriority w:val="99"/>
    <w:rPr>
      <w:b/>
      <w:bCs/>
    </w:rPr>
  </w:style>
  <w:style w:type="paragraph" w:styleId="28">
    <w:name w:val="Body Text First Indent 2"/>
    <w:basedOn w:val="1"/>
    <w:next w:val="1"/>
    <w:link w:val="71"/>
    <w:unhideWhenUsed/>
    <w:qFormat/>
    <w:uiPriority w:val="0"/>
    <w:pPr>
      <w:keepNext w:val="0"/>
      <w:keepLines w:val="0"/>
      <w:widowControl/>
      <w:suppressLineNumbers w:val="0"/>
      <w:adjustRightInd w:val="0"/>
      <w:snapToGrid w:val="0"/>
      <w:spacing w:before="0" w:beforeAutospacing="0" w:after="200" w:afterAutospacing="0"/>
      <w:ind w:left="0" w:right="0" w:firstLine="420" w:firstLineChars="200"/>
      <w:jc w:val="left"/>
    </w:pPr>
    <w:rPr>
      <w:rFonts w:hint="default" w:ascii="Tahoma" w:hAnsi="Tahoma" w:eastAsia="微软雅黑" w:cs="Times New Roman"/>
      <w:snapToGrid/>
      <w:kern w:val="0"/>
      <w:sz w:val="22"/>
      <w:szCs w:val="22"/>
      <w:lang w:val="en-US" w:eastAsia="zh-CN" w:bidi="ar"/>
    </w:rPr>
  </w:style>
  <w:style w:type="table" w:styleId="30">
    <w:name w:val="Table Grid"/>
    <w:basedOn w:val="2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FollowedHyperlink"/>
    <w:basedOn w:val="31"/>
    <w:semiHidden/>
    <w:unhideWhenUsed/>
    <w:qFormat/>
    <w:uiPriority w:val="99"/>
    <w:rPr>
      <w:color w:val="595758"/>
      <w:u w:val="none"/>
    </w:rPr>
  </w:style>
  <w:style w:type="character" w:styleId="33">
    <w:name w:val="Hyperlink"/>
    <w:basedOn w:val="31"/>
    <w:unhideWhenUsed/>
    <w:qFormat/>
    <w:uiPriority w:val="99"/>
    <w:rPr>
      <w:color w:val="595758"/>
      <w:u w:val="none"/>
    </w:rPr>
  </w:style>
  <w:style w:type="character" w:styleId="34">
    <w:name w:val="annotation reference"/>
    <w:unhideWhenUsed/>
    <w:qFormat/>
    <w:uiPriority w:val="99"/>
    <w:rPr>
      <w:sz w:val="21"/>
      <w:szCs w:val="21"/>
    </w:rPr>
  </w:style>
  <w:style w:type="character" w:customStyle="1" w:styleId="35">
    <w:name w:val="表格内文字 Char"/>
    <w:link w:val="36"/>
    <w:qFormat/>
    <w:uiPriority w:val="0"/>
    <w:rPr>
      <w:sz w:val="21"/>
      <w:szCs w:val="28"/>
    </w:rPr>
  </w:style>
  <w:style w:type="paragraph" w:customStyle="1" w:styleId="36">
    <w:name w:val="表格内文字"/>
    <w:basedOn w:val="37"/>
    <w:link w:val="35"/>
    <w:qFormat/>
    <w:uiPriority w:val="0"/>
    <w:pPr>
      <w:tabs>
        <w:tab w:val="left" w:pos="2130"/>
      </w:tabs>
      <w:spacing w:line="360" w:lineRule="exact"/>
      <w:ind w:firstLine="0" w:firstLineChars="0"/>
      <w:jc w:val="center"/>
    </w:pPr>
    <w:rPr>
      <w:rFonts w:eastAsia="宋体"/>
      <w:spacing w:val="0"/>
      <w:kern w:val="0"/>
      <w:position w:val="0"/>
      <w:sz w:val="21"/>
      <w:szCs w:val="28"/>
    </w:rPr>
  </w:style>
  <w:style w:type="paragraph" w:customStyle="1" w:styleId="37">
    <w:name w:val="表头"/>
    <w:basedOn w:val="38"/>
    <w:link w:val="47"/>
    <w:qFormat/>
    <w:uiPriority w:val="0"/>
    <w:pPr>
      <w:ind w:firstLine="504" w:firstLineChars="200"/>
      <w:jc w:val="left"/>
    </w:pPr>
    <w:rPr>
      <w:rFonts w:eastAsia="黑体"/>
      <w:spacing w:val="6"/>
      <w:position w:val="10"/>
      <w:sz w:val="24"/>
      <w:szCs w:val="24"/>
    </w:rPr>
  </w:style>
  <w:style w:type="paragraph" w:customStyle="1" w:styleId="38">
    <w:name w:val="表格正文"/>
    <w:basedOn w:val="1"/>
    <w:qFormat/>
    <w:uiPriority w:val="0"/>
    <w:pPr>
      <w:jc w:val="center"/>
    </w:pPr>
    <w:rPr>
      <w:rFonts w:cs="Times New Roman"/>
      <w:szCs w:val="20"/>
    </w:rPr>
  </w:style>
  <w:style w:type="character" w:customStyle="1" w:styleId="39">
    <w:name w:val="正文1 Char"/>
    <w:link w:val="40"/>
    <w:qFormat/>
    <w:uiPriority w:val="0"/>
    <w:rPr>
      <w:kern w:val="2"/>
      <w:sz w:val="21"/>
      <w:szCs w:val="21"/>
    </w:rPr>
  </w:style>
  <w:style w:type="paragraph" w:customStyle="1" w:styleId="40">
    <w:name w:val="正文1"/>
    <w:basedOn w:val="1"/>
    <w:link w:val="39"/>
    <w:qFormat/>
    <w:uiPriority w:val="0"/>
    <w:pPr>
      <w:jc w:val="center"/>
    </w:pPr>
    <w:rPr>
      <w:rFonts w:cs="Times New Roman"/>
    </w:rPr>
  </w:style>
  <w:style w:type="character" w:customStyle="1" w:styleId="41">
    <w:name w:val="段落 Char Char Char Char"/>
    <w:link w:val="42"/>
    <w:qFormat/>
    <w:uiPriority w:val="0"/>
    <w:rPr>
      <w:kern w:val="2"/>
      <w:sz w:val="28"/>
      <w:szCs w:val="28"/>
    </w:rPr>
  </w:style>
  <w:style w:type="paragraph" w:customStyle="1" w:styleId="42">
    <w:name w:val="段落 Char Char"/>
    <w:basedOn w:val="1"/>
    <w:link w:val="41"/>
    <w:qFormat/>
    <w:uiPriority w:val="0"/>
    <w:pPr>
      <w:spacing w:line="500" w:lineRule="exact"/>
      <w:ind w:firstLine="578"/>
    </w:pPr>
    <w:rPr>
      <w:rFonts w:cs="Times New Roman"/>
      <w:sz w:val="28"/>
      <w:szCs w:val="28"/>
    </w:rPr>
  </w:style>
  <w:style w:type="character" w:customStyle="1" w:styleId="43">
    <w:name w:val="日期 Char"/>
    <w:link w:val="17"/>
    <w:semiHidden/>
    <w:qFormat/>
    <w:uiPriority w:val="99"/>
    <w:rPr>
      <w:rFonts w:ascii="Calibri" w:hAnsi="Calibri" w:cs="Calibri"/>
      <w:kern w:val="2"/>
      <w:sz w:val="21"/>
      <w:szCs w:val="21"/>
    </w:rPr>
  </w:style>
  <w:style w:type="character" w:customStyle="1" w:styleId="44">
    <w:name w:val="页眉 Char"/>
    <w:link w:val="20"/>
    <w:semiHidden/>
    <w:qFormat/>
    <w:uiPriority w:val="99"/>
    <w:rPr>
      <w:rFonts w:ascii="Calibri" w:hAnsi="Calibri" w:cs="Calibri"/>
      <w:sz w:val="18"/>
      <w:szCs w:val="18"/>
    </w:rPr>
  </w:style>
  <w:style w:type="character" w:customStyle="1" w:styleId="45">
    <w:name w:val="图111 Char"/>
    <w:link w:val="46"/>
    <w:qFormat/>
    <w:uiPriority w:val="0"/>
    <w:rPr>
      <w:b/>
      <w:kern w:val="2"/>
      <w:sz w:val="21"/>
      <w:szCs w:val="28"/>
    </w:rPr>
  </w:style>
  <w:style w:type="paragraph" w:customStyle="1" w:styleId="46">
    <w:name w:val="图111"/>
    <w:basedOn w:val="1"/>
    <w:link w:val="45"/>
    <w:qFormat/>
    <w:uiPriority w:val="0"/>
    <w:pPr>
      <w:jc w:val="center"/>
    </w:pPr>
    <w:rPr>
      <w:rFonts w:cs="Times New Roman"/>
      <w:b/>
      <w:szCs w:val="28"/>
    </w:rPr>
  </w:style>
  <w:style w:type="character" w:customStyle="1" w:styleId="47">
    <w:name w:val="表头 Char1"/>
    <w:link w:val="37"/>
    <w:qFormat/>
    <w:uiPriority w:val="0"/>
    <w:rPr>
      <w:rFonts w:eastAsia="黑体"/>
      <w:spacing w:val="6"/>
      <w:kern w:val="2"/>
      <w:position w:val="10"/>
      <w:sz w:val="24"/>
      <w:szCs w:val="24"/>
    </w:rPr>
  </w:style>
  <w:style w:type="character" w:customStyle="1" w:styleId="48">
    <w:name w:val="正文文本 Char"/>
    <w:link w:val="12"/>
    <w:qFormat/>
    <w:uiPriority w:val="0"/>
    <w:rPr>
      <w:rFonts w:eastAsia="微软雅黑"/>
      <w:kern w:val="2"/>
      <w:sz w:val="21"/>
    </w:rPr>
  </w:style>
  <w:style w:type="character" w:customStyle="1" w:styleId="49">
    <w:name w:val="标题 4 Char"/>
    <w:link w:val="5"/>
    <w:qFormat/>
    <w:uiPriority w:val="0"/>
    <w:rPr>
      <w:b/>
      <w:bCs/>
      <w:kern w:val="2"/>
      <w:sz w:val="24"/>
      <w:szCs w:val="28"/>
    </w:rPr>
  </w:style>
  <w:style w:type="character" w:customStyle="1" w:styleId="50">
    <w:name w:val="批注文字 Char"/>
    <w:link w:val="11"/>
    <w:semiHidden/>
    <w:qFormat/>
    <w:uiPriority w:val="99"/>
    <w:rPr>
      <w:rFonts w:ascii="Calibri" w:hAnsi="Calibri" w:cs="Calibri"/>
      <w:kern w:val="2"/>
      <w:sz w:val="21"/>
      <w:szCs w:val="21"/>
    </w:rPr>
  </w:style>
  <w:style w:type="character" w:customStyle="1" w:styleId="51">
    <w:name w:val="批注主题 Char"/>
    <w:link w:val="27"/>
    <w:semiHidden/>
    <w:qFormat/>
    <w:uiPriority w:val="99"/>
    <w:rPr>
      <w:rFonts w:ascii="Calibri" w:hAnsi="Calibri" w:cs="Calibri"/>
      <w:b/>
      <w:bCs/>
      <w:kern w:val="2"/>
      <w:sz w:val="21"/>
      <w:szCs w:val="21"/>
    </w:rPr>
  </w:style>
  <w:style w:type="character" w:customStyle="1" w:styleId="52">
    <w:name w:val="段落 Char Char Char"/>
    <w:uiPriority w:val="0"/>
    <w:rPr>
      <w:rFonts w:ascii="宋体" w:hAnsi="宋体" w:eastAsia="宋体"/>
      <w:kern w:val="2"/>
      <w:sz w:val="28"/>
      <w:szCs w:val="28"/>
      <w:lang w:val="en-US" w:eastAsia="zh-CN" w:bidi="ar-SA"/>
    </w:rPr>
  </w:style>
  <w:style w:type="character" w:customStyle="1" w:styleId="53">
    <w:name w:val="标题 2 Char"/>
    <w:link w:val="3"/>
    <w:qFormat/>
    <w:uiPriority w:val="0"/>
    <w:rPr>
      <w:rFonts w:eastAsia="宋体" w:cs="Times New Roman"/>
      <w:b/>
      <w:bCs/>
      <w:kern w:val="2"/>
      <w:sz w:val="30"/>
      <w:szCs w:val="32"/>
    </w:rPr>
  </w:style>
  <w:style w:type="character" w:customStyle="1" w:styleId="54">
    <w:name w:val="表头 Char Char"/>
    <w:link w:val="55"/>
    <w:qFormat/>
    <w:uiPriority w:val="0"/>
    <w:rPr>
      <w:rFonts w:ascii="黑体" w:eastAsia="黑体"/>
      <w:spacing w:val="20"/>
      <w:kern w:val="2"/>
      <w:sz w:val="24"/>
      <w:szCs w:val="24"/>
    </w:rPr>
  </w:style>
  <w:style w:type="paragraph" w:customStyle="1" w:styleId="55">
    <w:name w:val="表头 Char"/>
    <w:basedOn w:val="1"/>
    <w:link w:val="54"/>
    <w:qFormat/>
    <w:uiPriority w:val="0"/>
    <w:pPr>
      <w:spacing w:before="200" w:line="500" w:lineRule="exact"/>
    </w:pPr>
    <w:rPr>
      <w:rFonts w:ascii="黑体" w:eastAsia="黑体" w:cs="Times New Roman"/>
      <w:spacing w:val="20"/>
      <w:sz w:val="24"/>
      <w:szCs w:val="24"/>
    </w:rPr>
  </w:style>
  <w:style w:type="character" w:customStyle="1" w:styleId="56">
    <w:name w:val="标题 3 Char"/>
    <w:link w:val="4"/>
    <w:qFormat/>
    <w:uiPriority w:val="0"/>
    <w:rPr>
      <w:rFonts w:cs="Calibri"/>
      <w:b/>
      <w:bCs/>
      <w:kern w:val="2"/>
      <w:sz w:val="28"/>
      <w:szCs w:val="32"/>
    </w:rPr>
  </w:style>
  <w:style w:type="character" w:customStyle="1" w:styleId="57">
    <w:name w:val="文档结构图 Char"/>
    <w:link w:val="10"/>
    <w:semiHidden/>
    <w:qFormat/>
    <w:uiPriority w:val="99"/>
    <w:rPr>
      <w:rFonts w:ascii="宋体" w:hAnsi="Calibri" w:cs="Calibri"/>
      <w:kern w:val="2"/>
      <w:sz w:val="18"/>
      <w:szCs w:val="18"/>
    </w:rPr>
  </w:style>
  <w:style w:type="character" w:customStyle="1" w:styleId="58">
    <w:name w:val="段落 Char"/>
    <w:link w:val="59"/>
    <w:qFormat/>
    <w:uiPriority w:val="0"/>
    <w:rPr>
      <w:kern w:val="2"/>
      <w:sz w:val="24"/>
    </w:rPr>
  </w:style>
  <w:style w:type="paragraph" w:customStyle="1" w:styleId="59">
    <w:name w:val="段落"/>
    <w:basedOn w:val="1"/>
    <w:link w:val="58"/>
    <w:qFormat/>
    <w:uiPriority w:val="0"/>
    <w:pPr>
      <w:spacing w:line="500" w:lineRule="exact"/>
      <w:ind w:firstLine="200" w:firstLineChars="200"/>
    </w:pPr>
    <w:rPr>
      <w:rFonts w:cs="Times New Roman"/>
      <w:sz w:val="24"/>
      <w:szCs w:val="20"/>
    </w:rPr>
  </w:style>
  <w:style w:type="character" w:customStyle="1" w:styleId="60">
    <w:name w:val="页脚 Char"/>
    <w:link w:val="19"/>
    <w:qFormat/>
    <w:uiPriority w:val="0"/>
    <w:rPr>
      <w:rFonts w:cs="Calibri"/>
      <w:kern w:val="2"/>
      <w:sz w:val="18"/>
      <w:szCs w:val="18"/>
    </w:rPr>
  </w:style>
  <w:style w:type="character" w:customStyle="1" w:styleId="61">
    <w:name w:val="批注框文本 Char"/>
    <w:link w:val="18"/>
    <w:semiHidden/>
    <w:qFormat/>
    <w:uiPriority w:val="99"/>
    <w:rPr>
      <w:rFonts w:ascii="Calibri" w:hAnsi="Calibri" w:cs="Calibri"/>
      <w:kern w:val="2"/>
      <w:sz w:val="18"/>
      <w:szCs w:val="18"/>
    </w:rPr>
  </w:style>
  <w:style w:type="character" w:customStyle="1" w:styleId="62">
    <w:name w:val="标题 1 Char"/>
    <w:link w:val="2"/>
    <w:qFormat/>
    <w:uiPriority w:val="9"/>
    <w:rPr>
      <w:rFonts w:ascii="Calibri" w:hAnsi="Calibri" w:cs="Calibri"/>
      <w:b/>
      <w:bCs/>
      <w:kern w:val="44"/>
      <w:sz w:val="44"/>
      <w:szCs w:val="44"/>
    </w:rPr>
  </w:style>
  <w:style w:type="character" w:customStyle="1" w:styleId="63">
    <w:name w:val="标题 Char"/>
    <w:link w:val="26"/>
    <w:qFormat/>
    <w:uiPriority w:val="0"/>
    <w:rPr>
      <w:rFonts w:cs="Times New Roman"/>
      <w:b/>
      <w:bCs/>
      <w:kern w:val="2"/>
      <w:sz w:val="32"/>
      <w:szCs w:val="32"/>
    </w:rPr>
  </w:style>
  <w:style w:type="paragraph" w:customStyle="1" w:styleId="64">
    <w:name w:val="样式 结论 + 段后: 0.5 行"/>
    <w:basedOn w:val="1"/>
    <w:qFormat/>
    <w:uiPriority w:val="0"/>
    <w:pPr>
      <w:snapToGrid w:val="0"/>
      <w:spacing w:beforeLines="50" w:afterLines="50" w:line="500" w:lineRule="atLeast"/>
      <w:ind w:firstLine="561"/>
    </w:pPr>
    <w:rPr>
      <w:rFonts w:ascii="楷体_GB2312" w:eastAsia="楷体_GB2312" w:cs="宋体"/>
      <w:b/>
      <w:bCs/>
      <w:sz w:val="28"/>
    </w:rPr>
  </w:style>
  <w:style w:type="paragraph" w:customStyle="1" w:styleId="65">
    <w:name w:val="流程图的字"/>
    <w:basedOn w:val="1"/>
    <w:qFormat/>
    <w:uiPriority w:val="0"/>
    <w:pPr>
      <w:spacing w:line="360" w:lineRule="auto"/>
      <w:ind w:firstLine="200" w:firstLineChars="200"/>
      <w:jc w:val="center"/>
    </w:pPr>
    <w:rPr>
      <w:rFonts w:ascii="Calibri" w:hAnsi="Calibri" w:cs="Times New Roman"/>
      <w:kern w:val="0"/>
      <w:sz w:val="24"/>
      <w:szCs w:val="22"/>
    </w:rPr>
  </w:style>
  <w:style w:type="paragraph" w:customStyle="1" w:styleId="66">
    <w:name w:val="TOC Heading"/>
    <w:basedOn w:val="2"/>
    <w:next w:val="1"/>
    <w:qFormat/>
    <w:uiPriority w:val="39"/>
    <w:pPr>
      <w:widowControl/>
      <w:spacing w:before="480" w:line="276" w:lineRule="auto"/>
      <w:jc w:val="left"/>
      <w:outlineLvl w:val="9"/>
    </w:pPr>
    <w:rPr>
      <w:rFonts w:ascii="Cambria" w:hAnsi="Cambria" w:cs="Times New Roman"/>
      <w:color w:val="365F91"/>
      <w:kern w:val="0"/>
    </w:rPr>
  </w:style>
  <w:style w:type="paragraph" w:customStyle="1" w:styleId="67">
    <w:name w:val="p0"/>
    <w:basedOn w:val="1"/>
    <w:qFormat/>
    <w:uiPriority w:val="0"/>
    <w:pPr>
      <w:widowControl/>
    </w:pPr>
    <w:rPr>
      <w:rFonts w:cs="Times New Roman"/>
      <w:kern w:val="0"/>
    </w:rPr>
  </w:style>
  <w:style w:type="paragraph" w:customStyle="1" w:styleId="68">
    <w:name w:val="Char Char Char Char"/>
    <w:basedOn w:val="1"/>
    <w:qFormat/>
    <w:uiPriority w:val="0"/>
    <w:pPr>
      <w:spacing w:line="360" w:lineRule="auto"/>
      <w:ind w:firstLine="200" w:firstLineChars="200"/>
    </w:pPr>
    <w:rPr>
      <w:rFonts w:ascii="宋体" w:hAnsi="宋体" w:cs="宋体"/>
      <w:sz w:val="24"/>
      <w:szCs w:val="24"/>
    </w:rPr>
  </w:style>
  <w:style w:type="paragraph" w:customStyle="1" w:styleId="69">
    <w:name w:val="表格加粗"/>
    <w:basedOn w:val="38"/>
    <w:next w:val="38"/>
    <w:qFormat/>
    <w:uiPriority w:val="0"/>
    <w:pPr>
      <w:keepNext/>
      <w:adjustRightInd w:val="0"/>
      <w:textAlignment w:val="baseline"/>
    </w:pPr>
    <w:rPr>
      <w:b/>
      <w:kern w:val="0"/>
    </w:rPr>
  </w:style>
  <w:style w:type="character" w:customStyle="1" w:styleId="70">
    <w:name w:val="正文文本缩进 Char"/>
    <w:basedOn w:val="31"/>
    <w:link w:val="13"/>
    <w:semiHidden/>
    <w:qFormat/>
    <w:uiPriority w:val="99"/>
    <w:rPr>
      <w:rFonts w:cs="Calibri"/>
      <w:kern w:val="2"/>
      <w:sz w:val="21"/>
      <w:szCs w:val="21"/>
    </w:rPr>
  </w:style>
  <w:style w:type="character" w:customStyle="1" w:styleId="71">
    <w:name w:val="正文首行缩进 2 Char"/>
    <w:basedOn w:val="70"/>
    <w:link w:val="28"/>
    <w:semiHidden/>
    <w:qFormat/>
    <w:uiPriority w:val="99"/>
  </w:style>
  <w:style w:type="character" w:customStyle="1" w:styleId="72">
    <w:name w:val="标题 8 Char"/>
    <w:basedOn w:val="31"/>
    <w:link w:val="6"/>
    <w:qFormat/>
    <w:uiPriority w:val="0"/>
    <w:rPr>
      <w:rFonts w:asciiTheme="majorHAnsi" w:hAnsiTheme="majorHAnsi" w:eastAsiaTheme="majorEastAsia" w:cstheme="majorBidi"/>
      <w:kern w:val="2"/>
      <w:sz w:val="24"/>
      <w:szCs w:val="24"/>
    </w:rPr>
  </w:style>
  <w:style w:type="paragraph" w:customStyle="1" w:styleId="73">
    <w:name w:val="表格"/>
    <w:basedOn w:val="1"/>
    <w:qFormat/>
    <w:uiPriority w:val="0"/>
    <w:pPr>
      <w:keepNext/>
      <w:adjustRightInd w:val="0"/>
      <w:spacing w:line="312" w:lineRule="atLeast"/>
      <w:jc w:val="center"/>
      <w:textAlignment w:val="baseline"/>
    </w:pPr>
    <w:rPr>
      <w:rFonts w:cs="Times New Roman"/>
      <w:kern w:val="0"/>
      <w:szCs w:val="20"/>
    </w:rPr>
  </w:style>
  <w:style w:type="paragraph" w:customStyle="1" w:styleId="74">
    <w:name w:val="Char Char Char Char Char Char1 Char Char Char Char"/>
    <w:basedOn w:val="1"/>
    <w:autoRedefine/>
    <w:qFormat/>
    <w:uiPriority w:val="0"/>
    <w:rPr>
      <w:rFonts w:ascii="Tahoma" w:hAnsi="Tahoma" w:cs="Times New Roman"/>
      <w:sz w:val="24"/>
      <w:szCs w:val="24"/>
    </w:rPr>
  </w:style>
  <w:style w:type="paragraph" w:customStyle="1" w:styleId="75">
    <w:name w:val="表头 Char Char Char"/>
    <w:basedOn w:val="1"/>
    <w:link w:val="76"/>
    <w:qFormat/>
    <w:uiPriority w:val="0"/>
    <w:pPr>
      <w:spacing w:before="200" w:line="500" w:lineRule="exact"/>
    </w:pPr>
    <w:rPr>
      <w:rFonts w:ascii="黑体" w:eastAsia="黑体" w:cs="Times New Roman"/>
      <w:spacing w:val="20"/>
      <w:sz w:val="24"/>
      <w:szCs w:val="24"/>
    </w:rPr>
  </w:style>
  <w:style w:type="character" w:customStyle="1" w:styleId="76">
    <w:name w:val="表头 Char Char Char Char"/>
    <w:basedOn w:val="31"/>
    <w:link w:val="75"/>
    <w:qFormat/>
    <w:uiPriority w:val="0"/>
    <w:rPr>
      <w:rFonts w:ascii="黑体" w:eastAsia="黑体"/>
      <w:spacing w:val="20"/>
      <w:kern w:val="2"/>
      <w:sz w:val="24"/>
      <w:szCs w:val="24"/>
    </w:rPr>
  </w:style>
  <w:style w:type="paragraph" w:customStyle="1" w:styleId="77">
    <w:name w:val="标-5"/>
    <w:basedOn w:val="1"/>
    <w:autoRedefine/>
    <w:qFormat/>
    <w:uiPriority w:val="0"/>
    <w:pPr>
      <w:tabs>
        <w:tab w:val="right" w:leader="dot" w:pos="8789"/>
      </w:tabs>
      <w:ind w:left="38" w:firstLine="480"/>
    </w:pPr>
    <w:rPr>
      <w:rFonts w:hAnsi="宋体" w:cs="Times New Roman"/>
      <w:spacing w:val="-3"/>
      <w:sz w:val="24"/>
      <w:szCs w:val="24"/>
    </w:rPr>
  </w:style>
  <w:style w:type="paragraph" w:customStyle="1" w:styleId="78">
    <w:name w:val="文本框"/>
    <w:basedOn w:val="1"/>
    <w:link w:val="79"/>
    <w:qFormat/>
    <w:uiPriority w:val="0"/>
    <w:pPr>
      <w:jc w:val="center"/>
    </w:pPr>
    <w:rPr>
      <w:rFonts w:cs="Times New Roman"/>
    </w:rPr>
  </w:style>
  <w:style w:type="character" w:customStyle="1" w:styleId="79">
    <w:name w:val="文本框 Char"/>
    <w:basedOn w:val="31"/>
    <w:link w:val="78"/>
    <w:qFormat/>
    <w:uiPriority w:val="0"/>
    <w:rPr>
      <w:kern w:val="2"/>
      <w:sz w:val="21"/>
      <w:szCs w:val="21"/>
    </w:rPr>
  </w:style>
  <w:style w:type="paragraph" w:customStyle="1" w:styleId="80">
    <w:name w:val="五号表格"/>
    <w:basedOn w:val="1"/>
    <w:qFormat/>
    <w:uiPriority w:val="0"/>
    <w:pPr>
      <w:jc w:val="center"/>
    </w:pPr>
    <w:rPr>
      <w:rFonts w:cs="Times New Roman"/>
      <w:szCs w:val="20"/>
    </w:rPr>
  </w:style>
  <w:style w:type="character" w:customStyle="1" w:styleId="81">
    <w:name w:val="font11"/>
    <w:basedOn w:val="31"/>
    <w:qFormat/>
    <w:uiPriority w:val="0"/>
    <w:rPr>
      <w:rFonts w:hint="default" w:ascii="Times New Roman" w:hAnsi="Times New Roman" w:cs="Times New Roman"/>
      <w:color w:val="000000"/>
      <w:sz w:val="22"/>
      <w:szCs w:val="22"/>
      <w:u w:val="none"/>
    </w:rPr>
  </w:style>
  <w:style w:type="character" w:customStyle="1" w:styleId="82">
    <w:name w:val="正文文本 2 Char"/>
    <w:basedOn w:val="31"/>
    <w:link w:val="25"/>
    <w:semiHidden/>
    <w:qFormat/>
    <w:uiPriority w:val="99"/>
    <w:rPr>
      <w:rFonts w:cs="Calibri"/>
      <w:kern w:val="2"/>
      <w:sz w:val="21"/>
      <w:szCs w:val="21"/>
    </w:rPr>
  </w:style>
  <w:style w:type="character" w:customStyle="1" w:styleId="83">
    <w:name w:val="正文文本 字符"/>
    <w:basedOn w:val="31"/>
    <w:link w:val="12"/>
    <w:qFormat/>
    <w:uiPriority w:val="0"/>
    <w:rPr>
      <w:rFonts w:hint="eastAsia" w:ascii="微软雅黑" w:hAnsi="微软雅黑" w:eastAsia="微软雅黑" w:cs="微软雅黑"/>
    </w:rPr>
  </w:style>
  <w:style w:type="character" w:customStyle="1" w:styleId="84">
    <w:name w:val="20"/>
    <w:basedOn w:val="31"/>
    <w:qFormat/>
    <w:uiPriority w:val="0"/>
    <w:rPr>
      <w:rFonts w:hint="default" w:ascii="Times New Roman" w:hAnsi="Times New Roman" w:cs="Times New Roman"/>
      <w:color w:val="000000"/>
      <w:sz w:val="21"/>
      <w:szCs w:val="21"/>
    </w:rPr>
  </w:style>
  <w:style w:type="character" w:customStyle="1" w:styleId="85">
    <w:name w:val="标题 1 字符"/>
    <w:basedOn w:val="31"/>
    <w:link w:val="2"/>
    <w:qFormat/>
    <w:uiPriority w:val="0"/>
    <w:rPr>
      <w:rFonts w:hint="default" w:ascii="Tahoma" w:hAnsi="Tahoma" w:eastAsia="微软雅黑" w:cs="Tahoma"/>
      <w:sz w:val="22"/>
      <w:szCs w:val="22"/>
    </w:rPr>
  </w:style>
  <w:style w:type="character" w:customStyle="1" w:styleId="86">
    <w:name w:val="checkbox"/>
    <w:basedOn w:val="31"/>
    <w:qFormat/>
    <w:uiPriority w:val="0"/>
  </w:style>
  <w:style w:type="character" w:customStyle="1" w:styleId="87">
    <w:name w:val="页眉 字符"/>
    <w:basedOn w:val="31"/>
    <w:link w:val="20"/>
    <w:qFormat/>
    <w:uiPriority w:val="0"/>
    <w:rPr>
      <w:rFonts w:hint="default" w:ascii="Tahoma" w:hAnsi="Tahoma" w:eastAsia="微软雅黑" w:cs="Tahoma"/>
      <w:sz w:val="18"/>
      <w:szCs w:val="22"/>
    </w:rPr>
  </w:style>
  <w:style w:type="character" w:customStyle="1" w:styleId="88">
    <w:name w:val="font01"/>
    <w:basedOn w:val="31"/>
    <w:qFormat/>
    <w:uiPriority w:val="0"/>
    <w:rPr>
      <w:rFonts w:hint="eastAsia" w:ascii="宋体" w:hAnsi="宋体" w:eastAsia="宋体" w:cs="宋体"/>
      <w:color w:val="000000"/>
      <w:sz w:val="20"/>
      <w:szCs w:val="20"/>
      <w:u w:val="none"/>
    </w:rPr>
  </w:style>
  <w:style w:type="character" w:customStyle="1" w:styleId="89">
    <w:name w:val="批注主题 字符"/>
    <w:basedOn w:val="90"/>
    <w:link w:val="27"/>
    <w:qFormat/>
    <w:uiPriority w:val="0"/>
    <w:rPr>
      <w:rFonts w:hint="default" w:ascii="Tahoma" w:hAnsi="Tahoma" w:eastAsia="微软雅黑" w:cs="Tahoma"/>
      <w:b/>
      <w:bCs/>
      <w:sz w:val="24"/>
      <w:szCs w:val="22"/>
    </w:rPr>
  </w:style>
  <w:style w:type="character" w:customStyle="1" w:styleId="90">
    <w:name w:val="批注文字 字符"/>
    <w:basedOn w:val="31"/>
    <w:qFormat/>
    <w:uiPriority w:val="0"/>
    <w:rPr>
      <w:rFonts w:hint="default" w:ascii="Tahoma" w:hAnsi="Tahoma" w:eastAsia="微软雅黑" w:cs="Tahoma"/>
      <w:sz w:val="22"/>
      <w:szCs w:val="22"/>
    </w:rPr>
  </w:style>
  <w:style w:type="character" w:customStyle="1" w:styleId="91">
    <w:name w:val="checkbox2"/>
    <w:basedOn w:val="31"/>
    <w:qFormat/>
    <w:uiPriority w:val="0"/>
  </w:style>
  <w:style w:type="character" w:customStyle="1" w:styleId="92">
    <w:name w:val="批注框文本 字符"/>
    <w:basedOn w:val="31"/>
    <w:link w:val="18"/>
    <w:qFormat/>
    <w:uiPriority w:val="0"/>
    <w:rPr>
      <w:rFonts w:hint="default" w:ascii="Tahoma" w:hAnsi="Tahoma" w:eastAsia="微软雅黑" w:cs="Tahoma"/>
      <w:sz w:val="18"/>
      <w:szCs w:val="18"/>
    </w:rPr>
  </w:style>
  <w:style w:type="character" w:customStyle="1" w:styleId="93">
    <w:name w:val="shenbao"/>
    <w:basedOn w:val="31"/>
    <w:qFormat/>
    <w:uiPriority w:val="0"/>
    <w:rPr>
      <w:color w:val="EF6334"/>
    </w:rPr>
  </w:style>
  <w:style w:type="character" w:customStyle="1" w:styleId="94">
    <w:name w:val="纯文本 字符"/>
    <w:basedOn w:val="31"/>
    <w:link w:val="16"/>
    <w:qFormat/>
    <w:uiPriority w:val="0"/>
    <w:rPr>
      <w:rFonts w:hint="eastAsia" w:ascii="宋体" w:hAnsi="Courier New" w:eastAsia="宋体" w:cs="Courier New"/>
      <w:sz w:val="21"/>
      <w:szCs w:val="21"/>
    </w:rPr>
  </w:style>
  <w:style w:type="character" w:customStyle="1" w:styleId="95">
    <w:name w:val="15"/>
    <w:basedOn w:val="31"/>
    <w:qFormat/>
    <w:uiPriority w:val="0"/>
    <w:rPr>
      <w:rFonts w:hint="eastAsia" w:ascii="宋体" w:hAnsi="宋体" w:eastAsia="宋体" w:cs="宋体"/>
      <w:color w:val="000000"/>
      <w:sz w:val="20"/>
      <w:szCs w:val="20"/>
    </w:rPr>
  </w:style>
  <w:style w:type="character" w:customStyle="1" w:styleId="96">
    <w:name w:val="正文文本缩进 字符"/>
    <w:basedOn w:val="31"/>
    <w:link w:val="13"/>
    <w:qFormat/>
    <w:uiPriority w:val="0"/>
    <w:rPr>
      <w:rFonts w:hint="default" w:ascii="Tahoma" w:hAnsi="Tahoma" w:eastAsia="微软雅黑" w:cs="Tahoma"/>
      <w:sz w:val="22"/>
      <w:szCs w:val="22"/>
    </w:rPr>
  </w:style>
  <w:style w:type="character" w:customStyle="1" w:styleId="97">
    <w:name w:val="页脚 字符"/>
    <w:basedOn w:val="31"/>
    <w:link w:val="19"/>
    <w:qFormat/>
    <w:uiPriority w:val="0"/>
    <w:rPr>
      <w:rFonts w:hint="default" w:ascii="Tahoma" w:hAnsi="Tahoma" w:eastAsia="Tahoma" w:cs="Tahoma"/>
      <w:sz w:val="18"/>
      <w:szCs w:val="18"/>
    </w:rPr>
  </w:style>
  <w:style w:type="character" w:customStyle="1" w:styleId="98">
    <w:name w:val="正文文本 2 字符"/>
    <w:basedOn w:val="31"/>
    <w:link w:val="25"/>
    <w:qFormat/>
    <w:uiPriority w:val="0"/>
    <w:rPr>
      <w:rFonts w:hint="default" w:ascii="Tahoma" w:hAnsi="Tahoma" w:eastAsia="微软雅黑" w:cs="Tahoma"/>
      <w:sz w:val="22"/>
      <w:szCs w:val="22"/>
    </w:rPr>
  </w:style>
  <w:style w:type="character" w:customStyle="1" w:styleId="99">
    <w:name w:val="正文文本首行缩进 2 字符"/>
    <w:basedOn w:val="96"/>
    <w:qFormat/>
    <w:uiPriority w:val="0"/>
    <w:rPr>
      <w:rFonts w:hint="default" w:ascii="Tahoma" w:hAnsi="Tahoma" w:eastAsia="微软雅黑" w:cs="Tahoma"/>
      <w:sz w:val="22"/>
      <w:szCs w:val="22"/>
    </w:rPr>
  </w:style>
  <w:style w:type="character" w:customStyle="1" w:styleId="100">
    <w:name w:val="正文文本 (2) + Georgia Exact"/>
    <w:basedOn w:val="31"/>
    <w:qFormat/>
    <w:uiPriority w:val="0"/>
    <w:rPr>
      <w:rFonts w:hint="default" w:ascii="Georgia" w:hAnsi="Georgia" w:eastAsia="Georgia" w:cs="Verdana"/>
      <w:b/>
      <w:kern w:val="0"/>
      <w:sz w:val="22"/>
      <w:lang w:val="en-US" w:eastAsia="en-US"/>
    </w:rPr>
  </w:style>
  <w:style w:type="character" w:customStyle="1" w:styleId="101">
    <w:name w:val="chakan"/>
    <w:basedOn w:val="31"/>
    <w:qFormat/>
    <w:uiPriority w:val="0"/>
    <w:rPr>
      <w:color w:val="0064EA"/>
    </w:rPr>
  </w:style>
  <w:style w:type="character" w:customStyle="1" w:styleId="102">
    <w:name w:val="正文文本 (2) + 10 pt"/>
    <w:basedOn w:val="31"/>
    <w:qFormat/>
    <w:uiPriority w:val="0"/>
    <w:rPr>
      <w:rFonts w:hint="eastAsia" w:ascii="宋体" w:hAnsi="宋体" w:eastAsia="宋体" w:cs="Verdana"/>
      <w:b/>
      <w:kern w:val="0"/>
      <w:sz w:val="20"/>
      <w:lang w:eastAsia="en-US"/>
    </w:rPr>
  </w:style>
  <w:style w:type="character" w:customStyle="1" w:styleId="103">
    <w:name w:val="正文文本 (2) + Georgia"/>
    <w:basedOn w:val="31"/>
    <w:qFormat/>
    <w:uiPriority w:val="0"/>
    <w:rPr>
      <w:rFonts w:hint="default" w:ascii="Georgia" w:hAnsi="Georgia" w:eastAsia="Georgia" w:cs="Verdana"/>
      <w:b/>
      <w:kern w:val="0"/>
      <w:sz w:val="22"/>
      <w:lang w:val="en-US" w:eastAsia="en-US"/>
    </w:rPr>
  </w:style>
  <w:style w:type="character" w:customStyle="1" w:styleId="104">
    <w:name w:val="正文文本 (2) Exact"/>
    <w:basedOn w:val="31"/>
    <w:qFormat/>
    <w:uiPriority w:val="0"/>
    <w:rPr>
      <w:rFonts w:hint="eastAsia" w:ascii="宋体" w:hAnsi="宋体" w:eastAsia="宋体" w:cs="Verdana"/>
      <w:b/>
      <w:kern w:val="0"/>
      <w:sz w:val="22"/>
      <w:lang w:eastAsia="en-US"/>
    </w:rPr>
  </w:style>
  <w:style w:type="character" w:customStyle="1" w:styleId="105">
    <w:name w:val="正文文本 (2)_"/>
    <w:basedOn w:val="31"/>
    <w:qFormat/>
    <w:uiPriority w:val="0"/>
    <w:rPr>
      <w:rFonts w:hint="eastAsia" w:ascii="宋体" w:hAnsi="宋体" w:eastAsia="宋体" w:cs="Verdana"/>
      <w:b/>
      <w:sz w:val="22"/>
      <w:shd w:val="clear" w:fill="FFFFFF"/>
      <w:lang w:eastAsia="en-US"/>
    </w:rPr>
  </w:style>
  <w:style w:type="character" w:customStyle="1" w:styleId="106">
    <w:name w:val="鸿达表格文字 Char"/>
    <w:basedOn w:val="31"/>
    <w:qFormat/>
    <w:uiPriority w:val="0"/>
    <w:rPr>
      <w:rFonts w:hint="default" w:ascii="Tahoma" w:hAnsi="Tahoma" w:eastAsia="微软雅黑" w:cs="Tahoma"/>
      <w:sz w:val="22"/>
      <w:szCs w:val="21"/>
    </w:rPr>
  </w:style>
  <w:style w:type="character" w:customStyle="1" w:styleId="107">
    <w:name w:val="批注文字 字符1"/>
    <w:basedOn w:val="31"/>
    <w:link w:val="11"/>
    <w:qFormat/>
    <w:uiPriority w:val="0"/>
    <w:rPr>
      <w:sz w:val="24"/>
    </w:rPr>
  </w:style>
  <w:style w:type="character" w:customStyle="1" w:styleId="108">
    <w:name w:val="font21"/>
    <w:basedOn w:val="31"/>
    <w:qFormat/>
    <w:uiPriority w:val="0"/>
    <w:rPr>
      <w:rFonts w:hint="eastAsia" w:ascii="宋体" w:hAnsi="宋体" w:eastAsia="宋体" w:cs="宋体"/>
      <w:color w:val="000000"/>
      <w:sz w:val="21"/>
      <w:szCs w:val="21"/>
      <w:u w:val="none"/>
    </w:rPr>
  </w:style>
  <w:style w:type="character" w:customStyle="1" w:styleId="109">
    <w:name w:val="cf01"/>
    <w:basedOn w:val="31"/>
    <w:qFormat/>
    <w:uiPriority w:val="0"/>
    <w:rPr>
      <w:rFonts w:hint="eastAsia" w:ascii="Microsoft YaHei UI" w:hAnsi="Microsoft YaHei UI" w:eastAsia="Microsoft YaHei UI" w:cs="Microsoft YaHei UI"/>
      <w:sz w:val="18"/>
      <w:szCs w:val="18"/>
    </w:rPr>
  </w:style>
  <w:style w:type="character" w:customStyle="1" w:styleId="110">
    <w:name w:val="cf11"/>
    <w:basedOn w:val="31"/>
    <w:qFormat/>
    <w:uiPriority w:val="0"/>
    <w:rPr>
      <w:rFonts w:hint="eastAsia" w:ascii="Microsoft YaHei UI" w:hAnsi="Microsoft YaHei UI" w:eastAsia="Microsoft YaHei UI" w:cs="Microsoft YaHei UI"/>
      <w:sz w:val="18"/>
      <w:szCs w:val="18"/>
    </w:rPr>
  </w:style>
  <w:style w:type="character" w:customStyle="1" w:styleId="111">
    <w:name w:val="未处理的提及1"/>
    <w:basedOn w:val="31"/>
    <w:qFormat/>
    <w:uiPriority w:val="0"/>
    <w:rPr>
      <w:color w:val="605E5C"/>
      <w:shd w:val="clear" w:fill="E1DFDD"/>
    </w:rPr>
  </w:style>
  <w:style w:type="table" w:customStyle="1" w:styleId="112">
    <w:name w:val="Table Normal"/>
    <w:basedOn w:val="29"/>
    <w:qFormat/>
    <w:uiPriority w:val="0"/>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1.bin"/><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5.emf"/><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488"/>
    <customShpInfo spid="_x0000_s1486"/>
    <customShpInfo spid="_x0000_s1933"/>
    <customShpInfo spid="_x0000_s1930"/>
    <customShpInfo spid="_x0000_s1929"/>
    <customShpInfo spid="_x0000_s1928"/>
    <customShpInfo spid="_x0000_s1927"/>
    <customShpInfo spid="_x0000_s1932"/>
    <customShpInfo spid="_x0000_s1926"/>
    <customShpInfo spid="_x0000_s147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DAC787-71BB-440E-B5FF-4B5E081B4220}">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26</Pages>
  <Words>1514</Words>
  <Characters>1830</Characters>
  <Lines>243</Lines>
  <Paragraphs>68</Paragraphs>
  <TotalTime>0</TotalTime>
  <ScaleCrop>false</ScaleCrop>
  <LinksUpToDate>false</LinksUpToDate>
  <CharactersWithSpaces>2042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2019-01-05T09:41:00Z</dcterms:created>
  <dc:creator>Administrator</dc:creator>
  <cp:lastModifiedBy>火柴盒</cp:lastModifiedBy>
  <cp:lastPrinted>2019-06-25T06:46:00Z</cp:lastPrinted>
  <dcterms:modified xsi:type="dcterms:W3CDTF">2026-07-23T00:27:24Z</dcterms:modified>
  <dc:title>河南科隆新能源有限公司</dc:title>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eyJoZGlkIjoiZjViMjU0YTZlOTgyMWFkYzg1OTY4OGQ2NTUwNzlmNjEiLCJ1c2VySWQiOiI0NTQxNDIyMDEifQ==</vt:lpwstr>
  </property>
  <property fmtid="{D5CDD505-2E9C-101B-9397-08002B2CF9AE}" pid="4" name="ICV">
    <vt:lpwstr>144F1555F13C487EBBEB2A62600B7257_12</vt:lpwstr>
  </property>
</Properties>
</file>