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90FBB">
      <w:pPr>
        <w:spacing w:line="360" w:lineRule="auto"/>
        <w:rPr>
          <w:rFonts w:eastAsia="仿宋_GB2312"/>
          <w:color w:val="auto"/>
          <w:sz w:val="28"/>
        </w:rPr>
      </w:pPr>
    </w:p>
    <w:p w14:paraId="46461520">
      <w:pPr>
        <w:spacing w:line="360" w:lineRule="auto"/>
        <w:rPr>
          <w:rFonts w:eastAsia="仿宋_GB2312"/>
          <w:color w:val="auto"/>
          <w:sz w:val="28"/>
        </w:rPr>
      </w:pPr>
    </w:p>
    <w:p w14:paraId="42C59F7E">
      <w:pPr>
        <w:spacing w:line="360" w:lineRule="auto"/>
        <w:rPr>
          <w:rFonts w:eastAsia="仿宋_GB2312"/>
          <w:color w:val="auto"/>
          <w:sz w:val="28"/>
        </w:rPr>
      </w:pPr>
    </w:p>
    <w:p w14:paraId="25A9A81A">
      <w:pPr>
        <w:spacing w:after="0" w:line="360" w:lineRule="auto"/>
        <w:jc w:val="center"/>
        <w:rPr>
          <w:rFonts w:hint="eastAsia" w:ascii="Times New Roman" w:hAnsi="Times New Roman" w:eastAsia="华文新魏" w:cs="Times New Roman"/>
          <w:color w:val="auto"/>
          <w:sz w:val="44"/>
          <w:szCs w:val="48"/>
        </w:rPr>
      </w:pPr>
      <w:bookmarkStart w:id="0" w:name="_Hlk190681258"/>
      <w:r>
        <w:rPr>
          <w:rFonts w:hint="eastAsia" w:ascii="Times New Roman" w:hAnsi="Times New Roman" w:eastAsia="华文新魏" w:cs="Times New Roman"/>
          <w:color w:val="auto"/>
          <w:sz w:val="44"/>
          <w:szCs w:val="48"/>
        </w:rPr>
        <w:t>长垣市聚博环保科技有限公司年收集、贮存9860吨危险废物项目</w:t>
      </w:r>
      <w:bookmarkEnd w:id="0"/>
      <w:r>
        <w:rPr>
          <w:rFonts w:hint="eastAsia" w:ascii="Times New Roman" w:hAnsi="Times New Roman" w:eastAsia="华文新魏" w:cs="Times New Roman"/>
          <w:color w:val="auto"/>
          <w:sz w:val="44"/>
          <w:szCs w:val="48"/>
        </w:rPr>
        <w:t>竣工环境保护验收报告</w:t>
      </w:r>
    </w:p>
    <w:p w14:paraId="78A2AE7B">
      <w:pPr>
        <w:spacing w:line="360" w:lineRule="auto"/>
        <w:jc w:val="center"/>
        <w:rPr>
          <w:rFonts w:eastAsia="仿宋_GB2312"/>
          <w:color w:val="auto"/>
          <w:sz w:val="28"/>
        </w:rPr>
      </w:pPr>
    </w:p>
    <w:p w14:paraId="140C9800">
      <w:pPr>
        <w:jc w:val="center"/>
        <w:rPr>
          <w:rFonts w:eastAsia="仿宋_GB2312"/>
          <w:color w:val="auto"/>
          <w:sz w:val="28"/>
        </w:rPr>
      </w:pPr>
    </w:p>
    <w:p w14:paraId="42300075">
      <w:pPr>
        <w:jc w:val="center"/>
        <w:rPr>
          <w:rFonts w:eastAsia="仿宋_GB2312"/>
          <w:color w:val="auto"/>
          <w:sz w:val="28"/>
        </w:rPr>
      </w:pPr>
    </w:p>
    <w:p w14:paraId="468E54C8">
      <w:pPr>
        <w:jc w:val="center"/>
        <w:rPr>
          <w:rFonts w:eastAsia="仿宋_GB2312"/>
          <w:color w:val="auto"/>
          <w:sz w:val="28"/>
        </w:rPr>
      </w:pPr>
    </w:p>
    <w:p w14:paraId="5D57530C">
      <w:pPr>
        <w:rPr>
          <w:rFonts w:eastAsia="仿宋_GB2312"/>
          <w:b/>
          <w:color w:val="auto"/>
          <w:sz w:val="28"/>
          <w:u w:val="single"/>
        </w:rPr>
      </w:pPr>
    </w:p>
    <w:p w14:paraId="7A19DDC1">
      <w:pPr>
        <w:rPr>
          <w:rFonts w:eastAsia="仿宋_GB2312"/>
          <w:color w:val="auto"/>
          <w:sz w:val="28"/>
        </w:rPr>
      </w:pPr>
      <w:r>
        <w:rPr>
          <w:rFonts w:eastAsia="仿宋_GB2312"/>
          <w:color w:val="auto"/>
          <w:sz w:val="28"/>
        </w:rPr>
        <w:tab/>
      </w:r>
    </w:p>
    <w:p w14:paraId="4D5D329E">
      <w:pPr>
        <w:rPr>
          <w:rFonts w:eastAsia="仿宋_GB2312"/>
          <w:color w:val="auto"/>
          <w:sz w:val="28"/>
        </w:rPr>
      </w:pPr>
    </w:p>
    <w:p w14:paraId="0B6BBAD5">
      <w:pPr>
        <w:rPr>
          <w:rFonts w:eastAsia="仿宋_GB2312"/>
          <w:color w:val="auto"/>
          <w:sz w:val="28"/>
        </w:rPr>
      </w:pPr>
    </w:p>
    <w:p w14:paraId="1C99C357">
      <w:pPr>
        <w:rPr>
          <w:rFonts w:eastAsia="仿宋_GB2312"/>
          <w:color w:val="auto"/>
          <w:sz w:val="28"/>
        </w:rPr>
      </w:pPr>
    </w:p>
    <w:p w14:paraId="3EEB3247">
      <w:pPr>
        <w:rPr>
          <w:rFonts w:eastAsia="华文新魏"/>
          <w:color w:val="auto"/>
          <w:sz w:val="28"/>
          <w:szCs w:val="28"/>
        </w:rPr>
      </w:pPr>
    </w:p>
    <w:p w14:paraId="5FF4B0C6">
      <w:pPr>
        <w:jc w:val="center"/>
        <w:rPr>
          <w:rFonts w:ascii="Times New Roman" w:hAnsi="Times New Roman" w:eastAsia="华文新魏" w:cs="Times New Roman"/>
          <w:color w:val="auto"/>
          <w:sz w:val="28"/>
          <w:szCs w:val="28"/>
        </w:rPr>
      </w:pPr>
    </w:p>
    <w:p w14:paraId="492E73BF">
      <w:pPr>
        <w:jc w:val="center"/>
        <w:rPr>
          <w:rFonts w:hint="eastAsia" w:ascii="Times New Roman" w:hAnsi="Times New Roman" w:eastAsia="华文新魏" w:cs="Times New Roman"/>
          <w:color w:val="auto"/>
          <w:sz w:val="28"/>
          <w:szCs w:val="28"/>
          <w:lang w:eastAsia="zh-CN"/>
        </w:rPr>
      </w:pPr>
      <w:r>
        <w:rPr>
          <w:rFonts w:ascii="Times New Roman" w:hAnsi="Times New Roman" w:eastAsia="华文新魏" w:cs="Times New Roman"/>
          <w:color w:val="auto"/>
          <w:sz w:val="28"/>
          <w:szCs w:val="28"/>
        </w:rPr>
        <w:t>建设单位</w:t>
      </w:r>
      <w:r>
        <w:rPr>
          <w:rFonts w:hint="eastAsia" w:eastAsia="华文新魏" w:cs="Times New Roman"/>
          <w:color w:val="auto"/>
          <w:sz w:val="28"/>
          <w:szCs w:val="28"/>
          <w:lang w:eastAsia="zh-CN"/>
        </w:rPr>
        <w:t>：长垣市聚博环保科技有限公司</w:t>
      </w:r>
    </w:p>
    <w:p w14:paraId="161B3BBC">
      <w:pPr>
        <w:jc w:val="center"/>
        <w:rPr>
          <w:rFonts w:hint="eastAsia" w:ascii="Times New Roman" w:hAnsi="Times New Roman" w:eastAsia="华文新魏" w:cs="Times New Roman"/>
          <w:color w:val="auto"/>
          <w:sz w:val="28"/>
          <w:szCs w:val="28"/>
          <w:lang w:eastAsia="zh-CN"/>
        </w:rPr>
      </w:pPr>
      <w:r>
        <w:rPr>
          <w:rFonts w:ascii="Times New Roman" w:hAnsi="Times New Roman" w:eastAsia="华文新魏" w:cs="Times New Roman"/>
          <w:color w:val="auto"/>
          <w:sz w:val="28"/>
          <w:szCs w:val="28"/>
        </w:rPr>
        <w:t>编制单位：</w:t>
      </w:r>
      <w:r>
        <w:rPr>
          <w:rFonts w:hint="eastAsia" w:eastAsia="华文新魏" w:cs="Times New Roman"/>
          <w:color w:val="auto"/>
          <w:sz w:val="28"/>
          <w:szCs w:val="28"/>
          <w:lang w:eastAsia="zh-CN"/>
        </w:rPr>
        <w:t>长垣市聚博环保科技有限公司</w:t>
      </w:r>
    </w:p>
    <w:p w14:paraId="70CE0090">
      <w:pPr>
        <w:rPr>
          <w:rFonts w:eastAsia="华文新魏"/>
          <w:color w:val="auto"/>
          <w:sz w:val="28"/>
          <w:szCs w:val="28"/>
        </w:rPr>
      </w:pPr>
    </w:p>
    <w:p w14:paraId="41355464">
      <w:pPr>
        <w:jc w:val="center"/>
        <w:rPr>
          <w:rFonts w:eastAsia="华文新魏"/>
          <w:color w:val="auto"/>
          <w:sz w:val="28"/>
          <w:szCs w:val="28"/>
        </w:rPr>
      </w:pPr>
      <w:r>
        <w:rPr>
          <w:rFonts w:eastAsia="华文新魏"/>
          <w:b/>
          <w:color w:val="auto"/>
          <w:sz w:val="28"/>
          <w:szCs w:val="28"/>
        </w:rPr>
        <w:t>202</w:t>
      </w:r>
      <w:r>
        <w:rPr>
          <w:rFonts w:hint="eastAsia" w:eastAsia="华文新魏"/>
          <w:b/>
          <w:color w:val="auto"/>
          <w:sz w:val="28"/>
          <w:szCs w:val="28"/>
          <w:lang w:val="en-US" w:eastAsia="zh-CN"/>
        </w:rPr>
        <w:t>6</w:t>
      </w:r>
      <w:r>
        <w:rPr>
          <w:rFonts w:eastAsia="华文新魏"/>
          <w:color w:val="auto"/>
          <w:sz w:val="28"/>
          <w:szCs w:val="28"/>
        </w:rPr>
        <w:t>年</w:t>
      </w:r>
      <w:r>
        <w:rPr>
          <w:rFonts w:hint="eastAsia" w:eastAsia="华文新魏"/>
          <w:b/>
          <w:color w:val="auto"/>
          <w:sz w:val="28"/>
          <w:szCs w:val="28"/>
          <w:lang w:val="en-US" w:eastAsia="zh-CN"/>
        </w:rPr>
        <w:t>8</w:t>
      </w:r>
      <w:r>
        <w:rPr>
          <w:rFonts w:eastAsia="华文新魏"/>
          <w:color w:val="auto"/>
          <w:sz w:val="28"/>
          <w:szCs w:val="28"/>
        </w:rPr>
        <w:t>月</w:t>
      </w:r>
    </w:p>
    <w:p w14:paraId="35F34484">
      <w:pPr>
        <w:jc w:val="center"/>
        <w:rPr>
          <w:rFonts w:eastAsia="华文新魏"/>
          <w:color w:val="auto"/>
          <w:sz w:val="28"/>
          <w:szCs w:val="28"/>
        </w:rPr>
      </w:pPr>
    </w:p>
    <w:p w14:paraId="76A32CA7">
      <w:pPr>
        <w:spacing w:line="360" w:lineRule="auto"/>
        <w:rPr>
          <w:rFonts w:eastAsia="仿宋_GB2312"/>
          <w:b/>
          <w:color w:val="auto"/>
          <w:sz w:val="28"/>
        </w:rPr>
      </w:pPr>
    </w:p>
    <w:p w14:paraId="2035310D">
      <w:pPr>
        <w:spacing w:line="360" w:lineRule="auto"/>
        <w:rPr>
          <w:rFonts w:eastAsia="仿宋_GB2312"/>
          <w:b/>
          <w:color w:val="auto"/>
          <w:sz w:val="28"/>
        </w:rPr>
      </w:pPr>
    </w:p>
    <w:p w14:paraId="7B0F8D3B">
      <w:pPr>
        <w:spacing w:line="360" w:lineRule="auto"/>
        <w:rPr>
          <w:rFonts w:eastAsia="仿宋_GB2312"/>
          <w:color w:val="auto"/>
          <w:sz w:val="28"/>
        </w:rPr>
      </w:pPr>
      <w:r>
        <w:rPr>
          <w:rFonts w:eastAsia="仿宋_GB2312"/>
          <w:b/>
          <w:color w:val="auto"/>
          <w:sz w:val="28"/>
        </w:rPr>
        <w:t>建设单位法人代表:</w:t>
      </w:r>
      <w:r>
        <w:rPr>
          <w:rFonts w:eastAsia="仿宋_GB2312"/>
          <w:color w:val="auto"/>
          <w:sz w:val="28"/>
        </w:rPr>
        <w:t xml:space="preserve">            （签字）</w:t>
      </w:r>
    </w:p>
    <w:p w14:paraId="1EAA0BD8">
      <w:pPr>
        <w:spacing w:line="360" w:lineRule="auto"/>
        <w:rPr>
          <w:rFonts w:eastAsia="仿宋_GB2312"/>
          <w:color w:val="auto"/>
          <w:sz w:val="28"/>
        </w:rPr>
      </w:pPr>
      <w:r>
        <w:rPr>
          <w:rFonts w:eastAsia="仿宋_GB2312"/>
          <w:b/>
          <w:color w:val="auto"/>
          <w:sz w:val="28"/>
        </w:rPr>
        <w:t>编制单位法人代表:</w:t>
      </w:r>
      <w:r>
        <w:rPr>
          <w:rFonts w:eastAsia="仿宋_GB2312"/>
          <w:color w:val="auto"/>
          <w:sz w:val="28"/>
        </w:rPr>
        <w:t xml:space="preserve">            （签字）</w:t>
      </w:r>
    </w:p>
    <w:p w14:paraId="7C95173C">
      <w:pPr>
        <w:spacing w:line="360" w:lineRule="auto"/>
        <w:rPr>
          <w:rFonts w:hint="eastAsia" w:eastAsia="仿宋_GB2312"/>
          <w:b/>
          <w:color w:val="auto"/>
          <w:sz w:val="28"/>
          <w:lang w:eastAsia="zh-CN"/>
        </w:rPr>
      </w:pPr>
      <w:r>
        <w:rPr>
          <w:rFonts w:eastAsia="仿宋_GB2312"/>
          <w:b/>
          <w:color w:val="auto"/>
          <w:sz w:val="28"/>
        </w:rPr>
        <w:t>项目负责人:</w:t>
      </w:r>
      <w:r>
        <w:rPr>
          <w:rFonts w:hint="eastAsia" w:eastAsia="仿宋_GB2312"/>
          <w:b/>
          <w:color w:val="auto"/>
          <w:sz w:val="28"/>
          <w:lang w:eastAsia="zh-CN"/>
        </w:rPr>
        <w:t>侯胜奎</w:t>
      </w:r>
    </w:p>
    <w:p w14:paraId="7EA95AB8">
      <w:pPr>
        <w:spacing w:line="360" w:lineRule="auto"/>
        <w:rPr>
          <w:rFonts w:hint="eastAsia" w:eastAsia="仿宋_GB2312"/>
          <w:color w:val="auto"/>
          <w:sz w:val="28"/>
          <w:lang w:eastAsia="zh-CN"/>
        </w:rPr>
      </w:pPr>
      <w:r>
        <w:rPr>
          <w:rFonts w:eastAsia="仿宋_GB2312"/>
          <w:b/>
          <w:color w:val="auto"/>
          <w:sz w:val="28"/>
        </w:rPr>
        <w:t>填</w:t>
      </w:r>
      <w:r>
        <w:rPr>
          <w:rFonts w:hint="eastAsia" w:eastAsia="仿宋_GB2312"/>
          <w:b/>
          <w:color w:val="auto"/>
          <w:sz w:val="28"/>
          <w:lang w:val="en-US" w:eastAsia="zh-CN"/>
        </w:rPr>
        <w:t xml:space="preserve">  </w:t>
      </w:r>
      <w:r>
        <w:rPr>
          <w:rFonts w:eastAsia="仿宋_GB2312"/>
          <w:b/>
          <w:color w:val="auto"/>
          <w:sz w:val="28"/>
        </w:rPr>
        <w:t>表</w:t>
      </w:r>
      <w:r>
        <w:rPr>
          <w:rFonts w:hint="eastAsia" w:eastAsia="仿宋_GB2312"/>
          <w:b/>
          <w:color w:val="auto"/>
          <w:sz w:val="28"/>
          <w:lang w:val="en-US" w:eastAsia="zh-CN"/>
        </w:rPr>
        <w:t xml:space="preserve">  </w:t>
      </w:r>
      <w:r>
        <w:rPr>
          <w:rFonts w:eastAsia="仿宋_GB2312"/>
          <w:b/>
          <w:color w:val="auto"/>
          <w:sz w:val="28"/>
        </w:rPr>
        <w:t>人:</w:t>
      </w:r>
      <w:r>
        <w:rPr>
          <w:rFonts w:hint="eastAsia" w:eastAsia="仿宋_GB2312"/>
          <w:b/>
          <w:color w:val="auto"/>
          <w:sz w:val="28"/>
          <w:lang w:eastAsia="zh-CN"/>
        </w:rPr>
        <w:t>侯胜奎</w:t>
      </w:r>
    </w:p>
    <w:p w14:paraId="420A43D9">
      <w:pPr>
        <w:spacing w:line="360" w:lineRule="auto"/>
        <w:rPr>
          <w:rFonts w:eastAsia="仿宋_GB2312"/>
          <w:color w:val="auto"/>
          <w:sz w:val="28"/>
        </w:rPr>
      </w:pPr>
    </w:p>
    <w:p w14:paraId="1ED9B12D">
      <w:pPr>
        <w:spacing w:line="360" w:lineRule="auto"/>
        <w:rPr>
          <w:rFonts w:eastAsia="仿宋_GB2312"/>
          <w:color w:val="auto"/>
          <w:sz w:val="28"/>
        </w:rPr>
      </w:pPr>
    </w:p>
    <w:p w14:paraId="206EE0EB">
      <w:pPr>
        <w:spacing w:line="360" w:lineRule="auto"/>
        <w:rPr>
          <w:rFonts w:eastAsia="仿宋_GB2312"/>
          <w:color w:val="auto"/>
          <w:sz w:val="28"/>
        </w:rPr>
      </w:pPr>
    </w:p>
    <w:p w14:paraId="58B75B7B">
      <w:pPr>
        <w:spacing w:line="360" w:lineRule="auto"/>
        <w:rPr>
          <w:rFonts w:eastAsia="仿宋_GB2312"/>
          <w:color w:val="auto"/>
          <w:sz w:val="28"/>
        </w:rPr>
      </w:pPr>
    </w:p>
    <w:p w14:paraId="0D3D5BCC">
      <w:pPr>
        <w:spacing w:line="360" w:lineRule="auto"/>
        <w:rPr>
          <w:rFonts w:eastAsia="仿宋_GB2312"/>
          <w:color w:val="auto"/>
          <w:sz w:val="28"/>
        </w:rPr>
      </w:pPr>
    </w:p>
    <w:p w14:paraId="05F759FC">
      <w:pPr>
        <w:spacing w:line="360" w:lineRule="auto"/>
        <w:rPr>
          <w:rFonts w:eastAsia="仿宋_GB2312"/>
          <w:color w:val="auto"/>
          <w:sz w:val="28"/>
        </w:rPr>
      </w:pPr>
    </w:p>
    <w:p w14:paraId="25B8C478">
      <w:pPr>
        <w:spacing w:line="360" w:lineRule="auto"/>
        <w:rPr>
          <w:rFonts w:eastAsia="仿宋_GB2312"/>
          <w:color w:val="auto"/>
          <w:sz w:val="28"/>
        </w:rPr>
      </w:pPr>
    </w:p>
    <w:p w14:paraId="7D43C6D9">
      <w:pPr>
        <w:spacing w:line="360" w:lineRule="auto"/>
        <w:rPr>
          <w:rFonts w:eastAsia="仿宋_GB2312"/>
          <w:color w:val="auto"/>
          <w:sz w:val="28"/>
        </w:rPr>
      </w:pPr>
    </w:p>
    <w:tbl>
      <w:tblPr>
        <w:tblStyle w:val="2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4"/>
        <w:gridCol w:w="4644"/>
      </w:tblGrid>
      <w:tr w14:paraId="600F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7BA9030B">
            <w:pPr>
              <w:spacing w:line="360" w:lineRule="auto"/>
              <w:rPr>
                <w:rFonts w:hint="eastAsia" w:eastAsia="华文仿宋"/>
                <w:b/>
                <w:bCs/>
                <w:color w:val="auto"/>
                <w:spacing w:val="-8"/>
                <w:sz w:val="24"/>
                <w:szCs w:val="24"/>
                <w:lang w:eastAsia="zh-CN"/>
              </w:rPr>
            </w:pPr>
            <w:r>
              <w:rPr>
                <w:rFonts w:eastAsia="华文仿宋"/>
                <w:b/>
                <w:bCs/>
                <w:color w:val="auto"/>
                <w:spacing w:val="-8"/>
                <w:sz w:val="24"/>
                <w:szCs w:val="24"/>
              </w:rPr>
              <w:t>建设单位:</w:t>
            </w:r>
            <w:r>
              <w:rPr>
                <w:rFonts w:hint="eastAsia" w:eastAsia="华文仿宋"/>
                <w:b/>
                <w:bCs/>
                <w:color w:val="auto"/>
                <w:spacing w:val="-8"/>
                <w:sz w:val="24"/>
                <w:szCs w:val="24"/>
                <w:lang w:eastAsia="zh-CN"/>
              </w:rPr>
              <w:t>长垣市聚博环保科技有限公司</w:t>
            </w:r>
          </w:p>
          <w:p w14:paraId="6528A12C">
            <w:pPr>
              <w:spacing w:line="360" w:lineRule="auto"/>
              <w:rPr>
                <w:rFonts w:eastAsia="华文仿宋"/>
                <w:b/>
                <w:bCs/>
                <w:color w:val="auto"/>
                <w:spacing w:val="-8"/>
                <w:sz w:val="24"/>
                <w:szCs w:val="24"/>
              </w:rPr>
            </w:pPr>
            <w:r>
              <w:rPr>
                <w:rFonts w:eastAsia="华文仿宋"/>
                <w:b/>
                <w:bCs/>
                <w:color w:val="auto"/>
                <w:spacing w:val="-8"/>
                <w:sz w:val="24"/>
                <w:szCs w:val="24"/>
              </w:rPr>
              <w:t xml:space="preserve">电话: </w:t>
            </w:r>
            <w:r>
              <w:rPr>
                <w:rFonts w:hint="eastAsia" w:eastAsia="华文仿宋"/>
                <w:b/>
                <w:bCs/>
                <w:color w:val="auto"/>
                <w:spacing w:val="-8"/>
                <w:sz w:val="24"/>
                <w:szCs w:val="24"/>
                <w:lang w:eastAsia="zh-CN"/>
              </w:rPr>
              <w:t>13083733333</w:t>
            </w:r>
            <w:r>
              <w:rPr>
                <w:rFonts w:eastAsia="华文仿宋"/>
                <w:b/>
                <w:bCs/>
                <w:color w:val="auto"/>
                <w:spacing w:val="-8"/>
                <w:sz w:val="24"/>
                <w:szCs w:val="24"/>
              </w:rPr>
              <w:t xml:space="preserve"> </w:t>
            </w:r>
          </w:p>
          <w:p w14:paraId="20A51EAF">
            <w:pPr>
              <w:spacing w:line="360" w:lineRule="auto"/>
              <w:rPr>
                <w:rFonts w:eastAsia="华文仿宋"/>
                <w:b/>
                <w:bCs/>
                <w:color w:val="auto"/>
                <w:spacing w:val="-8"/>
                <w:sz w:val="24"/>
                <w:szCs w:val="24"/>
              </w:rPr>
            </w:pPr>
            <w:r>
              <w:rPr>
                <w:rFonts w:eastAsia="华文仿宋"/>
                <w:b/>
                <w:bCs/>
                <w:color w:val="auto"/>
                <w:spacing w:val="-8"/>
                <w:sz w:val="24"/>
                <w:szCs w:val="24"/>
              </w:rPr>
              <w:t>传真:   /</w:t>
            </w:r>
          </w:p>
          <w:p w14:paraId="2C307CC7">
            <w:pPr>
              <w:spacing w:line="360" w:lineRule="auto"/>
              <w:rPr>
                <w:rFonts w:eastAsia="华文仿宋"/>
                <w:b/>
                <w:bCs/>
                <w:color w:val="auto"/>
                <w:spacing w:val="-8"/>
                <w:sz w:val="24"/>
                <w:szCs w:val="24"/>
              </w:rPr>
            </w:pPr>
            <w:r>
              <w:rPr>
                <w:rFonts w:eastAsia="华文仿宋"/>
                <w:b/>
                <w:bCs/>
                <w:color w:val="auto"/>
                <w:spacing w:val="-8"/>
                <w:sz w:val="24"/>
                <w:szCs w:val="24"/>
              </w:rPr>
              <w:t>邮编: 453</w:t>
            </w:r>
            <w:r>
              <w:rPr>
                <w:rFonts w:hint="eastAsia" w:eastAsia="华文仿宋"/>
                <w:b/>
                <w:bCs/>
                <w:color w:val="auto"/>
                <w:spacing w:val="-8"/>
                <w:sz w:val="24"/>
                <w:szCs w:val="24"/>
                <w:lang w:val="en-US" w:eastAsia="zh-CN"/>
              </w:rPr>
              <w:t>4</w:t>
            </w:r>
            <w:r>
              <w:rPr>
                <w:rFonts w:hint="eastAsia" w:eastAsia="华文仿宋"/>
                <w:b/>
                <w:bCs/>
                <w:color w:val="auto"/>
                <w:spacing w:val="-8"/>
                <w:sz w:val="24"/>
                <w:szCs w:val="24"/>
              </w:rPr>
              <w:t>00</w:t>
            </w:r>
            <w:r>
              <w:rPr>
                <w:rFonts w:eastAsia="华文仿宋"/>
                <w:b/>
                <w:bCs/>
                <w:color w:val="auto"/>
                <w:spacing w:val="-8"/>
                <w:sz w:val="24"/>
                <w:szCs w:val="24"/>
              </w:rPr>
              <w:t xml:space="preserve"> </w:t>
            </w:r>
          </w:p>
          <w:p w14:paraId="4EB5414A">
            <w:pPr>
              <w:spacing w:line="360" w:lineRule="auto"/>
              <w:rPr>
                <w:rFonts w:hint="eastAsia" w:eastAsia="华文仿宋"/>
                <w:b/>
                <w:bCs/>
                <w:color w:val="auto"/>
                <w:spacing w:val="-8"/>
                <w:sz w:val="24"/>
                <w:szCs w:val="24"/>
                <w:lang w:eastAsia="zh-CN"/>
              </w:rPr>
            </w:pPr>
            <w:r>
              <w:rPr>
                <w:rFonts w:hint="eastAsia" w:eastAsia="华文仿宋"/>
                <w:b/>
                <w:bCs/>
                <w:color w:val="auto"/>
                <w:spacing w:val="-8"/>
                <w:sz w:val="24"/>
                <w:szCs w:val="24"/>
              </w:rPr>
              <w:t>地址:</w:t>
            </w:r>
            <w:r>
              <w:rPr>
                <w:rFonts w:hint="eastAsia" w:eastAsia="华文仿宋"/>
                <w:b/>
                <w:bCs/>
                <w:color w:val="auto"/>
                <w:spacing w:val="-8"/>
                <w:sz w:val="24"/>
                <w:szCs w:val="24"/>
                <w:lang w:eastAsia="zh-CN"/>
              </w:rPr>
              <w:t>河南省新乡市长垣市南蒲小微创业园</w:t>
            </w:r>
          </w:p>
        </w:tc>
        <w:tc>
          <w:tcPr>
            <w:tcW w:w="2500" w:type="pct"/>
          </w:tcPr>
          <w:p w14:paraId="280B6D19">
            <w:pPr>
              <w:spacing w:line="360" w:lineRule="auto"/>
              <w:rPr>
                <w:rFonts w:hint="eastAsia" w:eastAsia="华文仿宋"/>
                <w:b/>
                <w:bCs/>
                <w:color w:val="auto"/>
                <w:spacing w:val="-8"/>
                <w:sz w:val="24"/>
                <w:szCs w:val="24"/>
                <w:lang w:eastAsia="zh-CN"/>
              </w:rPr>
            </w:pPr>
            <w:r>
              <w:rPr>
                <w:rFonts w:eastAsia="华文仿宋"/>
                <w:b/>
                <w:bCs/>
                <w:color w:val="auto"/>
                <w:spacing w:val="-8"/>
                <w:sz w:val="24"/>
                <w:szCs w:val="24"/>
              </w:rPr>
              <w:t xml:space="preserve">编制单位: </w:t>
            </w:r>
            <w:r>
              <w:rPr>
                <w:rFonts w:hint="eastAsia" w:eastAsia="华文仿宋"/>
                <w:b/>
                <w:bCs/>
                <w:color w:val="auto"/>
                <w:spacing w:val="-8"/>
                <w:sz w:val="24"/>
                <w:szCs w:val="24"/>
                <w:lang w:eastAsia="zh-CN"/>
              </w:rPr>
              <w:t>长垣市聚博环保科技有限公司</w:t>
            </w:r>
          </w:p>
          <w:p w14:paraId="163EC250">
            <w:pPr>
              <w:spacing w:line="360" w:lineRule="auto"/>
              <w:rPr>
                <w:rFonts w:hint="eastAsia" w:eastAsia="华文仿宋"/>
                <w:b/>
                <w:bCs/>
                <w:color w:val="auto"/>
                <w:spacing w:val="-8"/>
                <w:sz w:val="24"/>
                <w:szCs w:val="24"/>
                <w:lang w:eastAsia="zh-CN"/>
              </w:rPr>
            </w:pPr>
            <w:r>
              <w:rPr>
                <w:rFonts w:eastAsia="华文仿宋"/>
                <w:b/>
                <w:bCs/>
                <w:color w:val="auto"/>
                <w:spacing w:val="-8"/>
                <w:sz w:val="24"/>
                <w:szCs w:val="24"/>
              </w:rPr>
              <w:t xml:space="preserve">电话: </w:t>
            </w:r>
            <w:r>
              <w:rPr>
                <w:rFonts w:hint="eastAsia" w:eastAsia="华文仿宋"/>
                <w:b/>
                <w:bCs/>
                <w:color w:val="auto"/>
                <w:spacing w:val="-8"/>
                <w:sz w:val="24"/>
                <w:szCs w:val="24"/>
                <w:lang w:eastAsia="zh-CN"/>
              </w:rPr>
              <w:t>13083733333</w:t>
            </w:r>
          </w:p>
          <w:p w14:paraId="28907DE0">
            <w:pPr>
              <w:tabs>
                <w:tab w:val="left" w:pos="710"/>
              </w:tabs>
              <w:spacing w:before="120" w:beforeLines="50" w:after="0" w:line="360" w:lineRule="auto"/>
              <w:ind w:firstLine="0" w:firstLineChars="0"/>
              <w:jc w:val="both"/>
              <w:rPr>
                <w:rFonts w:eastAsia="华文仿宋"/>
                <w:b/>
                <w:bCs/>
                <w:color w:val="auto"/>
                <w:spacing w:val="-8"/>
                <w:sz w:val="24"/>
                <w:szCs w:val="24"/>
              </w:rPr>
            </w:pPr>
            <w:r>
              <w:rPr>
                <w:rFonts w:eastAsia="华文仿宋"/>
                <w:b/>
                <w:bCs/>
                <w:color w:val="auto"/>
                <w:spacing w:val="-8"/>
                <w:sz w:val="24"/>
                <w:szCs w:val="24"/>
              </w:rPr>
              <w:t>传真:   /</w:t>
            </w:r>
          </w:p>
          <w:p w14:paraId="5884BAA2">
            <w:pPr>
              <w:spacing w:line="360" w:lineRule="auto"/>
              <w:rPr>
                <w:rFonts w:hint="eastAsia" w:eastAsia="华文仿宋"/>
                <w:b/>
                <w:bCs/>
                <w:color w:val="auto"/>
                <w:spacing w:val="-8"/>
                <w:sz w:val="24"/>
                <w:szCs w:val="24"/>
              </w:rPr>
            </w:pPr>
            <w:r>
              <w:rPr>
                <w:rFonts w:eastAsia="华文仿宋"/>
                <w:b/>
                <w:bCs/>
                <w:color w:val="auto"/>
                <w:spacing w:val="-8"/>
                <w:sz w:val="24"/>
                <w:szCs w:val="24"/>
              </w:rPr>
              <w:t>邮编: 45</w:t>
            </w:r>
            <w:r>
              <w:rPr>
                <w:rFonts w:hint="eastAsia" w:eastAsia="华文仿宋"/>
                <w:b/>
                <w:bCs/>
                <w:color w:val="auto"/>
                <w:spacing w:val="-8"/>
                <w:sz w:val="24"/>
                <w:szCs w:val="24"/>
              </w:rPr>
              <w:t>3</w:t>
            </w:r>
            <w:r>
              <w:rPr>
                <w:rFonts w:hint="eastAsia" w:eastAsia="华文仿宋"/>
                <w:b/>
                <w:bCs/>
                <w:color w:val="auto"/>
                <w:spacing w:val="-8"/>
                <w:sz w:val="24"/>
                <w:szCs w:val="24"/>
                <w:lang w:val="en-US" w:eastAsia="zh-CN"/>
              </w:rPr>
              <w:t>4</w:t>
            </w:r>
            <w:r>
              <w:rPr>
                <w:rFonts w:hint="eastAsia" w:eastAsia="华文仿宋"/>
                <w:b/>
                <w:bCs/>
                <w:color w:val="auto"/>
                <w:spacing w:val="-8"/>
                <w:sz w:val="24"/>
                <w:szCs w:val="24"/>
              </w:rPr>
              <w:t>00</w:t>
            </w:r>
          </w:p>
          <w:p w14:paraId="5615B605">
            <w:pPr>
              <w:spacing w:line="360" w:lineRule="auto"/>
              <w:rPr>
                <w:rFonts w:hint="eastAsia" w:eastAsia="华文仿宋"/>
                <w:b/>
                <w:bCs/>
                <w:color w:val="auto"/>
                <w:spacing w:val="-8"/>
                <w:sz w:val="24"/>
                <w:szCs w:val="24"/>
                <w:lang w:eastAsia="zh-CN"/>
              </w:rPr>
            </w:pPr>
            <w:r>
              <w:rPr>
                <w:rFonts w:hint="eastAsia" w:eastAsia="华文仿宋"/>
                <w:b/>
                <w:bCs/>
                <w:color w:val="auto"/>
                <w:spacing w:val="-8"/>
                <w:sz w:val="24"/>
                <w:szCs w:val="24"/>
              </w:rPr>
              <w:t>地址:</w:t>
            </w:r>
            <w:r>
              <w:rPr>
                <w:rFonts w:hint="eastAsia" w:eastAsia="华文仿宋"/>
                <w:b/>
                <w:bCs/>
                <w:color w:val="auto"/>
                <w:spacing w:val="-8"/>
                <w:sz w:val="24"/>
                <w:szCs w:val="24"/>
                <w:lang w:eastAsia="zh-CN"/>
              </w:rPr>
              <w:t>河南省新乡市长垣市南蒲小微创业园</w:t>
            </w:r>
          </w:p>
        </w:tc>
      </w:tr>
    </w:tbl>
    <w:p w14:paraId="48E6C2AF">
      <w:pPr>
        <w:tabs>
          <w:tab w:val="left" w:pos="710"/>
        </w:tabs>
        <w:spacing w:before="120" w:beforeLines="50" w:after="0" w:line="360" w:lineRule="auto"/>
        <w:ind w:firstLine="448" w:firstLineChars="200"/>
        <w:jc w:val="both"/>
        <w:rPr>
          <w:rFonts w:hint="default" w:eastAsia="华文仿宋"/>
          <w:b/>
          <w:bCs/>
          <w:color w:val="auto"/>
          <w:spacing w:val="-8"/>
          <w:sz w:val="24"/>
          <w:szCs w:val="24"/>
          <w:lang w:val="en-US" w:eastAsia="zh-CN"/>
        </w:rPr>
      </w:pPr>
    </w:p>
    <w:p w14:paraId="50C48638">
      <w:pPr>
        <w:tabs>
          <w:tab w:val="left" w:pos="710"/>
        </w:tabs>
        <w:spacing w:before="120" w:beforeLines="50" w:after="0" w:line="360" w:lineRule="auto"/>
        <w:ind w:firstLine="0" w:firstLineChars="0"/>
        <w:jc w:val="both"/>
        <w:rPr>
          <w:rFonts w:eastAsia="华文仿宋"/>
          <w:b/>
          <w:bCs/>
          <w:color w:val="auto"/>
          <w:spacing w:val="-8"/>
          <w:sz w:val="24"/>
          <w:szCs w:val="24"/>
        </w:rPr>
        <w:sectPr>
          <w:footerReference r:id="rId4" w:type="default"/>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1E5DE18C">
      <w:pPr>
        <w:spacing w:after="0" w:line="440" w:lineRule="exact"/>
        <w:rPr>
          <w:rFonts w:eastAsia="仿宋_GB2312"/>
          <w:b/>
          <w:color w:val="auto"/>
          <w:sz w:val="21"/>
          <w:szCs w:val="21"/>
        </w:rPr>
      </w:pPr>
      <w:r>
        <w:rPr>
          <w:rFonts w:eastAsia="仿宋_GB2312"/>
          <w:b/>
          <w:color w:val="auto"/>
          <w:sz w:val="21"/>
          <w:szCs w:val="21"/>
        </w:rPr>
        <w:t>表一</w:t>
      </w:r>
    </w:p>
    <w:tbl>
      <w:tblPr>
        <w:tblStyle w:val="2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2655"/>
        <w:gridCol w:w="2064"/>
        <w:gridCol w:w="996"/>
        <w:gridCol w:w="882"/>
        <w:gridCol w:w="894"/>
      </w:tblGrid>
      <w:tr w14:paraId="58F01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12A26B1D">
            <w:pPr>
              <w:spacing w:after="0"/>
              <w:jc w:val="center"/>
              <w:rPr>
                <w:rFonts w:eastAsia="宋体"/>
                <w:color w:val="auto"/>
                <w:sz w:val="24"/>
                <w:szCs w:val="24"/>
              </w:rPr>
            </w:pPr>
            <w:r>
              <w:rPr>
                <w:rFonts w:eastAsia="宋体"/>
                <w:color w:val="auto"/>
                <w:sz w:val="24"/>
                <w:szCs w:val="24"/>
              </w:rPr>
              <w:t>建设项目名称</w:t>
            </w:r>
          </w:p>
        </w:tc>
        <w:tc>
          <w:tcPr>
            <w:tcW w:w="4032" w:type="pct"/>
            <w:gridSpan w:val="5"/>
            <w:vAlign w:val="center"/>
          </w:tcPr>
          <w:p w14:paraId="7BF3F44C">
            <w:pPr>
              <w:spacing w:after="0"/>
              <w:jc w:val="center"/>
              <w:rPr>
                <w:rFonts w:hint="eastAsia" w:asciiTheme="minorEastAsia" w:hAnsiTheme="minorEastAsia" w:eastAsiaTheme="minorEastAsia"/>
                <w:color w:val="auto"/>
                <w:sz w:val="24"/>
                <w:szCs w:val="24"/>
                <w:lang w:eastAsia="zh-CN"/>
              </w:rPr>
            </w:pPr>
            <w:r>
              <w:rPr>
                <w:rFonts w:hint="eastAsia" w:eastAsia="宋体" w:cs="Times New Roman"/>
                <w:color w:val="auto"/>
                <w:sz w:val="24"/>
                <w:szCs w:val="24"/>
                <w:lang w:eastAsia="zh-CN"/>
              </w:rPr>
              <w:t>长垣市聚博环保科技有限公司年收集、贮存9860吨危险废物项目</w:t>
            </w:r>
          </w:p>
        </w:tc>
      </w:tr>
      <w:tr w14:paraId="325A8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0D3193D3">
            <w:pPr>
              <w:spacing w:after="0"/>
              <w:jc w:val="center"/>
              <w:rPr>
                <w:rFonts w:eastAsia="宋体"/>
                <w:color w:val="auto"/>
                <w:sz w:val="24"/>
                <w:szCs w:val="24"/>
              </w:rPr>
            </w:pPr>
            <w:r>
              <w:rPr>
                <w:rFonts w:eastAsia="宋体"/>
                <w:color w:val="auto"/>
                <w:sz w:val="24"/>
                <w:szCs w:val="24"/>
              </w:rPr>
              <w:t>建设单位名称</w:t>
            </w:r>
          </w:p>
        </w:tc>
        <w:tc>
          <w:tcPr>
            <w:tcW w:w="4032" w:type="pct"/>
            <w:gridSpan w:val="5"/>
            <w:vAlign w:val="center"/>
          </w:tcPr>
          <w:p w14:paraId="4200C38B">
            <w:pPr>
              <w:spacing w:after="0"/>
              <w:jc w:val="center"/>
              <w:rPr>
                <w:rFonts w:hint="eastAsia" w:eastAsia="宋体"/>
                <w:color w:val="auto"/>
                <w:sz w:val="24"/>
                <w:szCs w:val="24"/>
                <w:lang w:eastAsia="zh-CN"/>
              </w:rPr>
            </w:pPr>
            <w:r>
              <w:rPr>
                <w:rFonts w:hint="eastAsia" w:eastAsia="宋体" w:cs="Times New Roman"/>
                <w:color w:val="auto"/>
                <w:sz w:val="24"/>
                <w:szCs w:val="24"/>
                <w:lang w:eastAsia="zh-CN"/>
              </w:rPr>
              <w:t>长垣市聚博环保科技有限公司</w:t>
            </w:r>
          </w:p>
        </w:tc>
      </w:tr>
      <w:tr w14:paraId="335CA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55EDC396">
            <w:pPr>
              <w:spacing w:after="0"/>
              <w:jc w:val="center"/>
              <w:rPr>
                <w:rFonts w:eastAsia="宋体"/>
                <w:color w:val="auto"/>
                <w:sz w:val="24"/>
                <w:szCs w:val="24"/>
              </w:rPr>
            </w:pPr>
            <w:r>
              <w:rPr>
                <w:rFonts w:eastAsia="宋体"/>
                <w:color w:val="auto"/>
                <w:sz w:val="24"/>
                <w:szCs w:val="24"/>
              </w:rPr>
              <w:t>建设项目性质</w:t>
            </w:r>
          </w:p>
        </w:tc>
        <w:tc>
          <w:tcPr>
            <w:tcW w:w="4032" w:type="pct"/>
            <w:gridSpan w:val="5"/>
            <w:vAlign w:val="center"/>
          </w:tcPr>
          <w:p w14:paraId="1D752D6E">
            <w:pPr>
              <w:spacing w:after="0"/>
              <w:jc w:val="center"/>
              <w:rPr>
                <w:rFonts w:eastAsia="宋体"/>
                <w:color w:val="auto"/>
                <w:sz w:val="24"/>
                <w:szCs w:val="24"/>
              </w:rPr>
            </w:pPr>
            <w:r>
              <w:rPr>
                <w:rFonts w:eastAsia="宋体"/>
                <w:color w:val="auto"/>
                <w:sz w:val="24"/>
                <w:szCs w:val="24"/>
              </w:rPr>
              <w:t>新建    改扩建</w:t>
            </w:r>
            <w:r>
              <w:rPr>
                <w:rFonts w:eastAsia="宋体"/>
                <w:color w:val="auto"/>
                <w:sz w:val="24"/>
                <w:szCs w:val="24"/>
              </w:rPr>
              <w:sym w:font="Wingdings 2" w:char="F050"/>
            </w:r>
            <w:r>
              <w:rPr>
                <w:rFonts w:eastAsia="宋体"/>
                <w:color w:val="auto"/>
                <w:sz w:val="24"/>
                <w:szCs w:val="24"/>
              </w:rPr>
              <w:t xml:space="preserve">   技改   迁建</w:t>
            </w:r>
          </w:p>
        </w:tc>
      </w:tr>
      <w:tr w14:paraId="18237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04EFE88E">
            <w:pPr>
              <w:spacing w:after="0"/>
              <w:jc w:val="center"/>
              <w:rPr>
                <w:rFonts w:eastAsia="宋体"/>
                <w:color w:val="auto"/>
                <w:sz w:val="24"/>
                <w:szCs w:val="24"/>
              </w:rPr>
            </w:pPr>
            <w:r>
              <w:rPr>
                <w:rFonts w:eastAsia="宋体"/>
                <w:color w:val="auto"/>
                <w:sz w:val="24"/>
                <w:szCs w:val="24"/>
              </w:rPr>
              <w:t>建设地点</w:t>
            </w:r>
          </w:p>
        </w:tc>
        <w:tc>
          <w:tcPr>
            <w:tcW w:w="4032" w:type="pct"/>
            <w:gridSpan w:val="5"/>
            <w:vAlign w:val="center"/>
          </w:tcPr>
          <w:p w14:paraId="02B941F1">
            <w:pPr>
              <w:spacing w:after="0"/>
              <w:jc w:val="center"/>
              <w:rPr>
                <w:rFonts w:hint="eastAsia" w:ascii="Times New Roman" w:hAnsi="Times New Roman" w:eastAsia="宋体" w:cs="Times New Roman"/>
                <w:color w:val="auto"/>
                <w:sz w:val="24"/>
                <w:szCs w:val="24"/>
                <w:lang w:eastAsia="zh-CN"/>
              </w:rPr>
            </w:pPr>
            <w:r>
              <w:rPr>
                <w:rFonts w:hint="eastAsia" w:eastAsia="宋体" w:cs="Times New Roman"/>
                <w:color w:val="auto"/>
                <w:sz w:val="24"/>
                <w:szCs w:val="24"/>
                <w:lang w:eastAsia="zh-CN"/>
              </w:rPr>
              <w:t>河南省新乡市长垣市南蒲小微创业园</w:t>
            </w:r>
          </w:p>
        </w:tc>
      </w:tr>
      <w:tr w14:paraId="6D955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229CD015">
            <w:pPr>
              <w:spacing w:after="0"/>
              <w:jc w:val="center"/>
              <w:rPr>
                <w:rFonts w:eastAsia="宋体"/>
                <w:color w:val="auto"/>
                <w:sz w:val="24"/>
                <w:szCs w:val="24"/>
              </w:rPr>
            </w:pPr>
            <w:r>
              <w:rPr>
                <w:rFonts w:eastAsia="宋体"/>
                <w:color w:val="auto"/>
                <w:sz w:val="24"/>
                <w:szCs w:val="24"/>
              </w:rPr>
              <w:t>主要产品名称</w:t>
            </w:r>
          </w:p>
        </w:tc>
        <w:tc>
          <w:tcPr>
            <w:tcW w:w="4032" w:type="pct"/>
            <w:gridSpan w:val="5"/>
            <w:vAlign w:val="center"/>
          </w:tcPr>
          <w:p w14:paraId="74E76EDF">
            <w:pPr>
              <w:spacing w:after="0"/>
              <w:jc w:val="center"/>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危险废物收集、贮存</w:t>
            </w:r>
          </w:p>
        </w:tc>
      </w:tr>
      <w:tr w14:paraId="52150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1571DBBB">
            <w:pPr>
              <w:spacing w:after="0"/>
              <w:jc w:val="center"/>
              <w:rPr>
                <w:rFonts w:eastAsia="宋体"/>
                <w:color w:val="auto"/>
                <w:sz w:val="24"/>
                <w:szCs w:val="24"/>
              </w:rPr>
            </w:pPr>
            <w:r>
              <w:rPr>
                <w:rFonts w:eastAsia="宋体"/>
                <w:color w:val="auto"/>
                <w:sz w:val="24"/>
                <w:szCs w:val="24"/>
              </w:rPr>
              <w:t>设计生产能力</w:t>
            </w:r>
          </w:p>
        </w:tc>
        <w:tc>
          <w:tcPr>
            <w:tcW w:w="4032" w:type="pct"/>
            <w:gridSpan w:val="5"/>
            <w:vAlign w:val="center"/>
          </w:tcPr>
          <w:p w14:paraId="4C0760B0">
            <w:pPr>
              <w:spacing w:after="0"/>
              <w:jc w:val="cente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年收集、贮存9860吨危险废物</w:t>
            </w:r>
          </w:p>
        </w:tc>
      </w:tr>
      <w:tr w14:paraId="1D993E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0C76F0E5">
            <w:pPr>
              <w:spacing w:after="0"/>
              <w:jc w:val="center"/>
              <w:rPr>
                <w:rFonts w:eastAsia="宋体"/>
                <w:color w:val="auto"/>
                <w:sz w:val="24"/>
                <w:szCs w:val="24"/>
              </w:rPr>
            </w:pPr>
            <w:r>
              <w:rPr>
                <w:rFonts w:eastAsia="宋体"/>
                <w:color w:val="auto"/>
                <w:sz w:val="24"/>
                <w:szCs w:val="24"/>
              </w:rPr>
              <w:t>实际生产能力</w:t>
            </w:r>
          </w:p>
        </w:tc>
        <w:tc>
          <w:tcPr>
            <w:tcW w:w="4032" w:type="pct"/>
            <w:gridSpan w:val="5"/>
            <w:vAlign w:val="center"/>
          </w:tcPr>
          <w:p w14:paraId="4A042F59">
            <w:pPr>
              <w:spacing w:after="0"/>
              <w:jc w:val="center"/>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年收集、贮存9860吨危险废物</w:t>
            </w:r>
          </w:p>
        </w:tc>
      </w:tr>
      <w:tr w14:paraId="1FB04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1B11C7E7">
            <w:pPr>
              <w:spacing w:after="0"/>
              <w:jc w:val="center"/>
              <w:rPr>
                <w:rFonts w:eastAsia="宋体"/>
                <w:color w:val="auto"/>
                <w:sz w:val="24"/>
                <w:szCs w:val="24"/>
              </w:rPr>
            </w:pPr>
            <w:bookmarkStart w:id="1" w:name="_Hlk122936088"/>
            <w:r>
              <w:rPr>
                <w:rFonts w:eastAsia="宋体"/>
                <w:color w:val="auto"/>
                <w:sz w:val="24"/>
                <w:szCs w:val="24"/>
              </w:rPr>
              <w:t>建设项目</w:t>
            </w:r>
          </w:p>
          <w:p w14:paraId="142E9C8C">
            <w:pPr>
              <w:spacing w:after="0"/>
              <w:jc w:val="center"/>
              <w:rPr>
                <w:rFonts w:eastAsia="宋体"/>
                <w:color w:val="auto"/>
                <w:sz w:val="24"/>
                <w:szCs w:val="24"/>
              </w:rPr>
            </w:pPr>
            <w:r>
              <w:rPr>
                <w:rFonts w:eastAsia="宋体"/>
                <w:color w:val="auto"/>
                <w:sz w:val="24"/>
                <w:szCs w:val="24"/>
              </w:rPr>
              <w:t>环评时间</w:t>
            </w:r>
            <w:bookmarkEnd w:id="1"/>
          </w:p>
        </w:tc>
        <w:tc>
          <w:tcPr>
            <w:tcW w:w="1429" w:type="pct"/>
            <w:vAlign w:val="center"/>
          </w:tcPr>
          <w:p w14:paraId="5B38601A">
            <w:pPr>
              <w:spacing w:after="0"/>
              <w:jc w:val="center"/>
              <w:rPr>
                <w:rFonts w:hint="default" w:eastAsia="宋体"/>
                <w:color w:val="auto"/>
                <w:sz w:val="24"/>
                <w:szCs w:val="24"/>
                <w:lang w:val="en-US" w:eastAsia="zh-CN"/>
              </w:rPr>
            </w:pPr>
            <w:r>
              <w:rPr>
                <w:rFonts w:hint="eastAsia" w:eastAsia="宋体"/>
                <w:color w:val="auto"/>
                <w:sz w:val="24"/>
                <w:szCs w:val="24"/>
              </w:rPr>
              <w:t>2</w:t>
            </w:r>
            <w:r>
              <w:rPr>
                <w:rFonts w:eastAsia="宋体"/>
                <w:color w:val="auto"/>
                <w:sz w:val="24"/>
                <w:szCs w:val="24"/>
              </w:rPr>
              <w:t>02</w:t>
            </w:r>
            <w:r>
              <w:rPr>
                <w:rFonts w:hint="eastAsia" w:eastAsia="宋体"/>
                <w:color w:val="auto"/>
                <w:sz w:val="24"/>
                <w:szCs w:val="24"/>
                <w:lang w:val="en-US" w:eastAsia="zh-CN"/>
              </w:rPr>
              <w:t>5</w:t>
            </w:r>
            <w:r>
              <w:rPr>
                <w:rFonts w:eastAsia="宋体"/>
                <w:color w:val="auto"/>
                <w:sz w:val="24"/>
                <w:szCs w:val="24"/>
              </w:rPr>
              <w:t>.</w:t>
            </w:r>
            <w:r>
              <w:rPr>
                <w:rFonts w:hint="eastAsia" w:eastAsia="宋体"/>
                <w:color w:val="auto"/>
                <w:sz w:val="24"/>
                <w:szCs w:val="24"/>
                <w:lang w:val="en-US" w:eastAsia="zh-CN"/>
              </w:rPr>
              <w:t>12.31</w:t>
            </w:r>
          </w:p>
        </w:tc>
        <w:tc>
          <w:tcPr>
            <w:tcW w:w="1111" w:type="pct"/>
            <w:vAlign w:val="center"/>
          </w:tcPr>
          <w:p w14:paraId="1CCBBCF5">
            <w:pPr>
              <w:spacing w:after="0"/>
              <w:jc w:val="center"/>
              <w:rPr>
                <w:rFonts w:eastAsia="宋体"/>
                <w:color w:val="auto"/>
                <w:sz w:val="24"/>
                <w:szCs w:val="24"/>
              </w:rPr>
            </w:pPr>
            <w:bookmarkStart w:id="2" w:name="_Hlk122936107"/>
            <w:r>
              <w:rPr>
                <w:rFonts w:eastAsia="宋体"/>
                <w:color w:val="auto"/>
                <w:sz w:val="24"/>
                <w:szCs w:val="24"/>
              </w:rPr>
              <w:t>开工建设时间</w:t>
            </w:r>
            <w:bookmarkEnd w:id="2"/>
          </w:p>
        </w:tc>
        <w:tc>
          <w:tcPr>
            <w:tcW w:w="1491" w:type="pct"/>
            <w:gridSpan w:val="3"/>
            <w:vAlign w:val="center"/>
          </w:tcPr>
          <w:p w14:paraId="4F1CD1FA">
            <w:pPr>
              <w:spacing w:after="0"/>
              <w:jc w:val="center"/>
              <w:rPr>
                <w:rFonts w:hint="default" w:eastAsia="宋体"/>
                <w:color w:val="auto"/>
                <w:sz w:val="24"/>
                <w:szCs w:val="24"/>
                <w:lang w:val="en-US" w:eastAsia="zh-CN"/>
              </w:rPr>
            </w:pPr>
            <w:r>
              <w:rPr>
                <w:rFonts w:eastAsia="宋体"/>
                <w:color w:val="auto"/>
                <w:sz w:val="24"/>
                <w:szCs w:val="24"/>
              </w:rPr>
              <w:t>202</w:t>
            </w:r>
            <w:r>
              <w:rPr>
                <w:rFonts w:hint="eastAsia" w:eastAsia="宋体"/>
                <w:color w:val="auto"/>
                <w:sz w:val="24"/>
                <w:szCs w:val="24"/>
                <w:lang w:val="en-US" w:eastAsia="zh-CN"/>
              </w:rPr>
              <w:t>6</w:t>
            </w:r>
            <w:r>
              <w:rPr>
                <w:rFonts w:hint="eastAsia" w:eastAsia="宋体"/>
                <w:color w:val="auto"/>
                <w:sz w:val="24"/>
                <w:szCs w:val="24"/>
              </w:rPr>
              <w:t>.</w:t>
            </w:r>
            <w:r>
              <w:rPr>
                <w:rFonts w:hint="eastAsia" w:eastAsia="宋体"/>
                <w:color w:val="auto"/>
                <w:sz w:val="24"/>
                <w:szCs w:val="24"/>
                <w:lang w:val="en-US" w:eastAsia="zh-CN"/>
              </w:rPr>
              <w:t>3.1</w:t>
            </w:r>
          </w:p>
        </w:tc>
      </w:tr>
      <w:tr w14:paraId="3F940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67" w:type="pct"/>
            <w:vAlign w:val="center"/>
          </w:tcPr>
          <w:p w14:paraId="49CF7052">
            <w:pPr>
              <w:spacing w:after="0"/>
              <w:jc w:val="center"/>
              <w:rPr>
                <w:rFonts w:eastAsia="宋体"/>
                <w:color w:val="auto"/>
                <w:sz w:val="24"/>
                <w:szCs w:val="24"/>
              </w:rPr>
            </w:pPr>
            <w:bookmarkStart w:id="3" w:name="_Hlk122936114"/>
            <w:r>
              <w:rPr>
                <w:rFonts w:eastAsia="宋体"/>
                <w:color w:val="auto"/>
                <w:sz w:val="24"/>
                <w:szCs w:val="24"/>
              </w:rPr>
              <w:t>调试时间</w:t>
            </w:r>
            <w:bookmarkEnd w:id="3"/>
          </w:p>
        </w:tc>
        <w:tc>
          <w:tcPr>
            <w:tcW w:w="1429" w:type="pct"/>
            <w:vAlign w:val="center"/>
          </w:tcPr>
          <w:p w14:paraId="3614DE6B">
            <w:pPr>
              <w:spacing w:after="0"/>
              <w:jc w:val="center"/>
              <w:rPr>
                <w:rFonts w:hint="default" w:eastAsia="宋体"/>
                <w:color w:val="auto"/>
                <w:sz w:val="24"/>
                <w:szCs w:val="24"/>
                <w:highlight w:val="yellow"/>
                <w:lang w:val="en-US" w:eastAsia="zh-CN"/>
              </w:rPr>
            </w:pPr>
            <w:r>
              <w:rPr>
                <w:rFonts w:hint="eastAsia" w:eastAsia="宋体"/>
                <w:color w:val="auto"/>
                <w:sz w:val="24"/>
                <w:szCs w:val="24"/>
              </w:rPr>
              <w:t>202</w:t>
            </w:r>
            <w:r>
              <w:rPr>
                <w:rFonts w:hint="eastAsia" w:eastAsia="宋体"/>
                <w:color w:val="auto"/>
                <w:sz w:val="24"/>
                <w:szCs w:val="24"/>
                <w:lang w:val="en-US" w:eastAsia="zh-CN"/>
              </w:rPr>
              <w:t>6</w:t>
            </w:r>
            <w:r>
              <w:rPr>
                <w:rFonts w:hint="eastAsia" w:eastAsia="宋体"/>
                <w:color w:val="auto"/>
                <w:sz w:val="24"/>
                <w:szCs w:val="24"/>
              </w:rPr>
              <w:t>.</w:t>
            </w:r>
            <w:r>
              <w:rPr>
                <w:rFonts w:hint="eastAsia" w:eastAsia="宋体"/>
                <w:color w:val="auto"/>
                <w:sz w:val="24"/>
                <w:szCs w:val="24"/>
                <w:lang w:val="en-US" w:eastAsia="zh-CN"/>
              </w:rPr>
              <w:t>8.1</w:t>
            </w:r>
            <w:r>
              <w:rPr>
                <w:rFonts w:hint="eastAsia" w:eastAsia="宋体"/>
                <w:color w:val="auto"/>
                <w:sz w:val="24"/>
                <w:szCs w:val="24"/>
              </w:rPr>
              <w:t>-202</w:t>
            </w:r>
            <w:r>
              <w:rPr>
                <w:rFonts w:hint="eastAsia" w:eastAsia="宋体"/>
                <w:color w:val="auto"/>
                <w:sz w:val="24"/>
                <w:szCs w:val="24"/>
                <w:lang w:val="en-US" w:eastAsia="zh-CN"/>
              </w:rPr>
              <w:t>6.8.11</w:t>
            </w:r>
          </w:p>
        </w:tc>
        <w:tc>
          <w:tcPr>
            <w:tcW w:w="1111" w:type="pct"/>
            <w:vAlign w:val="center"/>
          </w:tcPr>
          <w:p w14:paraId="59A58689">
            <w:pPr>
              <w:spacing w:after="0"/>
              <w:jc w:val="center"/>
              <w:rPr>
                <w:rFonts w:eastAsia="宋体"/>
                <w:color w:val="auto"/>
                <w:sz w:val="24"/>
                <w:szCs w:val="24"/>
              </w:rPr>
            </w:pPr>
            <w:r>
              <w:rPr>
                <w:rFonts w:eastAsia="宋体"/>
                <w:color w:val="auto"/>
                <w:sz w:val="24"/>
                <w:szCs w:val="24"/>
              </w:rPr>
              <w:t>验收现场</w:t>
            </w:r>
          </w:p>
          <w:p w14:paraId="3E27238A">
            <w:pPr>
              <w:spacing w:after="0"/>
              <w:jc w:val="center"/>
              <w:rPr>
                <w:rFonts w:eastAsia="宋体"/>
                <w:color w:val="auto"/>
                <w:sz w:val="24"/>
                <w:szCs w:val="24"/>
              </w:rPr>
            </w:pPr>
            <w:r>
              <w:rPr>
                <w:rFonts w:eastAsia="宋体"/>
                <w:color w:val="auto"/>
                <w:sz w:val="24"/>
                <w:szCs w:val="24"/>
              </w:rPr>
              <w:t>监测时间</w:t>
            </w:r>
          </w:p>
        </w:tc>
        <w:tc>
          <w:tcPr>
            <w:tcW w:w="1491" w:type="pct"/>
            <w:gridSpan w:val="3"/>
            <w:vAlign w:val="center"/>
          </w:tcPr>
          <w:p w14:paraId="7E8B42F1">
            <w:pPr>
              <w:spacing w:after="0"/>
              <w:jc w:val="center"/>
              <w:rPr>
                <w:rFonts w:hint="default" w:eastAsia="宋体"/>
                <w:color w:val="auto"/>
                <w:sz w:val="24"/>
                <w:szCs w:val="24"/>
                <w:highlight w:val="yellow"/>
                <w:lang w:val="en-US" w:eastAsia="zh-CN"/>
              </w:rPr>
            </w:pPr>
            <w:r>
              <w:rPr>
                <w:rFonts w:hint="eastAsia" w:eastAsia="宋体"/>
                <w:color w:val="auto"/>
                <w:sz w:val="24"/>
                <w:szCs w:val="24"/>
              </w:rPr>
              <w:t>202</w:t>
            </w:r>
            <w:r>
              <w:rPr>
                <w:rFonts w:hint="eastAsia" w:eastAsia="宋体"/>
                <w:color w:val="auto"/>
                <w:sz w:val="24"/>
                <w:szCs w:val="24"/>
                <w:lang w:val="en-US" w:eastAsia="zh-CN"/>
              </w:rPr>
              <w:t>6</w:t>
            </w:r>
            <w:r>
              <w:rPr>
                <w:rFonts w:hint="eastAsia" w:eastAsia="宋体"/>
                <w:color w:val="auto"/>
                <w:sz w:val="24"/>
                <w:szCs w:val="24"/>
              </w:rPr>
              <w:t>.</w:t>
            </w:r>
            <w:r>
              <w:rPr>
                <w:rFonts w:hint="eastAsia" w:eastAsia="宋体"/>
                <w:color w:val="auto"/>
                <w:sz w:val="24"/>
                <w:szCs w:val="24"/>
                <w:lang w:val="en-US" w:eastAsia="zh-CN"/>
              </w:rPr>
              <w:t>8</w:t>
            </w:r>
            <w:r>
              <w:rPr>
                <w:rFonts w:hint="eastAsia" w:eastAsia="宋体"/>
                <w:color w:val="auto"/>
                <w:sz w:val="24"/>
                <w:szCs w:val="24"/>
              </w:rPr>
              <w:t>.</w:t>
            </w:r>
            <w:r>
              <w:rPr>
                <w:rFonts w:hint="eastAsia" w:eastAsia="宋体"/>
                <w:color w:val="auto"/>
                <w:sz w:val="24"/>
                <w:szCs w:val="24"/>
                <w:lang w:val="en-US" w:eastAsia="zh-CN"/>
              </w:rPr>
              <w:t>7-2026.8.8</w:t>
            </w:r>
          </w:p>
        </w:tc>
      </w:tr>
      <w:tr w14:paraId="12A0CA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67" w:type="pct"/>
            <w:vAlign w:val="center"/>
          </w:tcPr>
          <w:p w14:paraId="2C01BFA9">
            <w:pPr>
              <w:spacing w:after="0"/>
              <w:jc w:val="center"/>
              <w:rPr>
                <w:rFonts w:eastAsia="宋体"/>
                <w:color w:val="auto"/>
                <w:sz w:val="24"/>
                <w:szCs w:val="24"/>
              </w:rPr>
            </w:pPr>
            <w:r>
              <w:rPr>
                <w:rFonts w:eastAsia="宋体"/>
                <w:color w:val="auto"/>
                <w:sz w:val="24"/>
                <w:szCs w:val="24"/>
              </w:rPr>
              <w:t>环评报告表</w:t>
            </w:r>
          </w:p>
          <w:p w14:paraId="5A227914">
            <w:pPr>
              <w:spacing w:after="0"/>
              <w:jc w:val="center"/>
              <w:rPr>
                <w:rFonts w:eastAsia="宋体"/>
                <w:color w:val="auto"/>
                <w:sz w:val="24"/>
                <w:szCs w:val="24"/>
              </w:rPr>
            </w:pPr>
            <w:r>
              <w:rPr>
                <w:rFonts w:eastAsia="宋体"/>
                <w:color w:val="auto"/>
                <w:sz w:val="24"/>
                <w:szCs w:val="24"/>
              </w:rPr>
              <w:t>审批部门</w:t>
            </w:r>
          </w:p>
        </w:tc>
        <w:tc>
          <w:tcPr>
            <w:tcW w:w="1429" w:type="pct"/>
            <w:vAlign w:val="center"/>
          </w:tcPr>
          <w:p w14:paraId="778BE76D">
            <w:pPr>
              <w:spacing w:after="0"/>
              <w:jc w:val="center"/>
              <w:rPr>
                <w:rFonts w:hint="eastAsia" w:eastAsia="宋体"/>
                <w:color w:val="auto"/>
                <w:sz w:val="24"/>
                <w:szCs w:val="24"/>
                <w:lang w:eastAsia="zh-CN"/>
              </w:rPr>
            </w:pPr>
            <w:r>
              <w:rPr>
                <w:rFonts w:hint="eastAsia" w:eastAsia="宋体"/>
                <w:color w:val="auto"/>
                <w:sz w:val="24"/>
                <w:szCs w:val="24"/>
                <w:lang w:eastAsia="zh-CN"/>
              </w:rPr>
              <w:t>新乡市生态环境局长垣分局</w:t>
            </w:r>
          </w:p>
        </w:tc>
        <w:tc>
          <w:tcPr>
            <w:tcW w:w="1111" w:type="pct"/>
            <w:vAlign w:val="center"/>
          </w:tcPr>
          <w:p w14:paraId="4D3A47C5">
            <w:pPr>
              <w:spacing w:after="0"/>
              <w:jc w:val="center"/>
              <w:rPr>
                <w:rFonts w:eastAsia="宋体"/>
                <w:color w:val="auto"/>
                <w:sz w:val="24"/>
                <w:szCs w:val="24"/>
              </w:rPr>
            </w:pPr>
            <w:r>
              <w:rPr>
                <w:rFonts w:eastAsia="宋体"/>
                <w:color w:val="auto"/>
                <w:sz w:val="24"/>
                <w:szCs w:val="24"/>
              </w:rPr>
              <w:t>环评报告表</w:t>
            </w:r>
          </w:p>
          <w:p w14:paraId="4FE01E1E">
            <w:pPr>
              <w:spacing w:after="0"/>
              <w:jc w:val="center"/>
              <w:rPr>
                <w:rFonts w:eastAsia="宋体"/>
                <w:color w:val="auto"/>
                <w:sz w:val="24"/>
                <w:szCs w:val="24"/>
              </w:rPr>
            </w:pPr>
            <w:r>
              <w:rPr>
                <w:rFonts w:eastAsia="宋体"/>
                <w:color w:val="auto"/>
                <w:sz w:val="24"/>
                <w:szCs w:val="24"/>
              </w:rPr>
              <w:t>编制单位</w:t>
            </w:r>
          </w:p>
        </w:tc>
        <w:tc>
          <w:tcPr>
            <w:tcW w:w="1491" w:type="pct"/>
            <w:gridSpan w:val="3"/>
            <w:vAlign w:val="center"/>
          </w:tcPr>
          <w:p w14:paraId="63F03EA9">
            <w:pPr>
              <w:spacing w:after="0"/>
              <w:jc w:val="center"/>
              <w:rPr>
                <w:rFonts w:hint="eastAsia" w:eastAsia="宋体"/>
                <w:color w:val="auto"/>
                <w:sz w:val="24"/>
                <w:szCs w:val="24"/>
                <w:lang w:eastAsia="zh-CN"/>
              </w:rPr>
            </w:pPr>
            <w:r>
              <w:rPr>
                <w:rFonts w:hint="eastAsia" w:eastAsia="宋体" w:cs="Times New Roman"/>
                <w:color w:val="auto"/>
                <w:sz w:val="24"/>
                <w:szCs w:val="24"/>
                <w:lang w:eastAsia="zh-CN"/>
              </w:rPr>
              <w:t>新乡市世青环境技术有限公司</w:t>
            </w:r>
          </w:p>
        </w:tc>
      </w:tr>
      <w:tr w14:paraId="1769C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67" w:type="pct"/>
            <w:vAlign w:val="center"/>
          </w:tcPr>
          <w:p w14:paraId="3D83EE61">
            <w:pPr>
              <w:spacing w:after="0"/>
              <w:jc w:val="center"/>
              <w:rPr>
                <w:rFonts w:eastAsia="宋体"/>
                <w:color w:val="auto"/>
                <w:sz w:val="24"/>
                <w:szCs w:val="24"/>
              </w:rPr>
            </w:pPr>
            <w:r>
              <w:rPr>
                <w:rFonts w:eastAsia="宋体"/>
                <w:color w:val="auto"/>
                <w:sz w:val="24"/>
                <w:szCs w:val="24"/>
              </w:rPr>
              <w:t>环保设施</w:t>
            </w:r>
          </w:p>
          <w:p w14:paraId="095CCD18">
            <w:pPr>
              <w:spacing w:after="0"/>
              <w:jc w:val="center"/>
              <w:rPr>
                <w:rFonts w:eastAsia="宋体"/>
                <w:color w:val="auto"/>
                <w:sz w:val="24"/>
                <w:szCs w:val="24"/>
              </w:rPr>
            </w:pPr>
            <w:r>
              <w:rPr>
                <w:rFonts w:eastAsia="宋体"/>
                <w:color w:val="auto"/>
                <w:sz w:val="24"/>
                <w:szCs w:val="24"/>
              </w:rPr>
              <w:t>设计单位</w:t>
            </w:r>
          </w:p>
        </w:tc>
        <w:tc>
          <w:tcPr>
            <w:tcW w:w="1429" w:type="pct"/>
            <w:vAlign w:val="center"/>
          </w:tcPr>
          <w:p w14:paraId="4834BAA1">
            <w:pPr>
              <w:spacing w:after="0"/>
              <w:jc w:val="center"/>
              <w:rPr>
                <w:rFonts w:hint="eastAsia" w:eastAsia="宋体"/>
                <w:color w:val="auto"/>
                <w:sz w:val="24"/>
                <w:szCs w:val="24"/>
                <w:lang w:eastAsia="zh-CN"/>
              </w:rPr>
            </w:pPr>
            <w:r>
              <w:rPr>
                <w:rFonts w:hint="eastAsia" w:eastAsia="宋体" w:cs="Times New Roman"/>
                <w:color w:val="auto"/>
                <w:sz w:val="24"/>
                <w:szCs w:val="24"/>
                <w:lang w:eastAsia="zh-CN"/>
              </w:rPr>
              <w:t>长垣市聚博环保科技有限公司</w:t>
            </w:r>
          </w:p>
        </w:tc>
        <w:tc>
          <w:tcPr>
            <w:tcW w:w="1111" w:type="pct"/>
            <w:vAlign w:val="center"/>
          </w:tcPr>
          <w:p w14:paraId="29E89313">
            <w:pPr>
              <w:spacing w:after="0"/>
              <w:jc w:val="center"/>
              <w:rPr>
                <w:rFonts w:eastAsia="宋体"/>
                <w:color w:val="auto"/>
                <w:sz w:val="24"/>
                <w:szCs w:val="24"/>
              </w:rPr>
            </w:pPr>
            <w:r>
              <w:rPr>
                <w:rFonts w:eastAsia="宋体"/>
                <w:color w:val="auto"/>
                <w:sz w:val="24"/>
                <w:szCs w:val="24"/>
              </w:rPr>
              <w:t>环保设施</w:t>
            </w:r>
          </w:p>
          <w:p w14:paraId="5A5EF88C">
            <w:pPr>
              <w:spacing w:after="0"/>
              <w:jc w:val="center"/>
              <w:rPr>
                <w:rFonts w:eastAsia="宋体"/>
                <w:color w:val="auto"/>
                <w:sz w:val="24"/>
                <w:szCs w:val="24"/>
              </w:rPr>
            </w:pPr>
            <w:r>
              <w:rPr>
                <w:rFonts w:eastAsia="宋体"/>
                <w:color w:val="auto"/>
                <w:sz w:val="24"/>
                <w:szCs w:val="24"/>
              </w:rPr>
              <w:t>施工单位</w:t>
            </w:r>
          </w:p>
        </w:tc>
        <w:tc>
          <w:tcPr>
            <w:tcW w:w="1491" w:type="pct"/>
            <w:gridSpan w:val="3"/>
            <w:vAlign w:val="center"/>
          </w:tcPr>
          <w:p w14:paraId="0871F8FE">
            <w:pPr>
              <w:spacing w:after="0"/>
              <w:jc w:val="center"/>
              <w:rPr>
                <w:rFonts w:hint="eastAsia" w:eastAsia="宋体"/>
                <w:color w:val="auto"/>
                <w:sz w:val="24"/>
                <w:szCs w:val="24"/>
                <w:lang w:eastAsia="zh-CN"/>
              </w:rPr>
            </w:pPr>
            <w:r>
              <w:rPr>
                <w:rFonts w:hint="eastAsia" w:eastAsia="宋体" w:cs="Times New Roman"/>
                <w:color w:val="auto"/>
                <w:sz w:val="24"/>
                <w:szCs w:val="24"/>
                <w:lang w:eastAsia="zh-CN"/>
              </w:rPr>
              <w:t>长垣市聚博环保科技有限公司</w:t>
            </w:r>
          </w:p>
        </w:tc>
      </w:tr>
      <w:tr w14:paraId="7025D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50B0627C">
            <w:pPr>
              <w:spacing w:after="0"/>
              <w:jc w:val="center"/>
              <w:rPr>
                <w:rFonts w:eastAsia="宋体"/>
                <w:color w:val="auto"/>
                <w:sz w:val="24"/>
                <w:szCs w:val="24"/>
              </w:rPr>
            </w:pPr>
            <w:r>
              <w:rPr>
                <w:rFonts w:eastAsia="宋体"/>
                <w:color w:val="auto"/>
                <w:sz w:val="24"/>
                <w:szCs w:val="24"/>
              </w:rPr>
              <w:t>投资总概算</w:t>
            </w:r>
          </w:p>
        </w:tc>
        <w:tc>
          <w:tcPr>
            <w:tcW w:w="1429" w:type="pct"/>
            <w:vAlign w:val="center"/>
          </w:tcPr>
          <w:p w14:paraId="19BF145A">
            <w:pPr>
              <w:spacing w:after="0"/>
              <w:jc w:val="center"/>
              <w:rPr>
                <w:rFonts w:eastAsia="宋体"/>
                <w:color w:val="auto"/>
                <w:sz w:val="24"/>
                <w:szCs w:val="24"/>
              </w:rPr>
            </w:pPr>
            <w:r>
              <w:rPr>
                <w:rFonts w:hint="eastAsia" w:eastAsia="宋体"/>
                <w:color w:val="auto"/>
                <w:sz w:val="24"/>
                <w:szCs w:val="24"/>
                <w:lang w:val="en-US" w:eastAsia="zh-CN"/>
              </w:rPr>
              <w:t>100</w:t>
            </w:r>
            <w:r>
              <w:rPr>
                <w:rFonts w:hint="eastAsia" w:eastAsia="宋体"/>
                <w:color w:val="auto"/>
                <w:sz w:val="24"/>
                <w:szCs w:val="24"/>
              </w:rPr>
              <w:t>万</w:t>
            </w:r>
          </w:p>
        </w:tc>
        <w:tc>
          <w:tcPr>
            <w:tcW w:w="1111" w:type="pct"/>
            <w:vAlign w:val="center"/>
          </w:tcPr>
          <w:p w14:paraId="527C8A59">
            <w:pPr>
              <w:spacing w:after="0"/>
              <w:jc w:val="center"/>
              <w:rPr>
                <w:rFonts w:eastAsia="宋体"/>
                <w:color w:val="auto"/>
                <w:sz w:val="24"/>
                <w:szCs w:val="24"/>
              </w:rPr>
            </w:pPr>
            <w:r>
              <w:rPr>
                <w:rFonts w:eastAsia="宋体"/>
                <w:color w:val="auto"/>
                <w:sz w:val="24"/>
                <w:szCs w:val="24"/>
              </w:rPr>
              <w:t>环保投资总概算</w:t>
            </w:r>
          </w:p>
        </w:tc>
        <w:tc>
          <w:tcPr>
            <w:tcW w:w="536" w:type="pct"/>
            <w:vAlign w:val="center"/>
          </w:tcPr>
          <w:p w14:paraId="0ED46761">
            <w:pPr>
              <w:spacing w:after="0"/>
              <w:jc w:val="center"/>
              <w:rPr>
                <w:rFonts w:eastAsia="宋体"/>
                <w:color w:val="auto"/>
                <w:sz w:val="24"/>
                <w:szCs w:val="24"/>
              </w:rPr>
            </w:pPr>
            <w:r>
              <w:rPr>
                <w:rFonts w:hint="eastAsia" w:eastAsia="宋体"/>
                <w:color w:val="auto"/>
                <w:sz w:val="24"/>
                <w:szCs w:val="24"/>
                <w:lang w:val="en-US" w:eastAsia="zh-CN"/>
              </w:rPr>
              <w:t>15</w:t>
            </w:r>
            <w:r>
              <w:rPr>
                <w:rFonts w:hint="eastAsia" w:eastAsia="宋体"/>
                <w:color w:val="auto"/>
                <w:sz w:val="24"/>
                <w:szCs w:val="24"/>
              </w:rPr>
              <w:t>万</w:t>
            </w:r>
          </w:p>
        </w:tc>
        <w:tc>
          <w:tcPr>
            <w:tcW w:w="475" w:type="pct"/>
            <w:vAlign w:val="center"/>
          </w:tcPr>
          <w:p w14:paraId="058EAF10">
            <w:pPr>
              <w:spacing w:after="0"/>
              <w:jc w:val="center"/>
              <w:rPr>
                <w:rFonts w:eastAsia="宋体"/>
                <w:color w:val="auto"/>
                <w:sz w:val="24"/>
                <w:szCs w:val="24"/>
              </w:rPr>
            </w:pPr>
            <w:r>
              <w:rPr>
                <w:rFonts w:eastAsia="宋体"/>
                <w:color w:val="auto"/>
                <w:sz w:val="24"/>
                <w:szCs w:val="24"/>
              </w:rPr>
              <w:t>比例</w:t>
            </w:r>
          </w:p>
        </w:tc>
        <w:tc>
          <w:tcPr>
            <w:tcW w:w="479" w:type="pct"/>
            <w:vAlign w:val="center"/>
          </w:tcPr>
          <w:p w14:paraId="4DDE9C7A">
            <w:pPr>
              <w:spacing w:after="0"/>
              <w:jc w:val="center"/>
              <w:rPr>
                <w:rFonts w:eastAsia="宋体"/>
                <w:color w:val="auto"/>
                <w:sz w:val="24"/>
                <w:szCs w:val="24"/>
              </w:rPr>
            </w:pPr>
            <w:r>
              <w:rPr>
                <w:rFonts w:hint="eastAsia" w:eastAsia="宋体"/>
                <w:color w:val="auto"/>
                <w:sz w:val="24"/>
                <w:szCs w:val="24"/>
                <w:lang w:val="en-US" w:eastAsia="zh-CN"/>
              </w:rPr>
              <w:t>15</w:t>
            </w:r>
            <w:r>
              <w:rPr>
                <w:rFonts w:eastAsia="宋体"/>
                <w:color w:val="auto"/>
                <w:sz w:val="24"/>
                <w:szCs w:val="24"/>
              </w:rPr>
              <w:t>%</w:t>
            </w:r>
          </w:p>
        </w:tc>
      </w:tr>
      <w:tr w14:paraId="03965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78092E0B">
            <w:pPr>
              <w:spacing w:after="0"/>
              <w:jc w:val="center"/>
              <w:rPr>
                <w:rFonts w:eastAsia="宋体"/>
                <w:color w:val="auto"/>
                <w:sz w:val="24"/>
                <w:szCs w:val="24"/>
              </w:rPr>
            </w:pPr>
            <w:bookmarkStart w:id="4" w:name="_Hlk122936127"/>
            <w:r>
              <w:rPr>
                <w:rFonts w:eastAsia="宋体"/>
                <w:color w:val="auto"/>
                <w:sz w:val="24"/>
                <w:szCs w:val="24"/>
              </w:rPr>
              <w:t>实际总概算</w:t>
            </w:r>
            <w:bookmarkEnd w:id="4"/>
          </w:p>
        </w:tc>
        <w:tc>
          <w:tcPr>
            <w:tcW w:w="1429" w:type="pct"/>
            <w:vAlign w:val="center"/>
          </w:tcPr>
          <w:p w14:paraId="13384E6A">
            <w:pPr>
              <w:spacing w:after="0"/>
              <w:jc w:val="center"/>
              <w:rPr>
                <w:rFonts w:eastAsia="宋体"/>
                <w:color w:val="auto"/>
                <w:sz w:val="24"/>
                <w:szCs w:val="24"/>
              </w:rPr>
            </w:pPr>
            <w:r>
              <w:rPr>
                <w:rFonts w:hint="eastAsia" w:eastAsia="宋体"/>
                <w:color w:val="auto"/>
                <w:sz w:val="24"/>
                <w:szCs w:val="24"/>
                <w:lang w:val="en-US" w:eastAsia="zh-CN"/>
              </w:rPr>
              <w:t>100</w:t>
            </w:r>
            <w:r>
              <w:rPr>
                <w:rFonts w:hint="eastAsia" w:eastAsia="宋体"/>
                <w:color w:val="auto"/>
                <w:sz w:val="24"/>
                <w:szCs w:val="24"/>
              </w:rPr>
              <w:t>万</w:t>
            </w:r>
          </w:p>
        </w:tc>
        <w:tc>
          <w:tcPr>
            <w:tcW w:w="1111" w:type="pct"/>
            <w:vAlign w:val="center"/>
          </w:tcPr>
          <w:p w14:paraId="7224FA11">
            <w:pPr>
              <w:spacing w:after="0"/>
              <w:jc w:val="center"/>
              <w:rPr>
                <w:rFonts w:eastAsia="宋体"/>
                <w:color w:val="auto"/>
                <w:sz w:val="24"/>
                <w:szCs w:val="24"/>
              </w:rPr>
            </w:pPr>
            <w:bookmarkStart w:id="5" w:name="_Hlk122936133"/>
            <w:r>
              <w:rPr>
                <w:rFonts w:eastAsia="宋体"/>
                <w:color w:val="auto"/>
                <w:sz w:val="24"/>
                <w:szCs w:val="24"/>
              </w:rPr>
              <w:t>环保投资</w:t>
            </w:r>
            <w:bookmarkEnd w:id="5"/>
          </w:p>
        </w:tc>
        <w:tc>
          <w:tcPr>
            <w:tcW w:w="536" w:type="pct"/>
            <w:vAlign w:val="center"/>
          </w:tcPr>
          <w:p w14:paraId="0F9A5BE9">
            <w:pPr>
              <w:spacing w:after="0"/>
              <w:jc w:val="center"/>
              <w:rPr>
                <w:rFonts w:eastAsia="宋体"/>
                <w:color w:val="auto"/>
                <w:sz w:val="24"/>
                <w:szCs w:val="24"/>
              </w:rPr>
            </w:pPr>
            <w:r>
              <w:rPr>
                <w:rFonts w:hint="eastAsia" w:eastAsia="宋体"/>
                <w:color w:val="auto"/>
                <w:sz w:val="24"/>
                <w:szCs w:val="24"/>
                <w:lang w:val="en-US" w:eastAsia="zh-CN"/>
              </w:rPr>
              <w:t>13</w:t>
            </w:r>
            <w:r>
              <w:rPr>
                <w:rFonts w:hint="eastAsia" w:eastAsia="宋体"/>
                <w:color w:val="auto"/>
                <w:sz w:val="24"/>
                <w:szCs w:val="24"/>
              </w:rPr>
              <w:t>万</w:t>
            </w:r>
          </w:p>
        </w:tc>
        <w:tc>
          <w:tcPr>
            <w:tcW w:w="475" w:type="pct"/>
            <w:vAlign w:val="center"/>
          </w:tcPr>
          <w:p w14:paraId="2FC4A554">
            <w:pPr>
              <w:spacing w:after="0"/>
              <w:jc w:val="center"/>
              <w:rPr>
                <w:rFonts w:eastAsia="宋体"/>
                <w:color w:val="auto"/>
                <w:sz w:val="24"/>
                <w:szCs w:val="24"/>
              </w:rPr>
            </w:pPr>
            <w:r>
              <w:rPr>
                <w:rFonts w:eastAsia="宋体"/>
                <w:color w:val="auto"/>
                <w:sz w:val="24"/>
                <w:szCs w:val="24"/>
              </w:rPr>
              <w:t>比例</w:t>
            </w:r>
          </w:p>
        </w:tc>
        <w:tc>
          <w:tcPr>
            <w:tcW w:w="479" w:type="pct"/>
            <w:vAlign w:val="center"/>
          </w:tcPr>
          <w:p w14:paraId="26075D63">
            <w:pPr>
              <w:spacing w:after="0"/>
              <w:jc w:val="center"/>
              <w:rPr>
                <w:rFonts w:eastAsia="宋体"/>
                <w:color w:val="auto"/>
                <w:sz w:val="24"/>
                <w:szCs w:val="24"/>
              </w:rPr>
            </w:pPr>
            <w:r>
              <w:rPr>
                <w:rFonts w:hint="eastAsia" w:eastAsia="宋体"/>
                <w:color w:val="auto"/>
                <w:sz w:val="24"/>
                <w:szCs w:val="24"/>
                <w:lang w:val="en-US" w:eastAsia="zh-CN"/>
              </w:rPr>
              <w:t>13</w:t>
            </w:r>
            <w:r>
              <w:rPr>
                <w:rFonts w:eastAsia="宋体"/>
                <w:color w:val="auto"/>
                <w:sz w:val="24"/>
                <w:szCs w:val="24"/>
              </w:rPr>
              <w:t>%</w:t>
            </w:r>
          </w:p>
        </w:tc>
      </w:tr>
      <w:tr w14:paraId="5416D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7" w:type="pct"/>
            <w:vAlign w:val="center"/>
          </w:tcPr>
          <w:p w14:paraId="6596891A">
            <w:pPr>
              <w:spacing w:after="0"/>
              <w:jc w:val="center"/>
              <w:rPr>
                <w:rFonts w:eastAsia="宋体"/>
                <w:color w:val="auto"/>
                <w:sz w:val="24"/>
                <w:szCs w:val="24"/>
              </w:rPr>
            </w:pPr>
            <w:r>
              <w:rPr>
                <w:rFonts w:eastAsia="宋体"/>
                <w:color w:val="auto"/>
                <w:sz w:val="24"/>
                <w:szCs w:val="24"/>
              </w:rPr>
              <w:t>验收监测依据</w:t>
            </w:r>
          </w:p>
        </w:tc>
        <w:tc>
          <w:tcPr>
            <w:tcW w:w="4032" w:type="pct"/>
            <w:gridSpan w:val="5"/>
            <w:vAlign w:val="center"/>
          </w:tcPr>
          <w:p w14:paraId="64C4FBD2">
            <w:pPr>
              <w:spacing w:after="0" w:line="460" w:lineRule="exact"/>
              <w:jc w:val="both"/>
              <w:rPr>
                <w:rFonts w:eastAsia="宋体"/>
                <w:color w:val="auto"/>
                <w:sz w:val="24"/>
                <w:szCs w:val="24"/>
              </w:rPr>
            </w:pPr>
            <w:r>
              <w:rPr>
                <w:rFonts w:eastAsia="宋体"/>
                <w:color w:val="auto"/>
                <w:sz w:val="24"/>
                <w:szCs w:val="24"/>
              </w:rPr>
              <w:t>1.《中华人民共和国生态环境法典》（2026年3月12日第十四届全国人民代表大会第四次会议通过，2026年8月15日实施）；</w:t>
            </w:r>
          </w:p>
          <w:p w14:paraId="06D4CC75">
            <w:pPr>
              <w:spacing w:after="0" w:line="460" w:lineRule="exact"/>
              <w:jc w:val="both"/>
              <w:rPr>
                <w:rFonts w:eastAsia="宋体"/>
                <w:color w:val="auto"/>
                <w:sz w:val="24"/>
                <w:szCs w:val="24"/>
              </w:rPr>
            </w:pPr>
            <w:r>
              <w:rPr>
                <w:rFonts w:hint="eastAsia" w:eastAsia="宋体"/>
                <w:color w:val="auto"/>
                <w:sz w:val="24"/>
                <w:szCs w:val="24"/>
                <w:lang w:val="en-US" w:eastAsia="zh-CN"/>
              </w:rPr>
              <w:t>2</w:t>
            </w:r>
            <w:r>
              <w:rPr>
                <w:rFonts w:eastAsia="宋体"/>
                <w:color w:val="auto"/>
                <w:sz w:val="24"/>
                <w:szCs w:val="24"/>
              </w:rPr>
              <w:t>.《建设项目环境保护管理条例》（国务院令第253号）；</w:t>
            </w:r>
          </w:p>
          <w:p w14:paraId="3685CE07">
            <w:pPr>
              <w:spacing w:after="0" w:line="460" w:lineRule="exact"/>
              <w:jc w:val="both"/>
              <w:rPr>
                <w:rFonts w:eastAsia="宋体"/>
                <w:color w:val="auto"/>
                <w:sz w:val="24"/>
                <w:szCs w:val="24"/>
              </w:rPr>
            </w:pPr>
            <w:r>
              <w:rPr>
                <w:rFonts w:hint="eastAsia" w:eastAsia="宋体"/>
                <w:color w:val="auto"/>
                <w:sz w:val="24"/>
                <w:szCs w:val="24"/>
                <w:lang w:val="en-US" w:eastAsia="zh-CN"/>
              </w:rPr>
              <w:t>3</w:t>
            </w:r>
            <w:r>
              <w:rPr>
                <w:rFonts w:eastAsia="宋体"/>
                <w:color w:val="auto"/>
                <w:sz w:val="24"/>
                <w:szCs w:val="24"/>
              </w:rPr>
              <w:t>.《河南省建设项目环境保护条例》（2016年修正版）；</w:t>
            </w:r>
          </w:p>
          <w:p w14:paraId="2AE71914">
            <w:pPr>
              <w:spacing w:after="0" w:line="460" w:lineRule="exact"/>
              <w:jc w:val="both"/>
              <w:rPr>
                <w:rFonts w:eastAsia="宋体"/>
                <w:color w:val="auto"/>
                <w:sz w:val="24"/>
                <w:szCs w:val="24"/>
              </w:rPr>
            </w:pPr>
            <w:r>
              <w:rPr>
                <w:rFonts w:hint="eastAsia" w:eastAsia="宋体"/>
                <w:color w:val="auto"/>
                <w:sz w:val="24"/>
                <w:szCs w:val="24"/>
                <w:lang w:val="en-US" w:eastAsia="zh-CN"/>
              </w:rPr>
              <w:t>4</w:t>
            </w:r>
            <w:r>
              <w:rPr>
                <w:rFonts w:eastAsia="宋体"/>
                <w:color w:val="auto"/>
                <w:sz w:val="24"/>
                <w:szCs w:val="24"/>
              </w:rPr>
              <w:t>.《关于印发建设项目竣工环境保护验收现场检查及审查要点的通知》（环办〔2015〕113号）；</w:t>
            </w:r>
          </w:p>
          <w:p w14:paraId="071DAC25">
            <w:pPr>
              <w:spacing w:after="0" w:line="460" w:lineRule="exact"/>
              <w:jc w:val="both"/>
              <w:rPr>
                <w:rFonts w:eastAsia="宋体"/>
                <w:color w:val="auto"/>
                <w:sz w:val="24"/>
                <w:szCs w:val="24"/>
              </w:rPr>
            </w:pPr>
            <w:r>
              <w:rPr>
                <w:rFonts w:hint="eastAsia" w:eastAsia="宋体"/>
                <w:color w:val="auto"/>
                <w:sz w:val="24"/>
                <w:szCs w:val="24"/>
                <w:lang w:val="en-US" w:eastAsia="zh-CN"/>
              </w:rPr>
              <w:t>5</w:t>
            </w:r>
            <w:r>
              <w:rPr>
                <w:rFonts w:eastAsia="宋体"/>
                <w:color w:val="auto"/>
                <w:sz w:val="24"/>
                <w:szCs w:val="24"/>
              </w:rPr>
              <w:t>.《建设项目竣工环境保护验收暂行办法》（国环规环评〔2017〕4号，2017.11.22）；</w:t>
            </w:r>
          </w:p>
          <w:p w14:paraId="1C55BD82">
            <w:pPr>
              <w:spacing w:after="0" w:line="460" w:lineRule="exact"/>
              <w:jc w:val="both"/>
              <w:rPr>
                <w:rFonts w:eastAsia="宋体"/>
                <w:color w:val="auto"/>
                <w:sz w:val="24"/>
                <w:szCs w:val="24"/>
              </w:rPr>
            </w:pPr>
            <w:r>
              <w:rPr>
                <w:rFonts w:hint="eastAsia" w:eastAsia="宋体"/>
                <w:color w:val="auto"/>
                <w:sz w:val="24"/>
                <w:szCs w:val="24"/>
                <w:lang w:val="en-US" w:eastAsia="zh-CN"/>
              </w:rPr>
              <w:t>6</w:t>
            </w:r>
            <w:r>
              <w:rPr>
                <w:rFonts w:eastAsia="宋体"/>
                <w:color w:val="auto"/>
                <w:sz w:val="24"/>
                <w:szCs w:val="24"/>
              </w:rPr>
              <w:t>.《建设项目竣工环境保护验收技术指南污染影响类》（生态环境部，2018.5.16）；</w:t>
            </w:r>
          </w:p>
          <w:p w14:paraId="0C3CEA5C">
            <w:pPr>
              <w:spacing w:after="0" w:line="460" w:lineRule="exact"/>
              <w:jc w:val="both"/>
              <w:rPr>
                <w:rFonts w:eastAsia="宋体"/>
                <w:color w:val="auto"/>
                <w:sz w:val="24"/>
                <w:szCs w:val="24"/>
              </w:rPr>
            </w:pPr>
            <w:r>
              <w:rPr>
                <w:rFonts w:hint="eastAsia" w:eastAsia="宋体"/>
                <w:color w:val="auto"/>
                <w:sz w:val="24"/>
                <w:szCs w:val="24"/>
                <w:lang w:val="en-US" w:eastAsia="zh-CN"/>
              </w:rPr>
              <w:t>7</w:t>
            </w:r>
            <w:r>
              <w:rPr>
                <w:rFonts w:eastAsia="宋体"/>
                <w:color w:val="auto"/>
                <w:sz w:val="24"/>
                <w:szCs w:val="24"/>
              </w:rPr>
              <w:t>.</w:t>
            </w:r>
            <w:r>
              <w:rPr>
                <w:rFonts w:hint="eastAsia" w:eastAsia="宋体"/>
                <w:color w:val="auto"/>
                <w:sz w:val="24"/>
                <w:szCs w:val="24"/>
              </w:rPr>
              <w:t>关于印发《污染影响类建设项目重大变动清单（试行）》的通知（生态环境部，环办环评函（2020）688号，2020.12.13）</w:t>
            </w:r>
            <w:r>
              <w:rPr>
                <w:rFonts w:eastAsia="宋体"/>
                <w:color w:val="auto"/>
                <w:sz w:val="24"/>
                <w:szCs w:val="24"/>
              </w:rPr>
              <w:t>；</w:t>
            </w:r>
          </w:p>
          <w:p w14:paraId="7EEB1B28">
            <w:pPr>
              <w:spacing w:after="0" w:line="460" w:lineRule="exact"/>
              <w:jc w:val="both"/>
              <w:rPr>
                <w:rFonts w:eastAsia="宋体"/>
                <w:color w:val="auto"/>
                <w:sz w:val="24"/>
                <w:szCs w:val="24"/>
              </w:rPr>
            </w:pPr>
            <w:r>
              <w:rPr>
                <w:rFonts w:hint="eastAsia" w:eastAsia="宋体"/>
                <w:color w:val="auto"/>
                <w:sz w:val="24"/>
                <w:szCs w:val="24"/>
                <w:lang w:val="en-US" w:eastAsia="zh-CN"/>
              </w:rPr>
              <w:t>8.</w:t>
            </w:r>
            <w:r>
              <w:rPr>
                <w:rFonts w:hint="eastAsia" w:eastAsia="宋体"/>
                <w:color w:val="auto"/>
                <w:sz w:val="24"/>
                <w:szCs w:val="24"/>
              </w:rPr>
              <w:t>《排污许可证申请与核发技术规范 工业固体废物和危险废物治理》（HJ1033-2019）</w:t>
            </w:r>
          </w:p>
          <w:p w14:paraId="76E81686">
            <w:pPr>
              <w:spacing w:after="0" w:line="460" w:lineRule="exact"/>
              <w:jc w:val="both"/>
              <w:rPr>
                <w:rFonts w:eastAsia="宋体"/>
                <w:color w:val="auto"/>
                <w:sz w:val="24"/>
                <w:szCs w:val="24"/>
              </w:rPr>
            </w:pPr>
            <w:r>
              <w:rPr>
                <w:rFonts w:hint="eastAsia" w:eastAsia="宋体"/>
                <w:color w:val="auto"/>
                <w:sz w:val="24"/>
                <w:szCs w:val="24"/>
                <w:lang w:val="en-US" w:eastAsia="zh-CN"/>
              </w:rPr>
              <w:t>9</w:t>
            </w:r>
            <w:r>
              <w:rPr>
                <w:rFonts w:eastAsia="宋体"/>
                <w:color w:val="auto"/>
                <w:sz w:val="24"/>
                <w:szCs w:val="24"/>
              </w:rPr>
              <w:t>.《排污单位自行监测技术指南</w:t>
            </w:r>
            <w:r>
              <w:rPr>
                <w:rFonts w:hint="eastAsia" w:eastAsia="宋体"/>
                <w:color w:val="auto"/>
                <w:sz w:val="24"/>
                <w:szCs w:val="24"/>
                <w:lang w:val="en-US" w:eastAsia="zh-CN"/>
              </w:rPr>
              <w:t xml:space="preserve"> </w:t>
            </w:r>
            <w:r>
              <w:rPr>
                <w:rFonts w:eastAsia="宋体"/>
                <w:color w:val="auto"/>
                <w:sz w:val="24"/>
                <w:szCs w:val="24"/>
              </w:rPr>
              <w:t>总则》（HJ819-2017）；</w:t>
            </w:r>
          </w:p>
          <w:p w14:paraId="46B25B0D">
            <w:pPr>
              <w:spacing w:after="0" w:line="460" w:lineRule="exact"/>
              <w:jc w:val="both"/>
              <w:rPr>
                <w:rFonts w:hint="default" w:eastAsia="宋体"/>
                <w:color w:val="auto"/>
                <w:sz w:val="24"/>
                <w:szCs w:val="24"/>
                <w:lang w:val="en-US" w:eastAsia="zh-CN"/>
              </w:rPr>
            </w:pPr>
            <w:r>
              <w:rPr>
                <w:rFonts w:hint="eastAsia" w:eastAsia="宋体"/>
                <w:color w:val="auto"/>
                <w:sz w:val="24"/>
                <w:szCs w:val="24"/>
                <w:lang w:val="en-US" w:eastAsia="zh-CN"/>
              </w:rPr>
              <w:t>10.《排污单位自行监测技术指南  工业固体废物和危险废物治理》（HJ 1250-2022）。</w:t>
            </w:r>
          </w:p>
        </w:tc>
      </w:tr>
      <w:tr w14:paraId="51F22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5" w:hRule="atLeast"/>
          <w:jc w:val="center"/>
        </w:trPr>
        <w:tc>
          <w:tcPr>
            <w:tcW w:w="967" w:type="pct"/>
            <w:vAlign w:val="center"/>
          </w:tcPr>
          <w:p w14:paraId="39D1401E">
            <w:pPr>
              <w:spacing w:after="0"/>
              <w:jc w:val="center"/>
              <w:rPr>
                <w:rFonts w:eastAsia="宋体"/>
                <w:color w:val="auto"/>
                <w:sz w:val="24"/>
                <w:szCs w:val="24"/>
              </w:rPr>
            </w:pPr>
          </w:p>
        </w:tc>
        <w:tc>
          <w:tcPr>
            <w:tcW w:w="4032" w:type="pct"/>
            <w:gridSpan w:val="5"/>
            <w:vAlign w:val="top"/>
          </w:tcPr>
          <w:p w14:paraId="68A3C445">
            <w:pPr>
              <w:spacing w:after="0" w:line="460" w:lineRule="exact"/>
              <w:jc w:val="both"/>
              <w:rPr>
                <w:rFonts w:eastAsia="宋体"/>
                <w:color w:val="auto"/>
                <w:sz w:val="24"/>
                <w:szCs w:val="24"/>
              </w:rPr>
            </w:pPr>
            <w:r>
              <w:rPr>
                <w:rFonts w:eastAsia="宋体"/>
                <w:color w:val="auto"/>
                <w:sz w:val="24"/>
                <w:szCs w:val="24"/>
              </w:rPr>
              <w:t>1</w:t>
            </w:r>
            <w:r>
              <w:rPr>
                <w:rFonts w:hint="eastAsia" w:eastAsia="宋体"/>
                <w:color w:val="auto"/>
                <w:sz w:val="24"/>
                <w:szCs w:val="24"/>
                <w:lang w:val="en-US" w:eastAsia="zh-CN"/>
              </w:rPr>
              <w:t>1</w:t>
            </w:r>
            <w:r>
              <w:rPr>
                <w:rFonts w:eastAsia="宋体"/>
                <w:color w:val="auto"/>
                <w:sz w:val="24"/>
                <w:szCs w:val="24"/>
              </w:rPr>
              <w:t>.</w:t>
            </w:r>
            <w:bookmarkStart w:id="6" w:name="_Hlk122942503"/>
            <w:r>
              <w:rPr>
                <w:rFonts w:hint="eastAsia" w:eastAsia="宋体"/>
                <w:color w:val="auto"/>
                <w:sz w:val="24"/>
                <w:szCs w:val="24"/>
              </w:rPr>
              <w:t>《</w:t>
            </w:r>
            <w:r>
              <w:rPr>
                <w:rFonts w:hint="eastAsia" w:eastAsia="宋体" w:cs="Times New Roman"/>
                <w:color w:val="auto"/>
                <w:sz w:val="24"/>
                <w:szCs w:val="24"/>
                <w:lang w:eastAsia="zh-CN"/>
              </w:rPr>
              <w:t>长垣市聚博环保科技有限公司年收集、贮存9860吨危险废物项目</w:t>
            </w:r>
            <w:r>
              <w:rPr>
                <w:rFonts w:hint="eastAsia" w:eastAsia="宋体"/>
                <w:color w:val="auto"/>
                <w:sz w:val="24"/>
                <w:szCs w:val="24"/>
              </w:rPr>
              <w:t>环境影响报告表》</w:t>
            </w:r>
            <w:bookmarkEnd w:id="6"/>
            <w:r>
              <w:rPr>
                <w:rFonts w:hint="eastAsia" w:eastAsia="宋体"/>
                <w:color w:val="auto"/>
                <w:sz w:val="24"/>
                <w:szCs w:val="24"/>
              </w:rPr>
              <w:t>，</w:t>
            </w:r>
            <w:r>
              <w:rPr>
                <w:rFonts w:hint="eastAsia" w:eastAsia="宋体" w:cs="Times New Roman"/>
                <w:color w:val="auto"/>
                <w:sz w:val="24"/>
                <w:szCs w:val="24"/>
                <w:lang w:eastAsia="zh-CN"/>
              </w:rPr>
              <w:t>新乡市世青环境技术有限公司</w:t>
            </w:r>
            <w:r>
              <w:rPr>
                <w:rFonts w:hint="eastAsia" w:eastAsia="宋体"/>
                <w:color w:val="auto"/>
                <w:sz w:val="24"/>
                <w:szCs w:val="24"/>
              </w:rPr>
              <w:t>，</w:t>
            </w:r>
            <w:r>
              <w:rPr>
                <w:rFonts w:eastAsia="宋体"/>
                <w:color w:val="auto"/>
                <w:sz w:val="24"/>
                <w:szCs w:val="24"/>
              </w:rPr>
              <w:t>202</w:t>
            </w:r>
            <w:r>
              <w:rPr>
                <w:rFonts w:hint="eastAsia" w:eastAsia="宋体"/>
                <w:color w:val="auto"/>
                <w:sz w:val="24"/>
                <w:szCs w:val="24"/>
                <w:lang w:val="en-US" w:eastAsia="zh-CN"/>
              </w:rPr>
              <w:t>5</w:t>
            </w:r>
            <w:r>
              <w:rPr>
                <w:rFonts w:eastAsia="宋体"/>
                <w:color w:val="auto"/>
                <w:sz w:val="24"/>
                <w:szCs w:val="24"/>
              </w:rPr>
              <w:t>.</w:t>
            </w:r>
            <w:r>
              <w:rPr>
                <w:rFonts w:hint="eastAsia" w:eastAsia="宋体"/>
                <w:color w:val="auto"/>
                <w:sz w:val="24"/>
                <w:szCs w:val="24"/>
                <w:lang w:val="en-US" w:eastAsia="zh-CN"/>
              </w:rPr>
              <w:t>12</w:t>
            </w:r>
            <w:r>
              <w:rPr>
                <w:rFonts w:eastAsia="宋体"/>
                <w:color w:val="auto"/>
                <w:sz w:val="24"/>
                <w:szCs w:val="24"/>
              </w:rPr>
              <w:t>；</w:t>
            </w:r>
          </w:p>
          <w:p w14:paraId="6DAD6E32">
            <w:pPr>
              <w:spacing w:after="0" w:line="460" w:lineRule="exact"/>
              <w:jc w:val="both"/>
              <w:rPr>
                <w:rFonts w:eastAsia="宋体"/>
                <w:color w:val="auto"/>
                <w:sz w:val="24"/>
                <w:szCs w:val="24"/>
              </w:rPr>
            </w:pPr>
            <w:r>
              <w:rPr>
                <w:rFonts w:eastAsia="宋体"/>
                <w:color w:val="auto"/>
                <w:sz w:val="24"/>
                <w:szCs w:val="24"/>
              </w:rPr>
              <w:t>1</w:t>
            </w:r>
            <w:r>
              <w:rPr>
                <w:rFonts w:hint="eastAsia" w:eastAsia="宋体"/>
                <w:color w:val="auto"/>
                <w:sz w:val="24"/>
                <w:szCs w:val="24"/>
                <w:lang w:val="en-US" w:eastAsia="zh-CN"/>
              </w:rPr>
              <w:t>2.</w:t>
            </w:r>
            <w:r>
              <w:rPr>
                <w:rFonts w:eastAsia="宋体"/>
                <w:color w:val="auto"/>
                <w:sz w:val="24"/>
                <w:szCs w:val="24"/>
              </w:rPr>
              <w:t>《</w:t>
            </w:r>
            <w:r>
              <w:rPr>
                <w:rFonts w:hint="eastAsia" w:eastAsia="宋体" w:cs="Times New Roman"/>
                <w:color w:val="auto"/>
                <w:sz w:val="24"/>
                <w:szCs w:val="24"/>
                <w:lang w:eastAsia="zh-CN"/>
              </w:rPr>
              <w:t>长垣市聚博环保科技有限公司年收集、贮存9860吨危险废物项目</w:t>
            </w:r>
            <w:r>
              <w:rPr>
                <w:rFonts w:hint="eastAsia" w:eastAsia="宋体"/>
                <w:color w:val="auto"/>
                <w:sz w:val="24"/>
                <w:szCs w:val="24"/>
              </w:rPr>
              <w:t>环境影响报告表</w:t>
            </w:r>
            <w:r>
              <w:rPr>
                <w:rFonts w:eastAsia="宋体"/>
                <w:color w:val="auto"/>
                <w:sz w:val="24"/>
                <w:szCs w:val="24"/>
              </w:rPr>
              <w:t>》的批复（</w:t>
            </w:r>
            <w:r>
              <w:rPr>
                <w:rFonts w:hint="eastAsia" w:eastAsia="宋体"/>
                <w:color w:val="auto"/>
                <w:sz w:val="24"/>
                <w:szCs w:val="24"/>
                <w:lang w:eastAsia="zh-CN"/>
              </w:rPr>
              <w:t>长环审[2025]72号</w:t>
            </w:r>
            <w:r>
              <w:rPr>
                <w:rFonts w:eastAsia="宋体"/>
                <w:color w:val="auto"/>
                <w:sz w:val="24"/>
                <w:szCs w:val="24"/>
              </w:rPr>
              <w:t>），</w:t>
            </w:r>
            <w:r>
              <w:rPr>
                <w:rFonts w:hint="eastAsia" w:eastAsia="宋体"/>
                <w:color w:val="auto"/>
                <w:sz w:val="24"/>
                <w:szCs w:val="24"/>
                <w:lang w:eastAsia="zh-CN"/>
              </w:rPr>
              <w:t>新乡市生态环境局长垣分局</w:t>
            </w:r>
            <w:r>
              <w:rPr>
                <w:rFonts w:hint="eastAsia" w:eastAsia="宋体"/>
                <w:color w:val="auto"/>
                <w:sz w:val="24"/>
                <w:szCs w:val="24"/>
              </w:rPr>
              <w:t>，</w:t>
            </w:r>
            <w:r>
              <w:rPr>
                <w:rFonts w:eastAsia="宋体"/>
                <w:color w:val="auto"/>
                <w:sz w:val="24"/>
                <w:szCs w:val="24"/>
              </w:rPr>
              <w:t>20</w:t>
            </w:r>
            <w:r>
              <w:rPr>
                <w:rFonts w:hint="eastAsia" w:eastAsia="宋体"/>
                <w:color w:val="auto"/>
                <w:sz w:val="24"/>
                <w:szCs w:val="24"/>
              </w:rPr>
              <w:t>2</w:t>
            </w:r>
            <w:r>
              <w:rPr>
                <w:rFonts w:hint="eastAsia" w:eastAsia="宋体"/>
                <w:color w:val="auto"/>
                <w:sz w:val="24"/>
                <w:szCs w:val="24"/>
                <w:lang w:val="en-US" w:eastAsia="zh-CN"/>
              </w:rPr>
              <w:t>5</w:t>
            </w:r>
            <w:r>
              <w:rPr>
                <w:rFonts w:hint="eastAsia" w:eastAsia="宋体"/>
                <w:color w:val="auto"/>
                <w:sz w:val="24"/>
                <w:szCs w:val="24"/>
              </w:rPr>
              <w:t>.</w:t>
            </w:r>
            <w:r>
              <w:rPr>
                <w:rFonts w:hint="eastAsia" w:eastAsia="宋体"/>
                <w:color w:val="auto"/>
                <w:sz w:val="24"/>
                <w:szCs w:val="24"/>
                <w:lang w:val="en-US" w:eastAsia="zh-CN"/>
              </w:rPr>
              <w:t>12</w:t>
            </w:r>
            <w:r>
              <w:rPr>
                <w:rFonts w:hint="eastAsia" w:eastAsia="宋体"/>
                <w:color w:val="auto"/>
                <w:sz w:val="24"/>
                <w:szCs w:val="24"/>
              </w:rPr>
              <w:t>.</w:t>
            </w:r>
            <w:r>
              <w:rPr>
                <w:rFonts w:hint="eastAsia" w:eastAsia="宋体"/>
                <w:color w:val="auto"/>
                <w:sz w:val="24"/>
                <w:szCs w:val="24"/>
                <w:lang w:val="en-US" w:eastAsia="zh-CN"/>
              </w:rPr>
              <w:t>31</w:t>
            </w:r>
            <w:r>
              <w:rPr>
                <w:rFonts w:eastAsia="宋体"/>
                <w:color w:val="auto"/>
                <w:sz w:val="24"/>
                <w:szCs w:val="24"/>
              </w:rPr>
              <w:t>；</w:t>
            </w:r>
          </w:p>
          <w:p w14:paraId="159A0D05">
            <w:pPr>
              <w:spacing w:after="0" w:line="460" w:lineRule="exact"/>
              <w:jc w:val="both"/>
              <w:rPr>
                <w:rFonts w:hint="eastAsia" w:eastAsia="宋体"/>
                <w:color w:val="auto"/>
                <w:sz w:val="24"/>
                <w:szCs w:val="24"/>
                <w:lang w:eastAsia="zh-CN"/>
              </w:rPr>
            </w:pPr>
            <w:r>
              <w:rPr>
                <w:rFonts w:eastAsia="宋体"/>
                <w:color w:val="auto"/>
                <w:sz w:val="24"/>
                <w:szCs w:val="24"/>
              </w:rPr>
              <w:t>1</w:t>
            </w:r>
            <w:r>
              <w:rPr>
                <w:rFonts w:hint="eastAsia" w:eastAsia="宋体"/>
                <w:color w:val="auto"/>
                <w:sz w:val="24"/>
                <w:szCs w:val="24"/>
                <w:lang w:val="en-US" w:eastAsia="zh-CN"/>
              </w:rPr>
              <w:t>3</w:t>
            </w:r>
            <w:r>
              <w:rPr>
                <w:rFonts w:eastAsia="宋体"/>
                <w:color w:val="auto"/>
                <w:sz w:val="24"/>
                <w:szCs w:val="24"/>
              </w:rPr>
              <w:t>.</w:t>
            </w:r>
            <w:r>
              <w:rPr>
                <w:rFonts w:hint="eastAsia" w:eastAsia="宋体"/>
                <w:color w:val="auto"/>
                <w:sz w:val="24"/>
                <w:szCs w:val="24"/>
                <w:lang w:eastAsia="zh-CN"/>
              </w:rPr>
              <w:t>《</w:t>
            </w:r>
            <w:r>
              <w:rPr>
                <w:rFonts w:hint="eastAsia" w:eastAsia="宋体" w:cs="Times New Roman"/>
                <w:color w:val="auto"/>
                <w:sz w:val="24"/>
                <w:szCs w:val="24"/>
                <w:lang w:eastAsia="zh-CN"/>
              </w:rPr>
              <w:t>长垣市聚博环保科技有限公司年收集、贮存9860吨危险废物项目</w:t>
            </w:r>
            <w:r>
              <w:rPr>
                <w:rFonts w:hint="eastAsia" w:eastAsia="宋体"/>
                <w:color w:val="auto"/>
                <w:sz w:val="24"/>
                <w:szCs w:val="24"/>
              </w:rPr>
              <w:t>竣工环境保护验收检测报告</w:t>
            </w:r>
            <w:r>
              <w:rPr>
                <w:rFonts w:hint="eastAsia" w:eastAsia="宋体"/>
                <w:color w:val="auto"/>
                <w:sz w:val="24"/>
                <w:szCs w:val="24"/>
                <w:lang w:eastAsia="zh-CN"/>
              </w:rPr>
              <w:t>》</w:t>
            </w:r>
            <w:r>
              <w:rPr>
                <w:rFonts w:hint="eastAsia" w:eastAsia="宋体"/>
                <w:color w:val="auto"/>
                <w:sz w:val="24"/>
                <w:szCs w:val="24"/>
              </w:rPr>
              <w:t>，</w:t>
            </w:r>
            <w:r>
              <w:rPr>
                <w:rFonts w:hint="eastAsia" w:eastAsia="宋体" w:cs="Times New Roman"/>
                <w:color w:val="auto"/>
                <w:sz w:val="24"/>
                <w:szCs w:val="24"/>
                <w:highlight w:val="none"/>
                <w:lang w:eastAsia="zh-CN"/>
              </w:rPr>
              <w:t>河南嘉昱环保技术有限公司</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202</w:t>
            </w:r>
            <w:r>
              <w:rPr>
                <w:rFonts w:hint="eastAsia"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w:t>
            </w:r>
            <w:r>
              <w:rPr>
                <w:rFonts w:hint="eastAsia"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w:t>
            </w:r>
            <w:r>
              <w:rPr>
                <w:rFonts w:hint="eastAsia" w:eastAsia="宋体"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，报告编号</w:t>
            </w:r>
            <w:r>
              <w:rPr>
                <w:rFonts w:hint="eastAsia" w:ascii="Times New Roman" w:hAnsi="Times New Roman" w:eastAsia="宋体"/>
                <w:color w:val="auto"/>
                <w:sz w:val="24"/>
                <w:szCs w:val="24"/>
                <w:highlight w:val="none"/>
                <w:lang w:val="en-US" w:eastAsia="zh-CN"/>
              </w:rPr>
              <w:t>：HNJY26T080601；</w:t>
            </w:r>
          </w:p>
          <w:p w14:paraId="095788AE">
            <w:pPr>
              <w:spacing w:after="0" w:line="460" w:lineRule="exact"/>
              <w:jc w:val="both"/>
              <w:rPr>
                <w:rFonts w:hint="eastAsia" w:eastAsia="宋体" w:cs="Times New Roman"/>
                <w:color w:val="auto"/>
                <w:sz w:val="24"/>
                <w:szCs w:val="24"/>
                <w:lang w:eastAsia="zh-CN"/>
              </w:rPr>
            </w:pPr>
            <w:r>
              <w:rPr>
                <w:rFonts w:hint="eastAsia" w:ascii="Times New Roman" w:hAnsi="Times New Roman" w:eastAsia="宋体" w:cs="Times New Roman"/>
                <w:color w:val="auto"/>
                <w:sz w:val="24"/>
                <w:szCs w:val="24"/>
              </w:rPr>
              <w:t>1</w:t>
            </w:r>
            <w:r>
              <w:rPr>
                <w:rFonts w:hint="eastAsia" w:eastAsia="宋体" w:cs="Times New Roman"/>
                <w:color w:val="auto"/>
                <w:sz w:val="24"/>
                <w:szCs w:val="24"/>
                <w:lang w:val="en-US" w:eastAsia="zh-CN"/>
              </w:rPr>
              <w:t>4</w:t>
            </w:r>
            <w:r>
              <w:rPr>
                <w:rFonts w:hint="eastAsia" w:ascii="Times New Roman" w:hAnsi="Times New Roman" w:eastAsia="宋体" w:cs="Times New Roman"/>
                <w:color w:val="auto"/>
                <w:sz w:val="24"/>
                <w:szCs w:val="24"/>
              </w:rPr>
              <w:t>.</w:t>
            </w:r>
            <w:r>
              <w:rPr>
                <w:rFonts w:ascii="Times New Roman" w:hAnsi="Times New Roman" w:eastAsia="TimesNewRomanPSMT"/>
                <w:color w:val="auto"/>
                <w:sz w:val="24"/>
                <w:szCs w:val="24"/>
              </w:rPr>
              <w:t>排污单位名称：</w:t>
            </w:r>
            <w:r>
              <w:rPr>
                <w:rFonts w:hint="eastAsia" w:eastAsia="宋体" w:cs="Times New Roman"/>
                <w:color w:val="auto"/>
                <w:sz w:val="24"/>
                <w:szCs w:val="24"/>
                <w:lang w:eastAsia="zh-CN"/>
              </w:rPr>
              <w:t>长垣市聚博环保科技有限公司</w:t>
            </w:r>
            <w:r>
              <w:rPr>
                <w:rFonts w:ascii="Times New Roman" w:hAnsi="Times New Roman" w:eastAsia="TimesNewRomanPSMT"/>
                <w:color w:val="auto"/>
                <w:sz w:val="24"/>
                <w:szCs w:val="24"/>
              </w:rPr>
              <w:t>；排污许可证编号：</w:t>
            </w:r>
            <w:r>
              <w:rPr>
                <w:rFonts w:hint="eastAsia" w:ascii="Times New Roman" w:hAnsi="Times New Roman" w:eastAsia="TimesNewRomanPSMT"/>
                <w:color w:val="auto"/>
                <w:sz w:val="24"/>
                <w:szCs w:val="24"/>
              </w:rPr>
              <w:t>91410728MA44R9Q13L001V</w:t>
            </w:r>
            <w:r>
              <w:rPr>
                <w:rFonts w:ascii="Times New Roman" w:hAnsi="Times New Roman" w:eastAsia="TimesNewRomanPSMT"/>
                <w:color w:val="auto"/>
                <w:sz w:val="24"/>
                <w:szCs w:val="24"/>
              </w:rPr>
              <w:t>；排污许可证管理类别：重点管理；排污许可证申领日期：202</w:t>
            </w:r>
            <w:r>
              <w:rPr>
                <w:rFonts w:hint="eastAsia" w:ascii="Times New Roman" w:hAnsi="Times New Roman" w:eastAsia="宋体"/>
                <w:color w:val="auto"/>
                <w:sz w:val="24"/>
                <w:szCs w:val="24"/>
                <w:lang w:val="en-US" w:eastAsia="zh-CN"/>
              </w:rPr>
              <w:t>6</w:t>
            </w:r>
            <w:r>
              <w:rPr>
                <w:rFonts w:ascii="Times New Roman" w:hAnsi="Times New Roman" w:eastAsia="TimesNewRomanPSMT"/>
                <w:color w:val="auto"/>
                <w:sz w:val="24"/>
                <w:szCs w:val="24"/>
              </w:rPr>
              <w:t>年</w:t>
            </w:r>
            <w:r>
              <w:rPr>
                <w:rFonts w:hint="eastAsia" w:ascii="Times New Roman" w:hAnsi="Times New Roman" w:eastAsia="宋体"/>
                <w:color w:val="auto"/>
                <w:sz w:val="24"/>
                <w:szCs w:val="24"/>
                <w:lang w:val="en-US" w:eastAsia="zh-CN"/>
              </w:rPr>
              <w:t>6</w:t>
            </w:r>
            <w:r>
              <w:rPr>
                <w:rFonts w:ascii="Times New Roman" w:hAnsi="Times New Roman" w:eastAsia="TimesNewRomanPSMT"/>
                <w:color w:val="auto"/>
                <w:sz w:val="24"/>
                <w:szCs w:val="24"/>
              </w:rPr>
              <w:t>月</w:t>
            </w:r>
            <w:r>
              <w:rPr>
                <w:rFonts w:hint="eastAsia" w:ascii="Times New Roman" w:hAnsi="Times New Roman" w:eastAsia="宋体"/>
                <w:color w:val="auto"/>
                <w:sz w:val="24"/>
                <w:szCs w:val="24"/>
                <w:lang w:val="en-US" w:eastAsia="zh-CN"/>
              </w:rPr>
              <w:t>23</w:t>
            </w:r>
            <w:r>
              <w:rPr>
                <w:rFonts w:ascii="Times New Roman" w:hAnsi="Times New Roman" w:eastAsia="TimesNewRomanPSMT"/>
                <w:color w:val="auto"/>
                <w:sz w:val="24"/>
                <w:szCs w:val="24"/>
              </w:rPr>
              <w:t>日；有效期：20</w:t>
            </w:r>
            <w:r>
              <w:rPr>
                <w:rFonts w:hint="eastAsia" w:ascii="Times New Roman" w:hAnsi="Times New Roman" w:eastAsia="宋体"/>
                <w:color w:val="auto"/>
                <w:sz w:val="24"/>
                <w:szCs w:val="24"/>
                <w:lang w:val="en-US" w:eastAsia="zh-CN"/>
              </w:rPr>
              <w:t>26</w:t>
            </w:r>
            <w:r>
              <w:rPr>
                <w:rFonts w:ascii="Times New Roman" w:hAnsi="Times New Roman" w:eastAsia="TimesNewRomanPSMT"/>
                <w:color w:val="auto"/>
                <w:sz w:val="24"/>
                <w:szCs w:val="24"/>
              </w:rPr>
              <w:t>年</w:t>
            </w:r>
            <w:r>
              <w:rPr>
                <w:rFonts w:hint="eastAsia" w:ascii="Times New Roman" w:hAnsi="Times New Roman" w:eastAsia="宋体"/>
                <w:color w:val="auto"/>
                <w:sz w:val="24"/>
                <w:szCs w:val="24"/>
                <w:lang w:val="en-US" w:eastAsia="zh-CN"/>
              </w:rPr>
              <w:t>6</w:t>
            </w:r>
            <w:r>
              <w:rPr>
                <w:rFonts w:ascii="Times New Roman" w:hAnsi="Times New Roman" w:eastAsia="TimesNewRomanPSMT"/>
                <w:color w:val="auto"/>
                <w:sz w:val="24"/>
                <w:szCs w:val="24"/>
              </w:rPr>
              <w:t>月</w:t>
            </w:r>
            <w:r>
              <w:rPr>
                <w:rFonts w:hint="eastAsia" w:ascii="Times New Roman" w:hAnsi="Times New Roman" w:eastAsia="宋体"/>
                <w:color w:val="auto"/>
                <w:sz w:val="24"/>
                <w:szCs w:val="24"/>
                <w:lang w:val="en-US" w:eastAsia="zh-CN"/>
              </w:rPr>
              <w:t>23</w:t>
            </w:r>
            <w:r>
              <w:rPr>
                <w:rFonts w:ascii="Times New Roman" w:hAnsi="Times New Roman" w:eastAsia="TimesNewRomanPSMT"/>
                <w:color w:val="auto"/>
                <w:sz w:val="24"/>
                <w:szCs w:val="24"/>
              </w:rPr>
              <w:t>日至20</w:t>
            </w:r>
            <w:r>
              <w:rPr>
                <w:rFonts w:hint="eastAsia" w:ascii="Times New Roman" w:hAnsi="Times New Roman" w:eastAsia="宋体"/>
                <w:color w:val="auto"/>
                <w:sz w:val="24"/>
                <w:szCs w:val="24"/>
                <w:lang w:val="en-US" w:eastAsia="zh-CN"/>
              </w:rPr>
              <w:t>31</w:t>
            </w:r>
            <w:r>
              <w:rPr>
                <w:rFonts w:ascii="Times New Roman" w:hAnsi="Times New Roman" w:eastAsia="TimesNewRomanPSMT"/>
                <w:color w:val="auto"/>
                <w:sz w:val="24"/>
                <w:szCs w:val="24"/>
              </w:rPr>
              <w:t>年</w:t>
            </w:r>
            <w:r>
              <w:rPr>
                <w:rFonts w:hint="eastAsia" w:ascii="Times New Roman" w:hAnsi="Times New Roman" w:eastAsia="宋体"/>
                <w:color w:val="auto"/>
                <w:sz w:val="24"/>
                <w:szCs w:val="24"/>
                <w:lang w:val="en-US" w:eastAsia="zh-CN"/>
              </w:rPr>
              <w:t>6</w:t>
            </w:r>
            <w:r>
              <w:rPr>
                <w:rFonts w:ascii="Times New Roman" w:hAnsi="Times New Roman" w:eastAsia="TimesNewRomanPSMT"/>
                <w:color w:val="auto"/>
                <w:sz w:val="24"/>
                <w:szCs w:val="24"/>
              </w:rPr>
              <w:t>月</w:t>
            </w:r>
            <w:r>
              <w:rPr>
                <w:rFonts w:hint="eastAsia" w:ascii="Times New Roman" w:hAnsi="Times New Roman" w:eastAsia="宋体"/>
                <w:color w:val="auto"/>
                <w:sz w:val="24"/>
                <w:szCs w:val="24"/>
                <w:lang w:val="en-US" w:eastAsia="zh-CN"/>
              </w:rPr>
              <w:t>22</w:t>
            </w:r>
            <w:r>
              <w:rPr>
                <w:rFonts w:ascii="Times New Roman" w:hAnsi="Times New Roman" w:eastAsia="TimesNewRomanPSMT"/>
                <w:color w:val="auto"/>
                <w:sz w:val="24"/>
                <w:szCs w:val="24"/>
              </w:rPr>
              <w:t>日。</w:t>
            </w:r>
          </w:p>
          <w:p w14:paraId="165938C1">
            <w:pPr>
              <w:spacing w:after="0" w:line="460" w:lineRule="exact"/>
              <w:jc w:val="both"/>
              <w:rPr>
                <w:rFonts w:hint="eastAsia" w:eastAsia="宋体" w:cs="Times New Roman"/>
                <w:color w:val="auto"/>
                <w:sz w:val="24"/>
                <w:szCs w:val="24"/>
                <w:lang w:eastAsia="zh-CN"/>
              </w:rPr>
            </w:pPr>
          </w:p>
          <w:p w14:paraId="7DDA54AB">
            <w:pPr>
              <w:spacing w:after="0" w:line="460" w:lineRule="exact"/>
              <w:jc w:val="both"/>
              <w:rPr>
                <w:rFonts w:hint="eastAsia" w:eastAsia="宋体" w:cs="Times New Roman"/>
                <w:color w:val="auto"/>
                <w:sz w:val="24"/>
                <w:szCs w:val="24"/>
                <w:lang w:eastAsia="zh-CN"/>
              </w:rPr>
            </w:pPr>
          </w:p>
          <w:p w14:paraId="458F598D">
            <w:pPr>
              <w:spacing w:after="0" w:line="460" w:lineRule="exact"/>
              <w:jc w:val="both"/>
              <w:rPr>
                <w:rFonts w:hint="eastAsia" w:eastAsia="宋体" w:cs="Times New Roman"/>
                <w:color w:val="auto"/>
                <w:sz w:val="24"/>
                <w:szCs w:val="24"/>
                <w:lang w:eastAsia="zh-CN"/>
              </w:rPr>
            </w:pPr>
          </w:p>
          <w:p w14:paraId="6705AF59">
            <w:pPr>
              <w:spacing w:after="0" w:line="460" w:lineRule="exact"/>
              <w:jc w:val="both"/>
              <w:rPr>
                <w:rFonts w:hint="eastAsia" w:eastAsia="宋体" w:cs="Times New Roman"/>
                <w:color w:val="auto"/>
                <w:sz w:val="24"/>
                <w:szCs w:val="24"/>
                <w:lang w:eastAsia="zh-CN"/>
              </w:rPr>
            </w:pPr>
          </w:p>
          <w:p w14:paraId="155D77C6">
            <w:pPr>
              <w:spacing w:after="0" w:line="460" w:lineRule="exact"/>
              <w:jc w:val="both"/>
              <w:rPr>
                <w:rFonts w:hint="eastAsia" w:eastAsia="宋体" w:cs="Times New Roman"/>
                <w:color w:val="auto"/>
                <w:sz w:val="24"/>
                <w:szCs w:val="24"/>
                <w:lang w:eastAsia="zh-CN"/>
              </w:rPr>
            </w:pPr>
          </w:p>
          <w:p w14:paraId="1FD8ECC5">
            <w:pPr>
              <w:spacing w:after="0" w:line="460" w:lineRule="exact"/>
              <w:jc w:val="both"/>
              <w:rPr>
                <w:rFonts w:hint="eastAsia" w:eastAsia="宋体" w:cs="Times New Roman"/>
                <w:color w:val="auto"/>
                <w:sz w:val="24"/>
                <w:szCs w:val="24"/>
                <w:lang w:eastAsia="zh-CN"/>
              </w:rPr>
            </w:pPr>
          </w:p>
          <w:p w14:paraId="33562EB2">
            <w:pPr>
              <w:spacing w:after="0" w:line="460" w:lineRule="exact"/>
              <w:jc w:val="both"/>
              <w:rPr>
                <w:rFonts w:hint="eastAsia" w:eastAsia="宋体" w:cs="Times New Roman"/>
                <w:color w:val="auto"/>
                <w:sz w:val="24"/>
                <w:szCs w:val="24"/>
                <w:lang w:eastAsia="zh-CN"/>
              </w:rPr>
            </w:pPr>
          </w:p>
          <w:p w14:paraId="2BC0853D">
            <w:pPr>
              <w:spacing w:after="0" w:line="460" w:lineRule="exact"/>
              <w:jc w:val="both"/>
              <w:rPr>
                <w:rFonts w:hint="eastAsia" w:eastAsia="宋体" w:cs="Times New Roman"/>
                <w:color w:val="auto"/>
                <w:sz w:val="24"/>
                <w:szCs w:val="24"/>
                <w:lang w:eastAsia="zh-CN"/>
              </w:rPr>
            </w:pPr>
          </w:p>
          <w:p w14:paraId="556B47FF">
            <w:pPr>
              <w:spacing w:after="0" w:line="460" w:lineRule="exact"/>
              <w:jc w:val="both"/>
              <w:rPr>
                <w:rFonts w:hint="eastAsia" w:eastAsia="宋体" w:cs="Times New Roman"/>
                <w:color w:val="auto"/>
                <w:sz w:val="24"/>
                <w:szCs w:val="24"/>
                <w:lang w:eastAsia="zh-CN"/>
              </w:rPr>
            </w:pPr>
          </w:p>
          <w:p w14:paraId="1602799A">
            <w:pPr>
              <w:spacing w:after="0" w:line="460" w:lineRule="exact"/>
              <w:jc w:val="both"/>
              <w:rPr>
                <w:rFonts w:hint="eastAsia" w:eastAsia="宋体" w:cs="Times New Roman"/>
                <w:color w:val="auto"/>
                <w:sz w:val="24"/>
                <w:szCs w:val="24"/>
                <w:lang w:eastAsia="zh-CN"/>
              </w:rPr>
            </w:pPr>
          </w:p>
          <w:p w14:paraId="2314C2A9">
            <w:pPr>
              <w:spacing w:after="0" w:line="460" w:lineRule="exact"/>
              <w:jc w:val="both"/>
              <w:rPr>
                <w:rFonts w:hint="eastAsia" w:eastAsia="宋体" w:cs="Times New Roman"/>
                <w:color w:val="auto"/>
                <w:sz w:val="24"/>
                <w:szCs w:val="24"/>
                <w:lang w:eastAsia="zh-CN"/>
              </w:rPr>
            </w:pPr>
          </w:p>
          <w:p w14:paraId="75D6D3EB">
            <w:pPr>
              <w:spacing w:after="0" w:line="460" w:lineRule="exact"/>
              <w:jc w:val="both"/>
              <w:rPr>
                <w:rFonts w:hint="eastAsia" w:eastAsia="宋体" w:cs="Times New Roman"/>
                <w:color w:val="auto"/>
                <w:sz w:val="24"/>
                <w:szCs w:val="24"/>
                <w:lang w:eastAsia="zh-CN"/>
              </w:rPr>
            </w:pPr>
          </w:p>
          <w:p w14:paraId="523ED920">
            <w:pPr>
              <w:spacing w:after="0" w:line="460" w:lineRule="exact"/>
              <w:jc w:val="both"/>
              <w:rPr>
                <w:rFonts w:hint="eastAsia" w:eastAsia="宋体" w:cs="Times New Roman"/>
                <w:color w:val="auto"/>
                <w:sz w:val="24"/>
                <w:szCs w:val="24"/>
                <w:lang w:eastAsia="zh-CN"/>
              </w:rPr>
            </w:pPr>
          </w:p>
          <w:p w14:paraId="7ACA93B2">
            <w:pPr>
              <w:spacing w:after="0" w:line="460" w:lineRule="exact"/>
              <w:jc w:val="both"/>
              <w:rPr>
                <w:rFonts w:hint="eastAsia" w:eastAsia="宋体" w:cs="Times New Roman"/>
                <w:color w:val="auto"/>
                <w:sz w:val="24"/>
                <w:szCs w:val="24"/>
                <w:lang w:eastAsia="zh-CN"/>
              </w:rPr>
            </w:pPr>
          </w:p>
        </w:tc>
      </w:tr>
      <w:tr w14:paraId="2BAB0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0" w:hRule="atLeast"/>
          <w:jc w:val="center"/>
        </w:trPr>
        <w:tc>
          <w:tcPr>
            <w:tcW w:w="967" w:type="pct"/>
            <w:vAlign w:val="center"/>
          </w:tcPr>
          <w:p w14:paraId="52CDC897">
            <w:pPr>
              <w:spacing w:after="0"/>
              <w:jc w:val="center"/>
              <w:rPr>
                <w:rFonts w:eastAsia="宋体"/>
                <w:color w:val="auto"/>
                <w:sz w:val="24"/>
                <w:szCs w:val="24"/>
              </w:rPr>
            </w:pPr>
            <w:r>
              <w:rPr>
                <w:rFonts w:eastAsia="宋体"/>
                <w:color w:val="auto"/>
                <w:sz w:val="24"/>
                <w:szCs w:val="24"/>
              </w:rPr>
              <w:t>验收监测评价标准、标号、级别、限值</w:t>
            </w:r>
          </w:p>
        </w:tc>
        <w:tc>
          <w:tcPr>
            <w:tcW w:w="4032" w:type="pct"/>
            <w:gridSpan w:val="5"/>
          </w:tcPr>
          <w:p w14:paraId="2BD07488">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rPr>
              <w:t xml:space="preserve">             </w:t>
            </w: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污染物排放标准</w:t>
            </w:r>
          </w:p>
          <w:tbl>
            <w:tblPr>
              <w:tblStyle w:val="20"/>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2797"/>
              <w:gridCol w:w="860"/>
              <w:gridCol w:w="849"/>
              <w:gridCol w:w="2063"/>
            </w:tblGrid>
            <w:tr w14:paraId="0B6252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vAlign w:val="center"/>
                </w:tcPr>
                <w:p w14:paraId="2EE5465B">
                  <w:pPr>
                    <w:pStyle w:val="65"/>
                    <w:rPr>
                      <w:b/>
                      <w:bCs w:val="0"/>
                      <w:color w:val="auto"/>
                      <w:szCs w:val="20"/>
                    </w:rPr>
                  </w:pPr>
                  <w:r>
                    <w:rPr>
                      <w:rFonts w:hint="eastAsia"/>
                      <w:b/>
                      <w:bCs w:val="0"/>
                      <w:color w:val="auto"/>
                      <w:szCs w:val="20"/>
                    </w:rPr>
                    <w:t>污染物</w:t>
                  </w:r>
                </w:p>
              </w:tc>
              <w:tc>
                <w:tcPr>
                  <w:tcW w:w="2797" w:type="dxa"/>
                  <w:vAlign w:val="center"/>
                </w:tcPr>
                <w:p w14:paraId="2CC8DF23">
                  <w:pPr>
                    <w:pStyle w:val="65"/>
                    <w:rPr>
                      <w:b/>
                      <w:bCs w:val="0"/>
                      <w:color w:val="auto"/>
                      <w:szCs w:val="20"/>
                    </w:rPr>
                  </w:pPr>
                  <w:r>
                    <w:rPr>
                      <w:rFonts w:hint="eastAsia"/>
                      <w:b/>
                      <w:bCs w:val="0"/>
                      <w:color w:val="auto"/>
                      <w:szCs w:val="20"/>
                    </w:rPr>
                    <w:t>标准名称</w:t>
                  </w:r>
                </w:p>
              </w:tc>
              <w:tc>
                <w:tcPr>
                  <w:tcW w:w="1709" w:type="dxa"/>
                  <w:gridSpan w:val="2"/>
                  <w:vAlign w:val="center"/>
                </w:tcPr>
                <w:p w14:paraId="3124FF88">
                  <w:pPr>
                    <w:pStyle w:val="65"/>
                    <w:rPr>
                      <w:b/>
                      <w:bCs w:val="0"/>
                      <w:color w:val="auto"/>
                      <w:szCs w:val="20"/>
                    </w:rPr>
                  </w:pPr>
                  <w:r>
                    <w:rPr>
                      <w:rFonts w:hint="eastAsia"/>
                      <w:b/>
                      <w:bCs w:val="0"/>
                      <w:color w:val="auto"/>
                      <w:szCs w:val="20"/>
                    </w:rPr>
                    <w:t>污染因子</w:t>
                  </w:r>
                </w:p>
              </w:tc>
              <w:tc>
                <w:tcPr>
                  <w:tcW w:w="2063" w:type="dxa"/>
                  <w:vAlign w:val="center"/>
                </w:tcPr>
                <w:p w14:paraId="736BD89F">
                  <w:pPr>
                    <w:pStyle w:val="65"/>
                    <w:rPr>
                      <w:b/>
                      <w:bCs w:val="0"/>
                      <w:color w:val="auto"/>
                      <w:szCs w:val="20"/>
                    </w:rPr>
                  </w:pPr>
                  <w:r>
                    <w:rPr>
                      <w:rFonts w:hint="eastAsia"/>
                      <w:b/>
                      <w:bCs w:val="0"/>
                      <w:color w:val="auto"/>
                      <w:szCs w:val="20"/>
                    </w:rPr>
                    <w:t>标准限值</w:t>
                  </w:r>
                </w:p>
              </w:tc>
            </w:tr>
            <w:tr w14:paraId="1CAD73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vMerge w:val="restart"/>
                  <w:vAlign w:val="center"/>
                </w:tcPr>
                <w:p w14:paraId="55FA899D">
                  <w:pPr>
                    <w:pStyle w:val="65"/>
                    <w:rPr>
                      <w:color w:val="auto"/>
                      <w:szCs w:val="20"/>
                    </w:rPr>
                  </w:pPr>
                  <w:r>
                    <w:rPr>
                      <w:rFonts w:hint="eastAsia"/>
                      <w:color w:val="auto"/>
                      <w:szCs w:val="20"/>
                    </w:rPr>
                    <w:t>废气</w:t>
                  </w:r>
                </w:p>
              </w:tc>
              <w:tc>
                <w:tcPr>
                  <w:tcW w:w="2797" w:type="dxa"/>
                  <w:vAlign w:val="center"/>
                </w:tcPr>
                <w:p w14:paraId="077E2B7F">
                  <w:pPr>
                    <w:pStyle w:val="65"/>
                    <w:rPr>
                      <w:color w:val="auto"/>
                      <w:szCs w:val="20"/>
                    </w:rPr>
                  </w:pPr>
                  <w:r>
                    <w:rPr>
                      <w:rFonts w:hint="eastAsia"/>
                      <w:color w:val="auto"/>
                      <w:szCs w:val="20"/>
                    </w:rPr>
                    <w:t>《大气污染物综合排放标准》（GB16297-1996）表2二级标准</w:t>
                  </w:r>
                </w:p>
              </w:tc>
              <w:tc>
                <w:tcPr>
                  <w:tcW w:w="860" w:type="dxa"/>
                  <w:vAlign w:val="center"/>
                </w:tcPr>
                <w:p w14:paraId="0E576A5A">
                  <w:pPr>
                    <w:pStyle w:val="65"/>
                    <w:rPr>
                      <w:color w:val="auto"/>
                      <w:szCs w:val="20"/>
                    </w:rPr>
                  </w:pPr>
                  <w:r>
                    <w:rPr>
                      <w:rFonts w:hint="eastAsia"/>
                      <w:color w:val="auto"/>
                      <w:szCs w:val="20"/>
                    </w:rPr>
                    <w:t>非甲烷总烃</w:t>
                  </w:r>
                </w:p>
              </w:tc>
              <w:tc>
                <w:tcPr>
                  <w:tcW w:w="849" w:type="dxa"/>
                  <w:vAlign w:val="center"/>
                </w:tcPr>
                <w:p w14:paraId="4A97AF8C">
                  <w:pPr>
                    <w:pStyle w:val="65"/>
                    <w:rPr>
                      <w:color w:val="auto"/>
                      <w:szCs w:val="20"/>
                    </w:rPr>
                  </w:pPr>
                  <w:r>
                    <w:rPr>
                      <w:rFonts w:hint="eastAsia"/>
                      <w:color w:val="auto"/>
                      <w:szCs w:val="20"/>
                    </w:rPr>
                    <w:t>有组织</w:t>
                  </w:r>
                </w:p>
              </w:tc>
              <w:tc>
                <w:tcPr>
                  <w:tcW w:w="2063" w:type="dxa"/>
                  <w:vAlign w:val="center"/>
                </w:tcPr>
                <w:p w14:paraId="3836782F">
                  <w:pPr>
                    <w:pStyle w:val="65"/>
                    <w:rPr>
                      <w:color w:val="auto"/>
                      <w:szCs w:val="20"/>
                    </w:rPr>
                  </w:pPr>
                  <w:r>
                    <w:rPr>
                      <w:rFonts w:hint="eastAsia"/>
                      <w:color w:val="auto"/>
                      <w:szCs w:val="20"/>
                    </w:rPr>
                    <w:t>120mg/m</w:t>
                  </w:r>
                  <w:r>
                    <w:rPr>
                      <w:rFonts w:hint="eastAsia"/>
                      <w:color w:val="auto"/>
                      <w:szCs w:val="20"/>
                      <w:vertAlign w:val="superscript"/>
                    </w:rPr>
                    <w:t>3</w:t>
                  </w:r>
                  <w:r>
                    <w:rPr>
                      <w:rFonts w:hint="eastAsia"/>
                      <w:color w:val="auto"/>
                      <w:szCs w:val="20"/>
                    </w:rPr>
                    <w:t>，10kg/h（15m排气筒）</w:t>
                  </w:r>
                </w:p>
              </w:tc>
            </w:tr>
            <w:tr w14:paraId="739D1F4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06" w:type="dxa"/>
                  <w:vMerge w:val="continue"/>
                  <w:vAlign w:val="center"/>
                </w:tcPr>
                <w:p w14:paraId="078A3173">
                  <w:pPr>
                    <w:pStyle w:val="65"/>
                    <w:rPr>
                      <w:color w:val="auto"/>
                      <w:szCs w:val="20"/>
                    </w:rPr>
                  </w:pPr>
                </w:p>
              </w:tc>
              <w:tc>
                <w:tcPr>
                  <w:tcW w:w="2797" w:type="dxa"/>
                  <w:vMerge w:val="restart"/>
                  <w:vAlign w:val="center"/>
                </w:tcPr>
                <w:p w14:paraId="5B97C88A">
                  <w:pPr>
                    <w:pStyle w:val="65"/>
                    <w:rPr>
                      <w:color w:val="auto"/>
                      <w:szCs w:val="20"/>
                    </w:rPr>
                  </w:pPr>
                  <w:r>
                    <w:rPr>
                      <w:rFonts w:ascii="宋体" w:hAnsi="宋体"/>
                      <w:color w:val="auto"/>
                    </w:rPr>
                    <w:t>《关于全省开展工业企业挥发性有机物专项治理工作中排放建议值的通知》（豫环攻坚办</w:t>
                  </w:r>
                  <w:r>
                    <w:rPr>
                      <w:rFonts w:hint="eastAsia" w:ascii="宋体" w:hAnsi="宋体"/>
                      <w:color w:val="auto"/>
                    </w:rPr>
                    <w:t>〔</w:t>
                  </w:r>
                  <w:r>
                    <w:rPr>
                      <w:rFonts w:hint="eastAsia"/>
                      <w:color w:val="auto"/>
                    </w:rPr>
                    <w:t>2017</w:t>
                  </w:r>
                  <w:r>
                    <w:rPr>
                      <w:rFonts w:hint="eastAsia" w:ascii="宋体" w:hAnsi="宋体"/>
                      <w:color w:val="auto"/>
                    </w:rPr>
                    <w:t>〕</w:t>
                  </w:r>
                  <w:r>
                    <w:rPr>
                      <w:rFonts w:hint="eastAsia"/>
                      <w:color w:val="auto"/>
                    </w:rPr>
                    <w:t>162</w:t>
                  </w:r>
                  <w:r>
                    <w:rPr>
                      <w:rFonts w:hint="eastAsia" w:ascii="宋体" w:hAnsi="宋体"/>
                      <w:color w:val="auto"/>
                    </w:rPr>
                    <w:t>号</w:t>
                  </w:r>
                  <w:r>
                    <w:rPr>
                      <w:rFonts w:ascii="宋体" w:hAnsi="宋体"/>
                      <w:color w:val="auto"/>
                    </w:rPr>
                    <w:t>）</w:t>
                  </w:r>
                </w:p>
              </w:tc>
              <w:tc>
                <w:tcPr>
                  <w:tcW w:w="860" w:type="dxa"/>
                  <w:vMerge w:val="restart"/>
                  <w:vAlign w:val="center"/>
                </w:tcPr>
                <w:p w14:paraId="68F54613">
                  <w:pPr>
                    <w:pStyle w:val="65"/>
                    <w:rPr>
                      <w:color w:val="auto"/>
                      <w:szCs w:val="20"/>
                    </w:rPr>
                  </w:pPr>
                  <w:r>
                    <w:rPr>
                      <w:rFonts w:hint="eastAsia" w:ascii="宋体" w:hAnsi="宋体"/>
                      <w:color w:val="auto"/>
                    </w:rPr>
                    <w:t>非甲烷总烃</w:t>
                  </w:r>
                </w:p>
              </w:tc>
              <w:tc>
                <w:tcPr>
                  <w:tcW w:w="849" w:type="dxa"/>
                  <w:vAlign w:val="center"/>
                </w:tcPr>
                <w:p w14:paraId="248E2EFB">
                  <w:pPr>
                    <w:pStyle w:val="65"/>
                    <w:rPr>
                      <w:color w:val="auto"/>
                      <w:szCs w:val="20"/>
                    </w:rPr>
                  </w:pPr>
                  <w:r>
                    <w:rPr>
                      <w:rFonts w:hint="eastAsia" w:ascii="宋体" w:hAnsi="宋体"/>
                      <w:color w:val="auto"/>
                    </w:rPr>
                    <w:t>有组织</w:t>
                  </w:r>
                </w:p>
              </w:tc>
              <w:tc>
                <w:tcPr>
                  <w:tcW w:w="2063" w:type="dxa"/>
                  <w:vAlign w:val="center"/>
                </w:tcPr>
                <w:p w14:paraId="7DAD121F">
                  <w:pPr>
                    <w:pStyle w:val="65"/>
                    <w:rPr>
                      <w:color w:val="auto"/>
                      <w:szCs w:val="20"/>
                    </w:rPr>
                  </w:pPr>
                  <w:r>
                    <w:rPr>
                      <w:rFonts w:hint="eastAsia"/>
                      <w:color w:val="auto"/>
                    </w:rPr>
                    <w:t>80</w:t>
                  </w:r>
                  <w:r>
                    <w:rPr>
                      <w:color w:val="auto"/>
                    </w:rPr>
                    <w:t>mg/m</w:t>
                  </w:r>
                  <w:r>
                    <w:rPr>
                      <w:color w:val="auto"/>
                      <w:vertAlign w:val="superscript"/>
                    </w:rPr>
                    <w:t>3</w:t>
                  </w:r>
                  <w:r>
                    <w:rPr>
                      <w:rFonts w:hint="eastAsia"/>
                      <w:color w:val="auto"/>
                    </w:rPr>
                    <w:t>（</w:t>
                  </w:r>
                  <w:r>
                    <w:rPr>
                      <w:rFonts w:ascii="宋体" w:hAnsi="宋体"/>
                      <w:color w:val="auto"/>
                    </w:rPr>
                    <w:t>其他行业有机废气排放口</w:t>
                  </w:r>
                  <w:r>
                    <w:rPr>
                      <w:rFonts w:hint="eastAsia"/>
                      <w:color w:val="auto"/>
                    </w:rPr>
                    <w:t>）</w:t>
                  </w:r>
                </w:p>
              </w:tc>
            </w:tr>
            <w:tr w14:paraId="2261A40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6" w:type="dxa"/>
                  <w:vMerge w:val="continue"/>
                  <w:vAlign w:val="center"/>
                </w:tcPr>
                <w:p w14:paraId="6DC5D5E9">
                  <w:pPr>
                    <w:pStyle w:val="65"/>
                    <w:rPr>
                      <w:color w:val="auto"/>
                      <w:szCs w:val="20"/>
                    </w:rPr>
                  </w:pPr>
                </w:p>
              </w:tc>
              <w:tc>
                <w:tcPr>
                  <w:tcW w:w="2797" w:type="dxa"/>
                  <w:vMerge w:val="continue"/>
                  <w:vAlign w:val="center"/>
                </w:tcPr>
                <w:p w14:paraId="59AC33DE">
                  <w:pPr>
                    <w:pStyle w:val="65"/>
                    <w:rPr>
                      <w:rFonts w:hint="eastAsia" w:ascii="宋体" w:hAnsi="宋体"/>
                      <w:color w:val="auto"/>
                    </w:rPr>
                  </w:pPr>
                </w:p>
              </w:tc>
              <w:tc>
                <w:tcPr>
                  <w:tcW w:w="860" w:type="dxa"/>
                  <w:vMerge w:val="continue"/>
                  <w:vAlign w:val="center"/>
                </w:tcPr>
                <w:p w14:paraId="3E4EBEF7">
                  <w:pPr>
                    <w:pStyle w:val="65"/>
                    <w:rPr>
                      <w:rFonts w:hint="eastAsia" w:ascii="宋体" w:hAnsi="宋体"/>
                      <w:color w:val="auto"/>
                    </w:rPr>
                  </w:pPr>
                </w:p>
              </w:tc>
              <w:tc>
                <w:tcPr>
                  <w:tcW w:w="849" w:type="dxa"/>
                  <w:vAlign w:val="center"/>
                </w:tcPr>
                <w:p w14:paraId="6E00D21C">
                  <w:pPr>
                    <w:pStyle w:val="65"/>
                    <w:rPr>
                      <w:color w:val="auto"/>
                      <w:szCs w:val="20"/>
                    </w:rPr>
                  </w:pPr>
                  <w:r>
                    <w:rPr>
                      <w:rFonts w:hint="eastAsia" w:ascii="宋体" w:hAnsi="宋体"/>
                      <w:color w:val="auto"/>
                    </w:rPr>
                    <w:t>无组织</w:t>
                  </w:r>
                </w:p>
              </w:tc>
              <w:tc>
                <w:tcPr>
                  <w:tcW w:w="2063" w:type="dxa"/>
                  <w:vAlign w:val="center"/>
                </w:tcPr>
                <w:p w14:paraId="308967D8">
                  <w:pPr>
                    <w:pStyle w:val="65"/>
                    <w:rPr>
                      <w:color w:val="auto"/>
                      <w:szCs w:val="20"/>
                    </w:rPr>
                  </w:pPr>
                  <w:r>
                    <w:rPr>
                      <w:rFonts w:hint="eastAsia"/>
                      <w:color w:val="auto"/>
                    </w:rPr>
                    <w:t>2.0mg/m</w:t>
                  </w:r>
                  <w:r>
                    <w:rPr>
                      <w:rFonts w:hint="eastAsia"/>
                      <w:color w:val="auto"/>
                      <w:vertAlign w:val="superscript"/>
                    </w:rPr>
                    <w:t>3</w:t>
                  </w:r>
                  <w:r>
                    <w:rPr>
                      <w:rFonts w:hint="eastAsia"/>
                      <w:color w:val="auto"/>
                    </w:rPr>
                    <w:t>（</w:t>
                  </w:r>
                  <w:r>
                    <w:rPr>
                      <w:rFonts w:hint="eastAsia" w:ascii="宋体" w:hAnsi="宋体"/>
                      <w:color w:val="auto"/>
                    </w:rPr>
                    <w:t>厂界</w:t>
                  </w:r>
                  <w:r>
                    <w:rPr>
                      <w:rFonts w:hint="eastAsia"/>
                      <w:color w:val="auto"/>
                    </w:rPr>
                    <w:t>）</w:t>
                  </w:r>
                </w:p>
              </w:tc>
            </w:tr>
            <w:tr w14:paraId="76E6AC8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6" w:type="dxa"/>
                  <w:vMerge w:val="continue"/>
                  <w:vAlign w:val="center"/>
                </w:tcPr>
                <w:p w14:paraId="16DF9E15">
                  <w:pPr>
                    <w:pStyle w:val="65"/>
                    <w:rPr>
                      <w:color w:val="auto"/>
                      <w:szCs w:val="20"/>
                    </w:rPr>
                  </w:pPr>
                </w:p>
              </w:tc>
              <w:tc>
                <w:tcPr>
                  <w:tcW w:w="2797" w:type="dxa"/>
                  <w:vAlign w:val="center"/>
                </w:tcPr>
                <w:p w14:paraId="1BC03BCF">
                  <w:pPr>
                    <w:pStyle w:val="65"/>
                    <w:rPr>
                      <w:rFonts w:hint="eastAsia" w:ascii="宋体" w:hAnsi="宋体"/>
                      <w:color w:val="auto"/>
                    </w:rPr>
                  </w:pPr>
                  <w:r>
                    <w:rPr>
                      <w:rFonts w:ascii="宋体" w:hAnsi="宋体"/>
                      <w:color w:val="auto"/>
                    </w:rPr>
                    <w:t>《</w:t>
                  </w:r>
                  <w:r>
                    <w:rPr>
                      <w:rFonts w:hint="eastAsia" w:ascii="宋体" w:hAnsi="宋体"/>
                      <w:color w:val="auto"/>
                    </w:rPr>
                    <w:t>河南省重污染天气通用行业应急减排措施制定技术指南</w:t>
                  </w:r>
                  <w:r>
                    <w:rPr>
                      <w:rFonts w:ascii="宋体" w:hAnsi="宋体"/>
                      <w:color w:val="auto"/>
                    </w:rPr>
                    <w:t>》</w:t>
                  </w:r>
                  <w:r>
                    <w:rPr>
                      <w:rFonts w:hint="eastAsia" w:ascii="宋体" w:hAnsi="宋体"/>
                      <w:color w:val="auto"/>
                    </w:rPr>
                    <w:t>（</w:t>
                  </w:r>
                  <w:r>
                    <w:rPr>
                      <w:color w:val="auto"/>
                    </w:rPr>
                    <w:t>2024</w:t>
                  </w:r>
                  <w:r>
                    <w:rPr>
                      <w:rFonts w:hint="eastAsia" w:ascii="宋体" w:hAnsi="宋体"/>
                      <w:color w:val="auto"/>
                    </w:rPr>
                    <w:t>年修订版）</w:t>
                  </w:r>
                </w:p>
              </w:tc>
              <w:tc>
                <w:tcPr>
                  <w:tcW w:w="860" w:type="dxa"/>
                  <w:vAlign w:val="center"/>
                </w:tcPr>
                <w:p w14:paraId="38C3462C">
                  <w:pPr>
                    <w:pStyle w:val="65"/>
                    <w:rPr>
                      <w:rFonts w:hint="eastAsia" w:ascii="宋体" w:hAnsi="宋体"/>
                      <w:color w:val="auto"/>
                    </w:rPr>
                  </w:pPr>
                  <w:r>
                    <w:rPr>
                      <w:color w:val="auto"/>
                      <w:szCs w:val="20"/>
                    </w:rPr>
                    <w:t>VOCs</w:t>
                  </w:r>
                </w:p>
              </w:tc>
              <w:tc>
                <w:tcPr>
                  <w:tcW w:w="849" w:type="dxa"/>
                  <w:vAlign w:val="center"/>
                </w:tcPr>
                <w:p w14:paraId="3667D4E3">
                  <w:pPr>
                    <w:pStyle w:val="65"/>
                    <w:rPr>
                      <w:rFonts w:hint="eastAsia" w:ascii="宋体" w:hAnsi="宋体"/>
                      <w:color w:val="auto"/>
                    </w:rPr>
                  </w:pPr>
                  <w:r>
                    <w:rPr>
                      <w:rFonts w:hint="eastAsia" w:ascii="宋体" w:hAnsi="宋体"/>
                      <w:color w:val="auto"/>
                    </w:rPr>
                    <w:t>有组织</w:t>
                  </w:r>
                </w:p>
              </w:tc>
              <w:tc>
                <w:tcPr>
                  <w:tcW w:w="2063" w:type="dxa"/>
                  <w:vAlign w:val="center"/>
                </w:tcPr>
                <w:p w14:paraId="485EC635">
                  <w:pPr>
                    <w:pStyle w:val="65"/>
                    <w:rPr>
                      <w:color w:val="auto"/>
                    </w:rPr>
                  </w:pPr>
                  <w:r>
                    <w:rPr>
                      <w:rFonts w:hint="eastAsia"/>
                      <w:color w:val="auto"/>
                    </w:rPr>
                    <w:t>不高于30mg/m</w:t>
                  </w:r>
                  <w:r>
                    <w:rPr>
                      <w:rFonts w:hint="eastAsia"/>
                      <w:color w:val="auto"/>
                      <w:vertAlign w:val="superscript"/>
                    </w:rPr>
                    <w:t>3</w:t>
                  </w:r>
                </w:p>
              </w:tc>
            </w:tr>
            <w:tr w14:paraId="4AAFA86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vMerge w:val="restart"/>
                  <w:vAlign w:val="center"/>
                </w:tcPr>
                <w:p w14:paraId="0A74B51F">
                  <w:pPr>
                    <w:pStyle w:val="65"/>
                    <w:rPr>
                      <w:color w:val="auto"/>
                      <w:szCs w:val="20"/>
                    </w:rPr>
                  </w:pPr>
                  <w:r>
                    <w:rPr>
                      <w:rFonts w:hint="eastAsia"/>
                      <w:color w:val="auto"/>
                      <w:szCs w:val="20"/>
                    </w:rPr>
                    <w:t>噪声</w:t>
                  </w:r>
                </w:p>
              </w:tc>
              <w:tc>
                <w:tcPr>
                  <w:tcW w:w="2797" w:type="dxa"/>
                  <w:vMerge w:val="restart"/>
                  <w:vAlign w:val="center"/>
                </w:tcPr>
                <w:p w14:paraId="3A551B3D">
                  <w:pPr>
                    <w:pStyle w:val="65"/>
                    <w:rPr>
                      <w:color w:val="auto"/>
                      <w:szCs w:val="20"/>
                    </w:rPr>
                  </w:pPr>
                  <w:r>
                    <w:rPr>
                      <w:rFonts w:hint="eastAsia"/>
                      <w:color w:val="auto"/>
                      <w:szCs w:val="20"/>
                    </w:rPr>
                    <w:t>《工业企业厂界环境噪声排放标准》（GB12348-2008）2类</w:t>
                  </w:r>
                </w:p>
              </w:tc>
              <w:tc>
                <w:tcPr>
                  <w:tcW w:w="1709" w:type="dxa"/>
                  <w:gridSpan w:val="2"/>
                  <w:vMerge w:val="restart"/>
                  <w:vAlign w:val="center"/>
                </w:tcPr>
                <w:p w14:paraId="6E02B6BE">
                  <w:pPr>
                    <w:pStyle w:val="65"/>
                    <w:rPr>
                      <w:color w:val="auto"/>
                      <w:szCs w:val="20"/>
                    </w:rPr>
                  </w:pPr>
                  <w:r>
                    <w:rPr>
                      <w:rFonts w:hint="eastAsia"/>
                      <w:color w:val="auto"/>
                      <w:szCs w:val="20"/>
                    </w:rPr>
                    <w:t>噪声</w:t>
                  </w:r>
                </w:p>
              </w:tc>
              <w:tc>
                <w:tcPr>
                  <w:tcW w:w="2063" w:type="dxa"/>
                  <w:vAlign w:val="center"/>
                </w:tcPr>
                <w:p w14:paraId="79299114">
                  <w:pPr>
                    <w:pStyle w:val="65"/>
                    <w:rPr>
                      <w:color w:val="auto"/>
                      <w:szCs w:val="20"/>
                    </w:rPr>
                  </w:pPr>
                  <w:r>
                    <w:rPr>
                      <w:rFonts w:hint="eastAsia"/>
                      <w:color w:val="auto"/>
                      <w:szCs w:val="20"/>
                    </w:rPr>
                    <w:t>昼间60dB(A)</w:t>
                  </w:r>
                </w:p>
              </w:tc>
            </w:tr>
            <w:tr w14:paraId="5FE7B23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vMerge w:val="continue"/>
                  <w:vAlign w:val="center"/>
                </w:tcPr>
                <w:p w14:paraId="7256B6F2">
                  <w:pPr>
                    <w:pStyle w:val="65"/>
                    <w:rPr>
                      <w:color w:val="auto"/>
                      <w:szCs w:val="20"/>
                    </w:rPr>
                  </w:pPr>
                </w:p>
              </w:tc>
              <w:tc>
                <w:tcPr>
                  <w:tcW w:w="2797" w:type="dxa"/>
                  <w:vMerge w:val="continue"/>
                  <w:vAlign w:val="center"/>
                </w:tcPr>
                <w:p w14:paraId="03B54559">
                  <w:pPr>
                    <w:pStyle w:val="65"/>
                    <w:rPr>
                      <w:color w:val="auto"/>
                      <w:szCs w:val="20"/>
                    </w:rPr>
                  </w:pPr>
                </w:p>
              </w:tc>
              <w:tc>
                <w:tcPr>
                  <w:tcW w:w="1709" w:type="dxa"/>
                  <w:gridSpan w:val="2"/>
                  <w:vMerge w:val="continue"/>
                  <w:vAlign w:val="center"/>
                </w:tcPr>
                <w:p w14:paraId="5C321C4E">
                  <w:pPr>
                    <w:pStyle w:val="65"/>
                    <w:rPr>
                      <w:color w:val="auto"/>
                      <w:szCs w:val="20"/>
                    </w:rPr>
                  </w:pPr>
                </w:p>
              </w:tc>
              <w:tc>
                <w:tcPr>
                  <w:tcW w:w="2063" w:type="dxa"/>
                  <w:vAlign w:val="center"/>
                </w:tcPr>
                <w:p w14:paraId="0974C64A">
                  <w:pPr>
                    <w:pStyle w:val="65"/>
                    <w:rPr>
                      <w:color w:val="auto"/>
                      <w:szCs w:val="20"/>
                    </w:rPr>
                  </w:pPr>
                  <w:r>
                    <w:rPr>
                      <w:rFonts w:hint="eastAsia"/>
                      <w:color w:val="auto"/>
                      <w:szCs w:val="20"/>
                    </w:rPr>
                    <w:t>夜间50dB(A)</w:t>
                  </w:r>
                </w:p>
              </w:tc>
            </w:tr>
            <w:tr w14:paraId="0D6ED8E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6" w:type="dxa"/>
                  <w:vAlign w:val="center"/>
                </w:tcPr>
                <w:p w14:paraId="4FDD1053">
                  <w:pPr>
                    <w:pStyle w:val="65"/>
                    <w:rPr>
                      <w:color w:val="auto"/>
                      <w:szCs w:val="20"/>
                    </w:rPr>
                  </w:pPr>
                  <w:r>
                    <w:rPr>
                      <w:rFonts w:hint="eastAsia"/>
                      <w:color w:val="auto"/>
                      <w:szCs w:val="20"/>
                    </w:rPr>
                    <w:t>固废</w:t>
                  </w:r>
                </w:p>
              </w:tc>
              <w:tc>
                <w:tcPr>
                  <w:tcW w:w="6569" w:type="dxa"/>
                  <w:gridSpan w:val="4"/>
                  <w:vAlign w:val="center"/>
                </w:tcPr>
                <w:p w14:paraId="6EC818DD">
                  <w:pPr>
                    <w:pStyle w:val="65"/>
                    <w:rPr>
                      <w:color w:val="auto"/>
                      <w:szCs w:val="20"/>
                    </w:rPr>
                  </w:pPr>
                  <w:r>
                    <w:rPr>
                      <w:rFonts w:hint="eastAsia"/>
                      <w:color w:val="auto"/>
                      <w:szCs w:val="20"/>
                    </w:rPr>
                    <w:t>《危险废物贮存污染控制标准》（GB18597-2023）</w:t>
                  </w:r>
                </w:p>
              </w:tc>
            </w:tr>
          </w:tbl>
          <w:p w14:paraId="1868DFA0">
            <w:pPr>
              <w:spacing w:after="0"/>
              <w:jc w:val="center"/>
              <w:rPr>
                <w:rFonts w:eastAsia="宋体"/>
                <w:b/>
                <w:color w:val="auto"/>
                <w:kern w:val="2"/>
                <w:sz w:val="21"/>
                <w:szCs w:val="21"/>
              </w:rPr>
            </w:pPr>
          </w:p>
          <w:p w14:paraId="3C764E5A">
            <w:pPr>
              <w:spacing w:after="0"/>
              <w:jc w:val="center"/>
              <w:rPr>
                <w:rFonts w:eastAsia="宋体"/>
                <w:b/>
                <w:color w:val="auto"/>
                <w:kern w:val="2"/>
                <w:sz w:val="21"/>
                <w:szCs w:val="21"/>
              </w:rPr>
            </w:pPr>
          </w:p>
          <w:p w14:paraId="21A8B7ED">
            <w:pPr>
              <w:spacing w:after="0"/>
              <w:jc w:val="center"/>
              <w:rPr>
                <w:rFonts w:eastAsia="宋体"/>
                <w:b/>
                <w:color w:val="auto"/>
                <w:kern w:val="2"/>
                <w:sz w:val="21"/>
                <w:szCs w:val="21"/>
              </w:rPr>
            </w:pPr>
          </w:p>
          <w:p w14:paraId="73D6920D">
            <w:pPr>
              <w:spacing w:after="0"/>
              <w:rPr>
                <w:rFonts w:eastAsia="宋体"/>
                <w:color w:val="auto"/>
                <w:sz w:val="21"/>
                <w:szCs w:val="21"/>
              </w:rPr>
            </w:pPr>
          </w:p>
          <w:p w14:paraId="1A0F7072">
            <w:pPr>
              <w:spacing w:after="0"/>
              <w:rPr>
                <w:rFonts w:eastAsia="宋体"/>
                <w:color w:val="auto"/>
                <w:sz w:val="21"/>
                <w:szCs w:val="21"/>
              </w:rPr>
            </w:pPr>
          </w:p>
          <w:p w14:paraId="1871D28F">
            <w:pPr>
              <w:spacing w:after="0"/>
              <w:rPr>
                <w:rFonts w:eastAsia="宋体"/>
                <w:color w:val="auto"/>
                <w:sz w:val="21"/>
                <w:szCs w:val="21"/>
              </w:rPr>
            </w:pPr>
          </w:p>
          <w:p w14:paraId="727A4190">
            <w:pPr>
              <w:spacing w:after="0"/>
              <w:rPr>
                <w:rFonts w:eastAsia="宋体"/>
                <w:color w:val="auto"/>
                <w:sz w:val="21"/>
                <w:szCs w:val="21"/>
              </w:rPr>
            </w:pPr>
          </w:p>
          <w:p w14:paraId="3A030E54">
            <w:pPr>
              <w:spacing w:after="0"/>
              <w:rPr>
                <w:rFonts w:eastAsia="宋体"/>
                <w:color w:val="auto"/>
                <w:sz w:val="21"/>
                <w:szCs w:val="21"/>
              </w:rPr>
            </w:pPr>
          </w:p>
          <w:p w14:paraId="33A80480">
            <w:pPr>
              <w:spacing w:after="0"/>
              <w:rPr>
                <w:rFonts w:eastAsia="宋体"/>
                <w:color w:val="auto"/>
                <w:sz w:val="21"/>
                <w:szCs w:val="21"/>
              </w:rPr>
            </w:pPr>
          </w:p>
          <w:p w14:paraId="713FF17A">
            <w:pPr>
              <w:spacing w:after="0"/>
              <w:rPr>
                <w:rFonts w:eastAsia="宋体"/>
                <w:color w:val="auto"/>
                <w:sz w:val="21"/>
                <w:szCs w:val="21"/>
              </w:rPr>
            </w:pPr>
          </w:p>
          <w:p w14:paraId="5E087FE2">
            <w:pPr>
              <w:spacing w:after="0"/>
              <w:rPr>
                <w:rFonts w:eastAsia="宋体"/>
                <w:color w:val="auto"/>
                <w:sz w:val="21"/>
                <w:szCs w:val="21"/>
              </w:rPr>
            </w:pPr>
          </w:p>
          <w:p w14:paraId="63087923">
            <w:pPr>
              <w:spacing w:after="0"/>
              <w:rPr>
                <w:rFonts w:eastAsia="宋体"/>
                <w:color w:val="auto"/>
                <w:sz w:val="21"/>
                <w:szCs w:val="21"/>
              </w:rPr>
            </w:pPr>
          </w:p>
          <w:p w14:paraId="5A1F7443">
            <w:pPr>
              <w:spacing w:after="0"/>
              <w:rPr>
                <w:rFonts w:eastAsia="宋体"/>
                <w:color w:val="auto"/>
                <w:sz w:val="21"/>
                <w:szCs w:val="21"/>
              </w:rPr>
            </w:pPr>
          </w:p>
          <w:p w14:paraId="43A60EB5">
            <w:pPr>
              <w:spacing w:after="0"/>
              <w:rPr>
                <w:rFonts w:eastAsia="宋体"/>
                <w:color w:val="auto"/>
                <w:sz w:val="21"/>
                <w:szCs w:val="21"/>
              </w:rPr>
            </w:pPr>
          </w:p>
          <w:p w14:paraId="3E904C1F">
            <w:pPr>
              <w:spacing w:after="0"/>
              <w:jc w:val="center"/>
              <w:rPr>
                <w:rFonts w:eastAsia="宋体"/>
                <w:b/>
                <w:color w:val="auto"/>
                <w:kern w:val="2"/>
                <w:sz w:val="21"/>
                <w:szCs w:val="21"/>
              </w:rPr>
            </w:pPr>
          </w:p>
          <w:p w14:paraId="36CBF362">
            <w:pPr>
              <w:spacing w:after="0"/>
              <w:rPr>
                <w:rFonts w:eastAsia="宋体"/>
                <w:color w:val="auto"/>
                <w:sz w:val="21"/>
                <w:szCs w:val="21"/>
              </w:rPr>
            </w:pPr>
          </w:p>
          <w:p w14:paraId="6AFCDBDD">
            <w:pPr>
              <w:spacing w:after="0"/>
              <w:rPr>
                <w:rFonts w:eastAsia="宋体"/>
                <w:color w:val="auto"/>
                <w:sz w:val="21"/>
                <w:szCs w:val="21"/>
              </w:rPr>
            </w:pPr>
          </w:p>
          <w:p w14:paraId="18DC04D2">
            <w:pPr>
              <w:spacing w:after="0"/>
              <w:rPr>
                <w:rFonts w:eastAsia="宋体"/>
                <w:color w:val="auto"/>
                <w:sz w:val="21"/>
                <w:szCs w:val="21"/>
              </w:rPr>
            </w:pPr>
          </w:p>
          <w:p w14:paraId="78646A08">
            <w:pPr>
              <w:spacing w:after="0"/>
              <w:rPr>
                <w:rFonts w:eastAsia="宋体"/>
                <w:color w:val="auto"/>
                <w:sz w:val="21"/>
                <w:szCs w:val="21"/>
              </w:rPr>
            </w:pPr>
          </w:p>
          <w:p w14:paraId="43583CCD">
            <w:pPr>
              <w:spacing w:after="0"/>
              <w:rPr>
                <w:rFonts w:eastAsia="宋体"/>
                <w:color w:val="auto"/>
                <w:sz w:val="21"/>
                <w:szCs w:val="21"/>
              </w:rPr>
            </w:pPr>
          </w:p>
          <w:p w14:paraId="0695A1C9">
            <w:pPr>
              <w:spacing w:after="0"/>
              <w:rPr>
                <w:rFonts w:eastAsia="宋体"/>
                <w:color w:val="auto"/>
                <w:sz w:val="21"/>
                <w:szCs w:val="21"/>
              </w:rPr>
            </w:pPr>
          </w:p>
          <w:p w14:paraId="12E53828">
            <w:pPr>
              <w:spacing w:after="0"/>
              <w:rPr>
                <w:rFonts w:eastAsia="宋体"/>
                <w:color w:val="auto"/>
                <w:sz w:val="21"/>
                <w:szCs w:val="21"/>
              </w:rPr>
            </w:pPr>
          </w:p>
          <w:p w14:paraId="0B9EE1B9">
            <w:pPr>
              <w:spacing w:after="0"/>
              <w:rPr>
                <w:rFonts w:eastAsia="宋体"/>
                <w:color w:val="auto"/>
                <w:sz w:val="21"/>
                <w:szCs w:val="21"/>
              </w:rPr>
            </w:pPr>
          </w:p>
          <w:p w14:paraId="235BDEFF">
            <w:pPr>
              <w:spacing w:after="0"/>
              <w:rPr>
                <w:rFonts w:eastAsia="宋体"/>
                <w:color w:val="auto"/>
                <w:sz w:val="21"/>
                <w:szCs w:val="21"/>
              </w:rPr>
            </w:pPr>
          </w:p>
          <w:p w14:paraId="432F5EC8">
            <w:pPr>
              <w:spacing w:after="0"/>
              <w:rPr>
                <w:rFonts w:eastAsia="宋体"/>
                <w:color w:val="auto"/>
                <w:sz w:val="21"/>
                <w:szCs w:val="21"/>
              </w:rPr>
            </w:pPr>
          </w:p>
          <w:p w14:paraId="5980D001">
            <w:pPr>
              <w:spacing w:after="0"/>
              <w:rPr>
                <w:rFonts w:eastAsia="宋体"/>
                <w:color w:val="auto"/>
                <w:sz w:val="21"/>
                <w:szCs w:val="21"/>
              </w:rPr>
            </w:pPr>
          </w:p>
          <w:p w14:paraId="2DE075E4">
            <w:pPr>
              <w:spacing w:after="0"/>
              <w:rPr>
                <w:rFonts w:eastAsia="宋体"/>
                <w:color w:val="auto"/>
                <w:sz w:val="21"/>
                <w:szCs w:val="21"/>
              </w:rPr>
            </w:pPr>
          </w:p>
          <w:p w14:paraId="7E930B2E">
            <w:pPr>
              <w:spacing w:after="0"/>
              <w:rPr>
                <w:rFonts w:eastAsia="宋体"/>
                <w:color w:val="auto"/>
                <w:sz w:val="21"/>
                <w:szCs w:val="21"/>
              </w:rPr>
            </w:pPr>
          </w:p>
          <w:p w14:paraId="2DE0C604">
            <w:pPr>
              <w:spacing w:after="0"/>
              <w:rPr>
                <w:rFonts w:eastAsia="宋体"/>
                <w:color w:val="auto"/>
                <w:sz w:val="21"/>
                <w:szCs w:val="21"/>
              </w:rPr>
            </w:pPr>
          </w:p>
          <w:p w14:paraId="28EB6121">
            <w:pPr>
              <w:spacing w:after="0"/>
              <w:rPr>
                <w:rFonts w:eastAsia="宋体"/>
                <w:color w:val="auto"/>
                <w:sz w:val="21"/>
                <w:szCs w:val="21"/>
              </w:rPr>
            </w:pPr>
          </w:p>
          <w:p w14:paraId="6A6AB568">
            <w:pPr>
              <w:spacing w:after="0"/>
              <w:rPr>
                <w:rFonts w:eastAsia="宋体"/>
                <w:color w:val="auto"/>
                <w:sz w:val="21"/>
                <w:szCs w:val="21"/>
              </w:rPr>
            </w:pPr>
          </w:p>
          <w:p w14:paraId="325FFDD2">
            <w:pPr>
              <w:spacing w:after="0"/>
              <w:rPr>
                <w:rFonts w:eastAsia="宋体"/>
                <w:color w:val="auto"/>
                <w:sz w:val="21"/>
                <w:szCs w:val="21"/>
              </w:rPr>
            </w:pPr>
          </w:p>
          <w:p w14:paraId="3D88DF2C">
            <w:pPr>
              <w:spacing w:after="0"/>
              <w:rPr>
                <w:rFonts w:eastAsia="宋体"/>
                <w:color w:val="auto"/>
                <w:sz w:val="21"/>
                <w:szCs w:val="21"/>
              </w:rPr>
            </w:pPr>
          </w:p>
          <w:p w14:paraId="1CAF0327">
            <w:pPr>
              <w:spacing w:after="0"/>
              <w:rPr>
                <w:rFonts w:eastAsia="宋体"/>
                <w:color w:val="auto"/>
                <w:sz w:val="21"/>
                <w:szCs w:val="21"/>
              </w:rPr>
            </w:pPr>
          </w:p>
          <w:p w14:paraId="0CAE0E9A">
            <w:pPr>
              <w:spacing w:after="0"/>
              <w:rPr>
                <w:rFonts w:eastAsia="宋体"/>
                <w:color w:val="auto"/>
                <w:sz w:val="21"/>
                <w:szCs w:val="21"/>
              </w:rPr>
            </w:pPr>
          </w:p>
        </w:tc>
      </w:tr>
    </w:tbl>
    <w:p w14:paraId="5B7E4118">
      <w:pPr>
        <w:spacing w:after="0" w:line="440" w:lineRule="exact"/>
        <w:rPr>
          <w:rFonts w:eastAsia="仿宋_GB2312"/>
          <w:b/>
          <w:color w:val="auto"/>
          <w:sz w:val="21"/>
          <w:szCs w:val="21"/>
        </w:rPr>
        <w:sectPr>
          <w:footerReference r:id="rId5" w:type="default"/>
          <w:pgSz w:w="11906" w:h="16838"/>
          <w:pgMar w:top="1417" w:right="1417" w:bottom="1417" w:left="1417" w:header="708" w:footer="708" w:gutter="0"/>
          <w:pgBorders>
            <w:top w:val="none" w:sz="0" w:space="0"/>
            <w:left w:val="none" w:sz="0" w:space="0"/>
            <w:bottom w:val="none" w:sz="0" w:space="0"/>
            <w:right w:val="none" w:sz="0" w:space="0"/>
          </w:pgBorders>
          <w:pgNumType w:start="1"/>
          <w:cols w:space="720" w:num="1"/>
          <w:docGrid w:linePitch="360" w:charSpace="0"/>
        </w:sectPr>
      </w:pPr>
    </w:p>
    <w:p w14:paraId="159429A3">
      <w:pPr>
        <w:spacing w:after="0" w:line="440" w:lineRule="exact"/>
        <w:rPr>
          <w:rFonts w:eastAsia="仿宋_GB2312"/>
          <w:color w:val="auto"/>
          <w:sz w:val="21"/>
          <w:szCs w:val="21"/>
        </w:rPr>
      </w:pPr>
      <w:r>
        <w:rPr>
          <w:rFonts w:eastAsia="仿宋_GB2312"/>
          <w:b/>
          <w:color w:val="auto"/>
          <w:sz w:val="21"/>
          <w:szCs w:val="21"/>
        </w:rPr>
        <w:t>表二</w:t>
      </w:r>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68C5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05" w:hRule="atLeast"/>
          <w:jc w:val="center"/>
        </w:trPr>
        <w:tc>
          <w:tcPr>
            <w:tcW w:w="5000" w:type="pct"/>
          </w:tcPr>
          <w:p w14:paraId="700E059D">
            <w:pPr>
              <w:keepNext w:val="0"/>
              <w:keepLines w:val="0"/>
              <w:pageBreakBefore w:val="0"/>
              <w:widowControl/>
              <w:kinsoku/>
              <w:wordWrap/>
              <w:overflowPunct/>
              <w:topLinePunct w:val="0"/>
              <w:autoSpaceDE/>
              <w:autoSpaceDN/>
              <w:bidi w:val="0"/>
              <w:adjustRightInd w:val="0"/>
              <w:snapToGrid w:val="0"/>
              <w:spacing w:after="0"/>
              <w:ind w:firstLine="482" w:firstLineChars="200"/>
              <w:textAlignment w:val="auto"/>
              <w:rPr>
                <w:rFonts w:eastAsia="宋体"/>
                <w:b/>
                <w:bCs/>
                <w:color w:val="auto"/>
                <w:sz w:val="24"/>
                <w:szCs w:val="24"/>
              </w:rPr>
            </w:pPr>
            <w:bookmarkStart w:id="7" w:name="_Toc502673683"/>
            <w:bookmarkStart w:id="8" w:name="_Toc515972376"/>
            <w:r>
              <w:rPr>
                <w:rFonts w:hint="eastAsia" w:eastAsia="宋体"/>
                <w:b/>
                <w:bCs/>
                <w:color w:val="auto"/>
                <w:sz w:val="24"/>
                <w:szCs w:val="24"/>
              </w:rPr>
              <w:t>1、地理位置</w:t>
            </w:r>
          </w:p>
          <w:bookmarkEnd w:id="7"/>
          <w:bookmarkEnd w:id="8"/>
          <w:p w14:paraId="5C523B08">
            <w:pPr>
              <w:keepNext/>
              <w:widowControl w:val="0"/>
              <w:adjustRightInd/>
              <w:snapToGrid/>
              <w:spacing w:after="0" w:line="460" w:lineRule="exact"/>
              <w:ind w:firstLine="480" w:firstLineChars="200"/>
              <w:jc w:val="both"/>
              <w:rPr>
                <w:rFonts w:hint="eastAsia" w:eastAsia="宋体"/>
                <w:color w:val="auto"/>
                <w:kern w:val="2"/>
                <w:sz w:val="24"/>
                <w:szCs w:val="20"/>
                <w:lang w:eastAsia="zh-CN"/>
              </w:rPr>
            </w:pPr>
            <w:r>
              <w:rPr>
                <w:rFonts w:hint="default" w:ascii="Times New Roman" w:hAnsi="Times New Roman" w:eastAsia="宋体" w:cs="Times New Roman"/>
                <w:color w:val="auto"/>
                <w:kern w:val="2"/>
                <w:sz w:val="24"/>
                <w:szCs w:val="20"/>
              </w:rPr>
              <w:t>本项目选址位于</w:t>
            </w:r>
            <w:r>
              <w:rPr>
                <w:rFonts w:hint="eastAsia" w:eastAsia="宋体" w:cs="Times New Roman"/>
                <w:color w:val="auto"/>
                <w:kern w:val="2"/>
                <w:sz w:val="24"/>
                <w:szCs w:val="20"/>
                <w:lang w:eastAsia="zh-CN"/>
              </w:rPr>
              <w:t>河南省新乡市长垣市南蒲小微创业园</w:t>
            </w:r>
            <w:r>
              <w:rPr>
                <w:rFonts w:hint="eastAsia" w:ascii="Times New Roman" w:hAnsi="Times New Roman" w:eastAsia="宋体" w:cs="Times New Roman"/>
                <w:color w:val="auto"/>
                <w:kern w:val="2"/>
                <w:sz w:val="24"/>
                <w:szCs w:val="20"/>
                <w:lang w:eastAsia="zh-CN"/>
              </w:rPr>
              <w:t>，</w:t>
            </w:r>
            <w:r>
              <w:rPr>
                <w:rFonts w:hint="eastAsia" w:ascii="Times New Roman" w:hAnsi="Times New Roman" w:eastAsia="宋体" w:cs="Times New Roman"/>
                <w:color w:val="auto"/>
                <w:kern w:val="2"/>
                <w:sz w:val="24"/>
                <w:szCs w:val="20"/>
                <w:lang w:val="en-US" w:eastAsia="zh-CN"/>
              </w:rPr>
              <w:t>依托现有厂房进行改建，新增1座含酸危废暂存间，配备危废暂存桶，并对厂区贮存分区进行合理布置规划，改建后全厂收集、贮存、转运危险废物总量规模不变，扩大危废收集范围。</w:t>
            </w:r>
          </w:p>
          <w:p w14:paraId="70D34807">
            <w:pPr>
              <w:keepNext/>
              <w:widowControl w:val="0"/>
              <w:adjustRightInd/>
              <w:snapToGrid/>
              <w:spacing w:after="0" w:line="460" w:lineRule="exact"/>
              <w:ind w:firstLine="480" w:firstLineChars="200"/>
              <w:jc w:val="both"/>
              <w:rPr>
                <w:rFonts w:eastAsia="宋体"/>
                <w:color w:val="auto"/>
                <w:kern w:val="2"/>
                <w:sz w:val="24"/>
                <w:szCs w:val="20"/>
              </w:rPr>
            </w:pPr>
            <w:r>
              <w:rPr>
                <w:rFonts w:hint="eastAsia" w:eastAsia="宋体"/>
                <w:color w:val="auto"/>
                <w:kern w:val="2"/>
                <w:sz w:val="24"/>
                <w:szCs w:val="20"/>
              </w:rPr>
              <w:t>项目四周环境为：本项目北侧为河南省耀澄机电设备有限公司，西侧为服装公司仓库，南侧为园区道路，隔路为电动葫芦厂，东侧为园区道路，隔路为德邦物流</w:t>
            </w:r>
            <w:r>
              <w:rPr>
                <w:rFonts w:eastAsia="宋体"/>
                <w:color w:val="auto"/>
                <w:kern w:val="2"/>
                <w:sz w:val="24"/>
                <w:szCs w:val="20"/>
              </w:rPr>
              <w:t>。根据实际勘查，项目实际建设地点以及周围环境敏感点位置与环评及批复内容一致。项目周边环境</w:t>
            </w:r>
            <w:r>
              <w:rPr>
                <w:rFonts w:hint="eastAsia" w:eastAsia="宋体"/>
                <w:color w:val="auto"/>
                <w:kern w:val="2"/>
                <w:sz w:val="24"/>
                <w:szCs w:val="20"/>
                <w:lang w:val="en-US" w:eastAsia="zh-CN"/>
              </w:rPr>
              <w:t>及环境保护目标</w:t>
            </w:r>
            <w:r>
              <w:rPr>
                <w:rFonts w:eastAsia="宋体"/>
                <w:color w:val="auto"/>
                <w:kern w:val="2"/>
                <w:sz w:val="24"/>
                <w:szCs w:val="20"/>
              </w:rPr>
              <w:t>示意图见</w:t>
            </w:r>
            <w:r>
              <w:rPr>
                <w:rFonts w:hint="eastAsia" w:ascii="Times New Roman" w:hAnsi="Times New Roman" w:eastAsia="宋体" w:cs="Times New Roman"/>
                <w:color w:val="auto"/>
                <w:kern w:val="2"/>
                <w:sz w:val="24"/>
                <w:szCs w:val="20"/>
              </w:rPr>
              <w:t>图1。</w:t>
            </w:r>
          </w:p>
          <w:p w14:paraId="090C9FDA">
            <w:pPr>
              <w:spacing w:after="0" w:line="360" w:lineRule="auto"/>
              <w:jc w:val="center"/>
              <w:rPr>
                <w:rFonts w:hAnsi="黑体" w:eastAsia="黑体"/>
                <w:color w:val="auto"/>
                <w:sz w:val="24"/>
                <w:lang w:val="pt-BR"/>
              </w:rPr>
            </w:pPr>
            <w:r>
              <w:drawing>
                <wp:inline distT="0" distB="0" distL="114300" distR="114300">
                  <wp:extent cx="3997325" cy="5761355"/>
                  <wp:effectExtent l="0" t="0" r="10795" b="3175"/>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8"/>
                          <a:stretch>
                            <a:fillRect/>
                          </a:stretch>
                        </pic:blipFill>
                        <pic:spPr>
                          <a:xfrm rot="5400000">
                            <a:off x="0" y="0"/>
                            <a:ext cx="3997325" cy="5761355"/>
                          </a:xfrm>
                          <a:prstGeom prst="rect">
                            <a:avLst/>
                          </a:prstGeom>
                          <a:noFill/>
                          <a:ln>
                            <a:noFill/>
                          </a:ln>
                        </pic:spPr>
                      </pic:pic>
                    </a:graphicData>
                  </a:graphic>
                </wp:inline>
              </w:drawing>
            </w:r>
          </w:p>
          <w:p w14:paraId="4E56BDB9">
            <w:pPr>
              <w:spacing w:after="0" w:line="360" w:lineRule="auto"/>
              <w:jc w:val="center"/>
              <w:rPr>
                <w:rFonts w:hint="eastAsia" w:hAnsi="黑体" w:eastAsia="黑体"/>
                <w:color w:val="auto"/>
                <w:sz w:val="24"/>
                <w:lang w:val="pt-BR"/>
              </w:rPr>
            </w:pPr>
            <w:r>
              <w:rPr>
                <w:rFonts w:hAnsi="黑体" w:eastAsia="黑体"/>
                <w:color w:val="auto"/>
                <w:sz w:val="24"/>
                <w:lang w:val="pt-BR"/>
              </w:rPr>
              <w:t>图</w:t>
            </w:r>
            <w:r>
              <w:rPr>
                <w:rFonts w:eastAsia="黑体"/>
                <w:color w:val="auto"/>
                <w:sz w:val="24"/>
                <w:lang w:val="pt-BR"/>
              </w:rPr>
              <w:t xml:space="preserve">1  </w:t>
            </w:r>
            <w:r>
              <w:rPr>
                <w:rFonts w:hAnsi="黑体" w:eastAsia="黑体"/>
                <w:color w:val="auto"/>
                <w:sz w:val="24"/>
                <w:lang w:val="pt-BR"/>
              </w:rPr>
              <w:t>项目周边环境</w:t>
            </w:r>
            <w:r>
              <w:rPr>
                <w:rFonts w:hint="eastAsia" w:hAnsi="黑体" w:eastAsia="黑体"/>
                <w:color w:val="auto"/>
                <w:sz w:val="24"/>
                <w:lang w:val="en-US" w:eastAsia="zh-CN"/>
              </w:rPr>
              <w:t>及</w:t>
            </w:r>
            <w:r>
              <w:rPr>
                <w:rFonts w:ascii="Times New Roman" w:hAnsi="Times New Roman" w:eastAsia="黑体"/>
                <w:color w:val="auto"/>
                <w:sz w:val="24"/>
              </w:rPr>
              <w:t>环境保护目标</w:t>
            </w:r>
            <w:r>
              <w:rPr>
                <w:rFonts w:hAnsi="黑体" w:eastAsia="黑体"/>
                <w:color w:val="auto"/>
                <w:sz w:val="24"/>
                <w:lang w:val="pt-BR"/>
              </w:rPr>
              <w:t>示意</w:t>
            </w:r>
            <w:r>
              <w:rPr>
                <w:rFonts w:hint="eastAsia" w:hAnsi="黑体" w:eastAsia="黑体"/>
                <w:color w:val="auto"/>
                <w:sz w:val="24"/>
                <w:lang w:val="pt-BR"/>
              </w:rPr>
              <w:t>图</w:t>
            </w:r>
          </w:p>
          <w:p w14:paraId="70B9433D">
            <w:pPr>
              <w:keepNext/>
              <w:widowControl w:val="0"/>
              <w:adjustRightInd/>
              <w:snapToGrid/>
              <w:spacing w:after="0" w:line="460" w:lineRule="exact"/>
              <w:ind w:firstLine="482" w:firstLineChars="200"/>
              <w:jc w:val="both"/>
              <w:rPr>
                <w:rFonts w:eastAsia="宋体"/>
                <w:b/>
                <w:bCs/>
                <w:color w:val="auto"/>
                <w:kern w:val="2"/>
                <w:sz w:val="24"/>
                <w:szCs w:val="20"/>
              </w:rPr>
            </w:pPr>
            <w:r>
              <w:rPr>
                <w:rFonts w:eastAsia="宋体"/>
                <w:b/>
                <w:bCs/>
                <w:color w:val="auto"/>
                <w:kern w:val="2"/>
                <w:sz w:val="24"/>
                <w:szCs w:val="20"/>
              </w:rPr>
              <w:t>2、</w:t>
            </w:r>
            <w:r>
              <w:rPr>
                <w:rFonts w:hint="eastAsia" w:eastAsia="宋体"/>
                <w:b/>
                <w:bCs/>
                <w:color w:val="auto"/>
                <w:kern w:val="2"/>
                <w:sz w:val="24"/>
                <w:szCs w:val="20"/>
              </w:rPr>
              <w:t>工程</w:t>
            </w:r>
            <w:r>
              <w:rPr>
                <w:rFonts w:eastAsia="宋体"/>
                <w:b/>
                <w:bCs/>
                <w:color w:val="auto"/>
                <w:kern w:val="2"/>
                <w:sz w:val="24"/>
                <w:szCs w:val="20"/>
              </w:rPr>
              <w:t>建设</w:t>
            </w:r>
            <w:r>
              <w:rPr>
                <w:rFonts w:hint="eastAsia" w:eastAsia="宋体"/>
                <w:b/>
                <w:bCs/>
                <w:color w:val="auto"/>
                <w:kern w:val="2"/>
                <w:sz w:val="24"/>
                <w:szCs w:val="20"/>
              </w:rPr>
              <w:t>内容</w:t>
            </w:r>
          </w:p>
          <w:p w14:paraId="0E555D9F">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项目基本概况一览表</w:t>
            </w:r>
          </w:p>
          <w:tbl>
            <w:tblPr>
              <w:tblStyle w:val="20"/>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08"/>
              <w:gridCol w:w="1164"/>
              <w:gridCol w:w="3169"/>
              <w:gridCol w:w="3305"/>
              <w:gridCol w:w="726"/>
            </w:tblGrid>
            <w:tr w14:paraId="71EFCD3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7BF543F2">
                  <w:pPr>
                    <w:spacing w:after="0"/>
                    <w:jc w:val="center"/>
                    <w:rPr>
                      <w:rFonts w:eastAsia="宋体"/>
                      <w:b/>
                      <w:bCs/>
                      <w:color w:val="auto"/>
                      <w:sz w:val="21"/>
                      <w:szCs w:val="21"/>
                    </w:rPr>
                  </w:pPr>
                  <w:r>
                    <w:rPr>
                      <w:rFonts w:eastAsia="宋体"/>
                      <w:b/>
                      <w:bCs/>
                      <w:color w:val="auto"/>
                      <w:sz w:val="21"/>
                      <w:szCs w:val="21"/>
                    </w:rPr>
                    <w:t>序号</w:t>
                  </w:r>
                </w:p>
              </w:tc>
              <w:tc>
                <w:tcPr>
                  <w:tcW w:w="1164" w:type="dxa"/>
                  <w:vAlign w:val="center"/>
                </w:tcPr>
                <w:p w14:paraId="0B3C9B0C">
                  <w:pPr>
                    <w:spacing w:after="0"/>
                    <w:jc w:val="center"/>
                    <w:rPr>
                      <w:rFonts w:eastAsia="宋体"/>
                      <w:b/>
                      <w:bCs/>
                      <w:color w:val="auto"/>
                      <w:sz w:val="21"/>
                      <w:szCs w:val="21"/>
                    </w:rPr>
                  </w:pPr>
                  <w:r>
                    <w:rPr>
                      <w:rFonts w:eastAsia="宋体"/>
                      <w:b/>
                      <w:bCs/>
                      <w:color w:val="auto"/>
                      <w:sz w:val="21"/>
                      <w:szCs w:val="21"/>
                    </w:rPr>
                    <w:t>项目</w:t>
                  </w:r>
                </w:p>
              </w:tc>
              <w:tc>
                <w:tcPr>
                  <w:tcW w:w="3169" w:type="dxa"/>
                  <w:tcBorders>
                    <w:right w:val="single" w:color="auto" w:sz="4" w:space="0"/>
                  </w:tcBorders>
                  <w:vAlign w:val="center"/>
                </w:tcPr>
                <w:p w14:paraId="2F14BFDA">
                  <w:pPr>
                    <w:spacing w:after="0"/>
                    <w:jc w:val="center"/>
                    <w:rPr>
                      <w:rFonts w:eastAsia="宋体"/>
                      <w:b/>
                      <w:bCs/>
                      <w:color w:val="auto"/>
                      <w:sz w:val="21"/>
                      <w:szCs w:val="21"/>
                    </w:rPr>
                  </w:pPr>
                  <w:r>
                    <w:rPr>
                      <w:rFonts w:eastAsia="宋体"/>
                      <w:b/>
                      <w:bCs/>
                      <w:color w:val="auto"/>
                      <w:sz w:val="21"/>
                      <w:szCs w:val="21"/>
                    </w:rPr>
                    <w:t>环评及批复内容</w:t>
                  </w:r>
                </w:p>
              </w:tc>
              <w:tc>
                <w:tcPr>
                  <w:tcW w:w="3305" w:type="dxa"/>
                  <w:tcBorders>
                    <w:left w:val="single" w:color="auto" w:sz="4" w:space="0"/>
                  </w:tcBorders>
                  <w:vAlign w:val="center"/>
                </w:tcPr>
                <w:p w14:paraId="4A10D347">
                  <w:pPr>
                    <w:spacing w:after="0"/>
                    <w:jc w:val="center"/>
                    <w:rPr>
                      <w:rFonts w:eastAsia="宋体"/>
                      <w:b/>
                      <w:bCs/>
                      <w:color w:val="auto"/>
                      <w:sz w:val="21"/>
                      <w:szCs w:val="21"/>
                    </w:rPr>
                  </w:pPr>
                  <w:r>
                    <w:rPr>
                      <w:rFonts w:eastAsia="宋体"/>
                      <w:b/>
                      <w:bCs/>
                      <w:color w:val="auto"/>
                      <w:sz w:val="21"/>
                      <w:szCs w:val="21"/>
                    </w:rPr>
                    <w:t>实际建设内容</w:t>
                  </w:r>
                </w:p>
              </w:tc>
              <w:tc>
                <w:tcPr>
                  <w:tcW w:w="726" w:type="dxa"/>
                  <w:vAlign w:val="center"/>
                </w:tcPr>
                <w:p w14:paraId="028636C5">
                  <w:pPr>
                    <w:spacing w:after="0"/>
                    <w:jc w:val="center"/>
                    <w:rPr>
                      <w:rFonts w:eastAsia="宋体"/>
                      <w:b/>
                      <w:bCs/>
                      <w:color w:val="auto"/>
                      <w:sz w:val="21"/>
                      <w:szCs w:val="21"/>
                    </w:rPr>
                  </w:pPr>
                  <w:r>
                    <w:rPr>
                      <w:rFonts w:eastAsia="宋体"/>
                      <w:b/>
                      <w:color w:val="auto"/>
                      <w:kern w:val="36"/>
                      <w:sz w:val="21"/>
                      <w:szCs w:val="21"/>
                    </w:rPr>
                    <w:t>备注</w:t>
                  </w:r>
                </w:p>
              </w:tc>
            </w:tr>
            <w:tr w14:paraId="1EF2EA8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17A1039D">
                  <w:pPr>
                    <w:spacing w:after="0"/>
                    <w:jc w:val="center"/>
                    <w:rPr>
                      <w:rFonts w:eastAsia="宋体"/>
                      <w:color w:val="auto"/>
                      <w:sz w:val="21"/>
                      <w:szCs w:val="21"/>
                    </w:rPr>
                  </w:pPr>
                  <w:r>
                    <w:rPr>
                      <w:rFonts w:eastAsia="宋体"/>
                      <w:color w:val="auto"/>
                      <w:sz w:val="21"/>
                      <w:szCs w:val="21"/>
                    </w:rPr>
                    <w:t>1</w:t>
                  </w:r>
                </w:p>
              </w:tc>
              <w:tc>
                <w:tcPr>
                  <w:tcW w:w="1164" w:type="dxa"/>
                  <w:vAlign w:val="center"/>
                </w:tcPr>
                <w:p w14:paraId="17146AD7">
                  <w:pPr>
                    <w:spacing w:after="0"/>
                    <w:jc w:val="center"/>
                    <w:rPr>
                      <w:rFonts w:eastAsia="宋体"/>
                      <w:color w:val="auto"/>
                      <w:sz w:val="21"/>
                      <w:szCs w:val="21"/>
                    </w:rPr>
                  </w:pPr>
                  <w:r>
                    <w:rPr>
                      <w:rFonts w:eastAsia="宋体"/>
                      <w:color w:val="auto"/>
                      <w:sz w:val="21"/>
                      <w:szCs w:val="21"/>
                    </w:rPr>
                    <w:t>项目名称</w:t>
                  </w:r>
                </w:p>
              </w:tc>
              <w:tc>
                <w:tcPr>
                  <w:tcW w:w="3169" w:type="dxa"/>
                  <w:tcBorders>
                    <w:right w:val="single" w:color="auto" w:sz="4" w:space="0"/>
                  </w:tcBorders>
                  <w:vAlign w:val="center"/>
                </w:tcPr>
                <w:p w14:paraId="0553748E">
                  <w:pPr>
                    <w:pStyle w:val="65"/>
                    <w:rPr>
                      <w:rFonts w:hint="eastAsia" w:eastAsia="宋体"/>
                      <w:color w:val="auto"/>
                      <w:sz w:val="21"/>
                      <w:szCs w:val="21"/>
                      <w:lang w:eastAsia="zh-CN"/>
                    </w:rPr>
                  </w:pPr>
                  <w:r>
                    <w:rPr>
                      <w:rFonts w:hint="eastAsia"/>
                      <w:color w:val="auto"/>
                      <w:lang w:eastAsia="zh-CN"/>
                    </w:rPr>
                    <w:t>长垣市聚博环保科技有限公司年收集、贮存9860吨危险废物项目</w:t>
                  </w:r>
                </w:p>
              </w:tc>
              <w:tc>
                <w:tcPr>
                  <w:tcW w:w="3305" w:type="dxa"/>
                  <w:tcBorders>
                    <w:left w:val="single" w:color="auto" w:sz="4" w:space="0"/>
                  </w:tcBorders>
                  <w:vAlign w:val="center"/>
                </w:tcPr>
                <w:p w14:paraId="6DAB12C5">
                  <w:pPr>
                    <w:pStyle w:val="65"/>
                    <w:rPr>
                      <w:rFonts w:hint="eastAsia" w:eastAsia="宋体"/>
                      <w:color w:val="auto"/>
                      <w:sz w:val="21"/>
                      <w:szCs w:val="21"/>
                      <w:lang w:eastAsia="zh-CN"/>
                    </w:rPr>
                  </w:pPr>
                  <w:r>
                    <w:rPr>
                      <w:rFonts w:hint="eastAsia"/>
                      <w:color w:val="auto"/>
                      <w:lang w:eastAsia="zh-CN"/>
                    </w:rPr>
                    <w:t>长垣市聚博环保科技有限公司年收集、贮存9860吨危险废物项目</w:t>
                  </w:r>
                </w:p>
              </w:tc>
              <w:tc>
                <w:tcPr>
                  <w:tcW w:w="726" w:type="dxa"/>
                  <w:vAlign w:val="center"/>
                </w:tcPr>
                <w:p w14:paraId="56FC0FB1">
                  <w:pPr>
                    <w:spacing w:after="0"/>
                    <w:jc w:val="center"/>
                    <w:rPr>
                      <w:rFonts w:hint="eastAsia" w:eastAsia="宋体"/>
                      <w:color w:val="auto"/>
                      <w:sz w:val="21"/>
                      <w:szCs w:val="21"/>
                      <w:lang w:val="en-US" w:eastAsia="zh-CN"/>
                    </w:rPr>
                  </w:pPr>
                  <w:r>
                    <w:rPr>
                      <w:rFonts w:hint="eastAsia" w:eastAsia="宋体"/>
                      <w:color w:val="auto"/>
                      <w:sz w:val="21"/>
                      <w:szCs w:val="21"/>
                      <w:lang w:val="en-US" w:eastAsia="zh-CN"/>
                    </w:rPr>
                    <w:t>一致</w:t>
                  </w:r>
                </w:p>
              </w:tc>
            </w:tr>
            <w:tr w14:paraId="601516F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681BB566">
                  <w:pPr>
                    <w:spacing w:after="0"/>
                    <w:jc w:val="center"/>
                    <w:rPr>
                      <w:rFonts w:eastAsia="宋体"/>
                      <w:color w:val="auto"/>
                      <w:sz w:val="21"/>
                      <w:szCs w:val="21"/>
                    </w:rPr>
                  </w:pPr>
                  <w:r>
                    <w:rPr>
                      <w:rFonts w:eastAsia="宋体"/>
                      <w:color w:val="auto"/>
                      <w:sz w:val="21"/>
                      <w:szCs w:val="21"/>
                    </w:rPr>
                    <w:t>2</w:t>
                  </w:r>
                </w:p>
              </w:tc>
              <w:tc>
                <w:tcPr>
                  <w:tcW w:w="1164" w:type="dxa"/>
                  <w:vAlign w:val="center"/>
                </w:tcPr>
                <w:p w14:paraId="0A0AF608">
                  <w:pPr>
                    <w:spacing w:after="0"/>
                    <w:jc w:val="center"/>
                    <w:rPr>
                      <w:rFonts w:eastAsia="宋体"/>
                      <w:color w:val="auto"/>
                      <w:sz w:val="21"/>
                      <w:szCs w:val="21"/>
                    </w:rPr>
                  </w:pPr>
                  <w:r>
                    <w:rPr>
                      <w:rFonts w:eastAsia="宋体"/>
                      <w:color w:val="auto"/>
                      <w:sz w:val="21"/>
                      <w:szCs w:val="21"/>
                    </w:rPr>
                    <w:t>建设单位</w:t>
                  </w:r>
                </w:p>
              </w:tc>
              <w:tc>
                <w:tcPr>
                  <w:tcW w:w="3169" w:type="dxa"/>
                  <w:tcBorders>
                    <w:right w:val="single" w:color="auto" w:sz="4" w:space="0"/>
                  </w:tcBorders>
                  <w:vAlign w:val="center"/>
                </w:tcPr>
                <w:p w14:paraId="618D3A91">
                  <w:pPr>
                    <w:pStyle w:val="65"/>
                    <w:rPr>
                      <w:rFonts w:hint="eastAsia" w:eastAsia="宋体"/>
                      <w:color w:val="auto"/>
                      <w:sz w:val="21"/>
                      <w:szCs w:val="21"/>
                      <w:lang w:eastAsia="zh-CN"/>
                    </w:rPr>
                  </w:pPr>
                  <w:r>
                    <w:rPr>
                      <w:rFonts w:hint="eastAsia"/>
                      <w:color w:val="auto"/>
                      <w:lang w:eastAsia="zh-CN"/>
                    </w:rPr>
                    <w:t>长垣市聚博环保科技有限公司</w:t>
                  </w:r>
                </w:p>
              </w:tc>
              <w:tc>
                <w:tcPr>
                  <w:tcW w:w="3305" w:type="dxa"/>
                  <w:tcBorders>
                    <w:left w:val="single" w:color="auto" w:sz="4" w:space="0"/>
                  </w:tcBorders>
                  <w:vAlign w:val="center"/>
                </w:tcPr>
                <w:p w14:paraId="020CA638">
                  <w:pPr>
                    <w:pStyle w:val="65"/>
                    <w:rPr>
                      <w:rFonts w:hint="eastAsia" w:eastAsia="宋体"/>
                      <w:color w:val="auto"/>
                      <w:sz w:val="21"/>
                      <w:szCs w:val="21"/>
                      <w:lang w:eastAsia="zh-CN"/>
                    </w:rPr>
                  </w:pPr>
                  <w:r>
                    <w:rPr>
                      <w:rFonts w:hint="eastAsia"/>
                      <w:color w:val="auto"/>
                      <w:lang w:eastAsia="zh-CN"/>
                    </w:rPr>
                    <w:t>长垣市聚博环保科技有限公司</w:t>
                  </w:r>
                </w:p>
              </w:tc>
              <w:tc>
                <w:tcPr>
                  <w:tcW w:w="726" w:type="dxa"/>
                  <w:vAlign w:val="center"/>
                </w:tcPr>
                <w:p w14:paraId="3A516825">
                  <w:pPr>
                    <w:spacing w:after="0"/>
                    <w:jc w:val="center"/>
                    <w:rPr>
                      <w:rFonts w:eastAsia="宋体"/>
                      <w:color w:val="auto"/>
                      <w:sz w:val="21"/>
                      <w:szCs w:val="21"/>
                    </w:rPr>
                  </w:pPr>
                  <w:r>
                    <w:rPr>
                      <w:rFonts w:eastAsia="宋体"/>
                      <w:color w:val="auto"/>
                      <w:sz w:val="21"/>
                      <w:szCs w:val="21"/>
                    </w:rPr>
                    <w:t>一致</w:t>
                  </w:r>
                </w:p>
              </w:tc>
            </w:tr>
            <w:tr w14:paraId="3591828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241E725F">
                  <w:pPr>
                    <w:spacing w:after="0"/>
                    <w:jc w:val="center"/>
                    <w:rPr>
                      <w:rFonts w:eastAsia="宋体"/>
                      <w:color w:val="auto"/>
                      <w:sz w:val="21"/>
                      <w:szCs w:val="21"/>
                    </w:rPr>
                  </w:pPr>
                  <w:r>
                    <w:rPr>
                      <w:rFonts w:eastAsia="宋体"/>
                      <w:color w:val="auto"/>
                      <w:sz w:val="21"/>
                      <w:szCs w:val="21"/>
                    </w:rPr>
                    <w:t>3</w:t>
                  </w:r>
                </w:p>
              </w:tc>
              <w:tc>
                <w:tcPr>
                  <w:tcW w:w="1164" w:type="dxa"/>
                  <w:vAlign w:val="center"/>
                </w:tcPr>
                <w:p w14:paraId="3F167749">
                  <w:pPr>
                    <w:spacing w:after="0"/>
                    <w:jc w:val="center"/>
                    <w:rPr>
                      <w:rFonts w:eastAsia="宋体"/>
                      <w:color w:val="auto"/>
                      <w:sz w:val="21"/>
                      <w:szCs w:val="21"/>
                    </w:rPr>
                  </w:pPr>
                  <w:r>
                    <w:rPr>
                      <w:rFonts w:eastAsia="宋体"/>
                      <w:color w:val="auto"/>
                      <w:sz w:val="21"/>
                      <w:szCs w:val="21"/>
                    </w:rPr>
                    <w:t>产品方案</w:t>
                  </w:r>
                </w:p>
              </w:tc>
              <w:tc>
                <w:tcPr>
                  <w:tcW w:w="3169" w:type="dxa"/>
                  <w:tcBorders>
                    <w:right w:val="single" w:color="auto" w:sz="4" w:space="0"/>
                  </w:tcBorders>
                  <w:vAlign w:val="center"/>
                </w:tcPr>
                <w:p w14:paraId="5BEAFE04">
                  <w:pPr>
                    <w:pStyle w:val="65"/>
                    <w:rPr>
                      <w:rFonts w:hint="eastAsia"/>
                      <w:color w:val="auto"/>
                      <w:lang w:eastAsia="zh-CN"/>
                    </w:rPr>
                  </w:pPr>
                  <w:r>
                    <w:rPr>
                      <w:rFonts w:hint="eastAsia"/>
                      <w:color w:val="auto"/>
                      <w:lang w:eastAsia="zh-CN"/>
                    </w:rPr>
                    <w:t>年收集、贮存9860吨危险废物</w:t>
                  </w:r>
                </w:p>
              </w:tc>
              <w:tc>
                <w:tcPr>
                  <w:tcW w:w="3305" w:type="dxa"/>
                  <w:tcBorders>
                    <w:left w:val="single" w:color="auto" w:sz="4" w:space="0"/>
                  </w:tcBorders>
                  <w:vAlign w:val="center"/>
                </w:tcPr>
                <w:p w14:paraId="611FB8C4">
                  <w:pPr>
                    <w:pStyle w:val="65"/>
                    <w:rPr>
                      <w:rFonts w:hint="eastAsia"/>
                      <w:color w:val="auto"/>
                      <w:lang w:eastAsia="zh-CN"/>
                    </w:rPr>
                  </w:pPr>
                  <w:r>
                    <w:rPr>
                      <w:rFonts w:hint="eastAsia"/>
                      <w:color w:val="auto"/>
                      <w:lang w:eastAsia="zh-CN"/>
                    </w:rPr>
                    <w:t>年收集、贮存9860吨危险废物</w:t>
                  </w:r>
                </w:p>
              </w:tc>
              <w:tc>
                <w:tcPr>
                  <w:tcW w:w="726" w:type="dxa"/>
                  <w:vAlign w:val="center"/>
                </w:tcPr>
                <w:p w14:paraId="190024D3">
                  <w:pPr>
                    <w:spacing w:after="0"/>
                    <w:jc w:val="center"/>
                    <w:rPr>
                      <w:rFonts w:hint="default" w:eastAsia="宋体"/>
                      <w:color w:val="auto"/>
                      <w:sz w:val="21"/>
                      <w:szCs w:val="21"/>
                      <w:lang w:val="en-US" w:eastAsia="zh-CN"/>
                    </w:rPr>
                  </w:pPr>
                  <w:r>
                    <w:rPr>
                      <w:rFonts w:hint="eastAsia" w:eastAsia="宋体"/>
                      <w:color w:val="auto"/>
                      <w:sz w:val="21"/>
                      <w:szCs w:val="21"/>
                      <w:lang w:val="en-US" w:eastAsia="zh-CN"/>
                    </w:rPr>
                    <w:t>一致</w:t>
                  </w:r>
                </w:p>
              </w:tc>
            </w:tr>
            <w:tr w14:paraId="1CDE4C0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2A4940A6">
                  <w:pPr>
                    <w:spacing w:after="0"/>
                    <w:jc w:val="center"/>
                    <w:rPr>
                      <w:rFonts w:eastAsia="宋体"/>
                      <w:color w:val="auto"/>
                      <w:sz w:val="21"/>
                      <w:szCs w:val="21"/>
                    </w:rPr>
                  </w:pPr>
                  <w:r>
                    <w:rPr>
                      <w:rFonts w:eastAsia="宋体"/>
                      <w:color w:val="auto"/>
                      <w:sz w:val="21"/>
                      <w:szCs w:val="21"/>
                    </w:rPr>
                    <w:t>4</w:t>
                  </w:r>
                </w:p>
              </w:tc>
              <w:tc>
                <w:tcPr>
                  <w:tcW w:w="1164" w:type="dxa"/>
                  <w:vAlign w:val="center"/>
                </w:tcPr>
                <w:p w14:paraId="5741DE58">
                  <w:pPr>
                    <w:spacing w:after="0"/>
                    <w:jc w:val="center"/>
                    <w:rPr>
                      <w:rFonts w:eastAsia="宋体"/>
                      <w:color w:val="auto"/>
                      <w:sz w:val="21"/>
                      <w:szCs w:val="21"/>
                    </w:rPr>
                  </w:pPr>
                  <w:r>
                    <w:rPr>
                      <w:rFonts w:eastAsia="宋体"/>
                      <w:color w:val="auto"/>
                      <w:sz w:val="21"/>
                      <w:szCs w:val="21"/>
                    </w:rPr>
                    <w:t>项目选址</w:t>
                  </w:r>
                </w:p>
              </w:tc>
              <w:tc>
                <w:tcPr>
                  <w:tcW w:w="3169" w:type="dxa"/>
                  <w:tcBorders>
                    <w:right w:val="single" w:color="auto" w:sz="4" w:space="0"/>
                  </w:tcBorders>
                  <w:vAlign w:val="center"/>
                </w:tcPr>
                <w:p w14:paraId="14FBBF19">
                  <w:pPr>
                    <w:pStyle w:val="65"/>
                    <w:rPr>
                      <w:rFonts w:hint="eastAsia" w:eastAsia="宋体"/>
                      <w:color w:val="auto"/>
                      <w:sz w:val="21"/>
                      <w:szCs w:val="21"/>
                      <w:lang w:eastAsia="zh-CN"/>
                    </w:rPr>
                  </w:pPr>
                  <w:r>
                    <w:rPr>
                      <w:rFonts w:hint="eastAsia"/>
                      <w:color w:val="auto"/>
                      <w:lang w:eastAsia="zh-CN"/>
                    </w:rPr>
                    <w:t>河南省新乡市长垣市南蒲小微创业园</w:t>
                  </w:r>
                </w:p>
              </w:tc>
              <w:tc>
                <w:tcPr>
                  <w:tcW w:w="3305" w:type="dxa"/>
                  <w:tcBorders>
                    <w:left w:val="single" w:color="auto" w:sz="4" w:space="0"/>
                  </w:tcBorders>
                  <w:vAlign w:val="center"/>
                </w:tcPr>
                <w:p w14:paraId="18DECF7E">
                  <w:pPr>
                    <w:pStyle w:val="65"/>
                    <w:rPr>
                      <w:rFonts w:hint="eastAsia" w:eastAsia="宋体"/>
                      <w:color w:val="auto"/>
                      <w:sz w:val="21"/>
                      <w:szCs w:val="21"/>
                      <w:lang w:eastAsia="zh-CN"/>
                    </w:rPr>
                  </w:pPr>
                  <w:r>
                    <w:rPr>
                      <w:rFonts w:hint="eastAsia"/>
                      <w:color w:val="auto"/>
                      <w:lang w:eastAsia="zh-CN"/>
                    </w:rPr>
                    <w:t>河南省新乡市长垣市南蒲小微创业园</w:t>
                  </w:r>
                </w:p>
              </w:tc>
              <w:tc>
                <w:tcPr>
                  <w:tcW w:w="726" w:type="dxa"/>
                  <w:vAlign w:val="center"/>
                </w:tcPr>
                <w:p w14:paraId="36CACB19">
                  <w:pPr>
                    <w:spacing w:after="0"/>
                    <w:jc w:val="center"/>
                    <w:rPr>
                      <w:rFonts w:eastAsia="宋体"/>
                      <w:color w:val="auto"/>
                      <w:sz w:val="21"/>
                      <w:szCs w:val="21"/>
                    </w:rPr>
                  </w:pPr>
                  <w:r>
                    <w:rPr>
                      <w:rFonts w:eastAsia="宋体"/>
                      <w:color w:val="auto"/>
                      <w:sz w:val="21"/>
                      <w:szCs w:val="21"/>
                    </w:rPr>
                    <w:t>一致</w:t>
                  </w:r>
                </w:p>
              </w:tc>
            </w:tr>
            <w:tr w14:paraId="70B205BB">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1716BEF9">
                  <w:pPr>
                    <w:spacing w:after="0"/>
                    <w:jc w:val="center"/>
                    <w:rPr>
                      <w:rFonts w:eastAsia="宋体"/>
                      <w:color w:val="auto"/>
                      <w:sz w:val="21"/>
                      <w:szCs w:val="21"/>
                    </w:rPr>
                  </w:pPr>
                  <w:r>
                    <w:rPr>
                      <w:rFonts w:eastAsia="宋体"/>
                      <w:color w:val="auto"/>
                      <w:sz w:val="21"/>
                      <w:szCs w:val="21"/>
                    </w:rPr>
                    <w:t>5</w:t>
                  </w:r>
                </w:p>
              </w:tc>
              <w:tc>
                <w:tcPr>
                  <w:tcW w:w="1164" w:type="dxa"/>
                  <w:vAlign w:val="center"/>
                </w:tcPr>
                <w:p w14:paraId="5EA90C8E">
                  <w:pPr>
                    <w:spacing w:after="0"/>
                    <w:jc w:val="center"/>
                    <w:rPr>
                      <w:rFonts w:eastAsia="宋体"/>
                      <w:color w:val="auto"/>
                      <w:sz w:val="21"/>
                      <w:szCs w:val="21"/>
                    </w:rPr>
                  </w:pPr>
                  <w:r>
                    <w:rPr>
                      <w:rFonts w:eastAsia="宋体"/>
                      <w:color w:val="auto"/>
                      <w:sz w:val="21"/>
                      <w:szCs w:val="21"/>
                    </w:rPr>
                    <w:t>占地面积</w:t>
                  </w:r>
                </w:p>
              </w:tc>
              <w:tc>
                <w:tcPr>
                  <w:tcW w:w="3169" w:type="dxa"/>
                  <w:tcBorders>
                    <w:right w:val="single" w:color="auto" w:sz="4" w:space="0"/>
                  </w:tcBorders>
                  <w:vAlign w:val="center"/>
                </w:tcPr>
                <w:p w14:paraId="165382F9">
                  <w:pPr>
                    <w:pStyle w:val="65"/>
                    <w:rPr>
                      <w:rFonts w:eastAsia="宋体"/>
                      <w:color w:val="auto"/>
                      <w:sz w:val="21"/>
                      <w:szCs w:val="21"/>
                    </w:rPr>
                  </w:pPr>
                  <w:r>
                    <w:rPr>
                      <w:rFonts w:hint="eastAsia"/>
                      <w:color w:val="auto"/>
                      <w:lang w:val="en-US" w:eastAsia="zh-CN"/>
                    </w:rPr>
                    <w:t>600</w:t>
                  </w:r>
                  <w:r>
                    <w:rPr>
                      <w:rFonts w:hint="eastAsia"/>
                      <w:color w:val="auto"/>
                    </w:rPr>
                    <w:t>m</w:t>
                  </w:r>
                  <w:r>
                    <w:rPr>
                      <w:rFonts w:hint="eastAsia"/>
                      <w:color w:val="auto"/>
                      <w:vertAlign w:val="superscript"/>
                    </w:rPr>
                    <w:t>2</w:t>
                  </w:r>
                </w:p>
              </w:tc>
              <w:tc>
                <w:tcPr>
                  <w:tcW w:w="3305" w:type="dxa"/>
                  <w:tcBorders>
                    <w:left w:val="single" w:color="auto" w:sz="4" w:space="0"/>
                  </w:tcBorders>
                  <w:vAlign w:val="center"/>
                </w:tcPr>
                <w:p w14:paraId="1CD446B4">
                  <w:pPr>
                    <w:pStyle w:val="65"/>
                    <w:rPr>
                      <w:rFonts w:eastAsia="宋体"/>
                      <w:color w:val="auto"/>
                      <w:sz w:val="21"/>
                      <w:szCs w:val="21"/>
                    </w:rPr>
                  </w:pPr>
                  <w:r>
                    <w:rPr>
                      <w:rFonts w:hint="eastAsia"/>
                      <w:color w:val="auto"/>
                      <w:lang w:val="en-US" w:eastAsia="zh-CN"/>
                    </w:rPr>
                    <w:t>600</w:t>
                  </w:r>
                  <w:r>
                    <w:rPr>
                      <w:rFonts w:hint="eastAsia"/>
                      <w:color w:val="auto"/>
                    </w:rPr>
                    <w:t>m</w:t>
                  </w:r>
                  <w:r>
                    <w:rPr>
                      <w:rFonts w:hint="eastAsia"/>
                      <w:color w:val="auto"/>
                      <w:vertAlign w:val="superscript"/>
                    </w:rPr>
                    <w:t>2</w:t>
                  </w:r>
                </w:p>
              </w:tc>
              <w:tc>
                <w:tcPr>
                  <w:tcW w:w="726" w:type="dxa"/>
                  <w:vAlign w:val="center"/>
                </w:tcPr>
                <w:p w14:paraId="16A91C5E">
                  <w:pPr>
                    <w:spacing w:after="0"/>
                    <w:jc w:val="center"/>
                    <w:rPr>
                      <w:rFonts w:eastAsia="宋体"/>
                      <w:color w:val="auto"/>
                      <w:sz w:val="21"/>
                      <w:szCs w:val="21"/>
                    </w:rPr>
                  </w:pPr>
                  <w:r>
                    <w:rPr>
                      <w:rFonts w:eastAsia="宋体"/>
                      <w:color w:val="auto"/>
                      <w:sz w:val="21"/>
                      <w:szCs w:val="21"/>
                    </w:rPr>
                    <w:t>一致</w:t>
                  </w:r>
                </w:p>
              </w:tc>
            </w:tr>
            <w:tr w14:paraId="49408DA6">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7892D0FD">
                  <w:pPr>
                    <w:spacing w:after="0"/>
                    <w:jc w:val="center"/>
                    <w:rPr>
                      <w:rFonts w:eastAsia="宋体"/>
                      <w:color w:val="auto"/>
                      <w:sz w:val="21"/>
                      <w:szCs w:val="21"/>
                    </w:rPr>
                  </w:pPr>
                  <w:r>
                    <w:rPr>
                      <w:rFonts w:eastAsia="宋体"/>
                      <w:color w:val="auto"/>
                      <w:sz w:val="21"/>
                      <w:szCs w:val="21"/>
                    </w:rPr>
                    <w:t>6</w:t>
                  </w:r>
                </w:p>
              </w:tc>
              <w:tc>
                <w:tcPr>
                  <w:tcW w:w="1164" w:type="dxa"/>
                  <w:vAlign w:val="center"/>
                </w:tcPr>
                <w:p w14:paraId="33687611">
                  <w:pPr>
                    <w:spacing w:after="0"/>
                    <w:jc w:val="center"/>
                    <w:rPr>
                      <w:rFonts w:eastAsia="宋体"/>
                      <w:color w:val="auto"/>
                      <w:sz w:val="21"/>
                      <w:szCs w:val="21"/>
                    </w:rPr>
                  </w:pPr>
                  <w:r>
                    <w:rPr>
                      <w:rFonts w:eastAsia="宋体"/>
                      <w:color w:val="auto"/>
                      <w:sz w:val="21"/>
                      <w:szCs w:val="21"/>
                    </w:rPr>
                    <w:t>职工人数</w:t>
                  </w:r>
                </w:p>
              </w:tc>
              <w:tc>
                <w:tcPr>
                  <w:tcW w:w="3169" w:type="dxa"/>
                  <w:tcBorders>
                    <w:right w:val="single" w:color="auto" w:sz="4" w:space="0"/>
                  </w:tcBorders>
                  <w:vAlign w:val="center"/>
                </w:tcPr>
                <w:p w14:paraId="49864344">
                  <w:pPr>
                    <w:pStyle w:val="65"/>
                    <w:rPr>
                      <w:rFonts w:hint="default"/>
                      <w:color w:val="auto"/>
                      <w:lang w:val="en-US" w:eastAsia="zh-CN"/>
                    </w:rPr>
                  </w:pPr>
                  <w:r>
                    <w:rPr>
                      <w:rFonts w:hint="eastAsia"/>
                      <w:color w:val="auto"/>
                      <w:lang w:val="en-US" w:eastAsia="zh-CN"/>
                    </w:rPr>
                    <w:t>不新增员工，所需员工从现有项目调剂</w:t>
                  </w:r>
                </w:p>
              </w:tc>
              <w:tc>
                <w:tcPr>
                  <w:tcW w:w="3305" w:type="dxa"/>
                  <w:tcBorders>
                    <w:left w:val="single" w:color="auto" w:sz="4" w:space="0"/>
                  </w:tcBorders>
                  <w:vAlign w:val="center"/>
                </w:tcPr>
                <w:p w14:paraId="3ECF606B">
                  <w:pPr>
                    <w:pStyle w:val="65"/>
                    <w:rPr>
                      <w:rFonts w:hint="eastAsia"/>
                      <w:color w:val="auto"/>
                      <w:lang w:val="en-US" w:eastAsia="zh-CN"/>
                    </w:rPr>
                  </w:pPr>
                  <w:r>
                    <w:rPr>
                      <w:rFonts w:hint="eastAsia"/>
                      <w:color w:val="auto"/>
                      <w:lang w:val="en-US" w:eastAsia="zh-CN"/>
                    </w:rPr>
                    <w:t>不新增员工，所需员工从现有项目调剂</w:t>
                  </w:r>
                </w:p>
              </w:tc>
              <w:tc>
                <w:tcPr>
                  <w:tcW w:w="726" w:type="dxa"/>
                  <w:vAlign w:val="center"/>
                </w:tcPr>
                <w:p w14:paraId="34B2C51C">
                  <w:pPr>
                    <w:spacing w:after="0"/>
                    <w:jc w:val="center"/>
                    <w:rPr>
                      <w:rFonts w:eastAsia="宋体"/>
                      <w:color w:val="auto"/>
                      <w:sz w:val="21"/>
                      <w:szCs w:val="21"/>
                    </w:rPr>
                  </w:pPr>
                  <w:r>
                    <w:rPr>
                      <w:rFonts w:eastAsia="宋体"/>
                      <w:color w:val="auto"/>
                      <w:sz w:val="21"/>
                      <w:szCs w:val="21"/>
                    </w:rPr>
                    <w:t>一致</w:t>
                  </w:r>
                </w:p>
              </w:tc>
            </w:tr>
            <w:tr w14:paraId="27EC57C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vAlign w:val="center"/>
                </w:tcPr>
                <w:p w14:paraId="4C870846">
                  <w:pPr>
                    <w:spacing w:after="0"/>
                    <w:jc w:val="center"/>
                    <w:rPr>
                      <w:rFonts w:eastAsia="宋体"/>
                      <w:color w:val="auto"/>
                      <w:sz w:val="21"/>
                      <w:szCs w:val="21"/>
                    </w:rPr>
                  </w:pPr>
                  <w:r>
                    <w:rPr>
                      <w:rFonts w:eastAsia="宋体"/>
                      <w:color w:val="auto"/>
                      <w:sz w:val="21"/>
                      <w:szCs w:val="21"/>
                    </w:rPr>
                    <w:t>7</w:t>
                  </w:r>
                </w:p>
              </w:tc>
              <w:tc>
                <w:tcPr>
                  <w:tcW w:w="1164" w:type="dxa"/>
                  <w:vAlign w:val="center"/>
                </w:tcPr>
                <w:p w14:paraId="73553FA4">
                  <w:pPr>
                    <w:pStyle w:val="65"/>
                    <w:rPr>
                      <w:rFonts w:hint="eastAsia"/>
                      <w:color w:val="auto"/>
                    </w:rPr>
                  </w:pPr>
                  <w:r>
                    <w:rPr>
                      <w:rFonts w:hint="eastAsia"/>
                      <w:color w:val="auto"/>
                    </w:rPr>
                    <w:t>劳动制度</w:t>
                  </w:r>
                </w:p>
              </w:tc>
              <w:tc>
                <w:tcPr>
                  <w:tcW w:w="3169" w:type="dxa"/>
                  <w:tcBorders>
                    <w:right w:val="single" w:color="auto" w:sz="4" w:space="0"/>
                  </w:tcBorders>
                  <w:vAlign w:val="center"/>
                </w:tcPr>
                <w:p w14:paraId="28776B18">
                  <w:pPr>
                    <w:pStyle w:val="65"/>
                    <w:rPr>
                      <w:rFonts w:hint="eastAsia"/>
                      <w:color w:val="auto"/>
                      <w:lang w:val="en-US" w:eastAsia="zh-CN"/>
                    </w:rPr>
                  </w:pPr>
                  <w:r>
                    <w:rPr>
                      <w:rFonts w:hint="eastAsia"/>
                      <w:color w:val="auto"/>
                      <w:lang w:val="en-US" w:eastAsia="zh-CN"/>
                    </w:rPr>
                    <w:t>年工作365天，三班制（24小时）</w:t>
                  </w:r>
                </w:p>
              </w:tc>
              <w:tc>
                <w:tcPr>
                  <w:tcW w:w="3305" w:type="dxa"/>
                  <w:tcBorders>
                    <w:left w:val="single" w:color="auto" w:sz="4" w:space="0"/>
                  </w:tcBorders>
                  <w:vAlign w:val="center"/>
                </w:tcPr>
                <w:p w14:paraId="08543C95">
                  <w:pPr>
                    <w:pStyle w:val="65"/>
                    <w:rPr>
                      <w:rFonts w:hint="eastAsia"/>
                      <w:color w:val="auto"/>
                      <w:lang w:val="en-US" w:eastAsia="zh-CN"/>
                    </w:rPr>
                  </w:pPr>
                  <w:r>
                    <w:rPr>
                      <w:rFonts w:hint="eastAsia"/>
                      <w:color w:val="auto"/>
                      <w:lang w:val="en-US" w:eastAsia="zh-CN"/>
                    </w:rPr>
                    <w:t>年工作365天，三班制（24小时）</w:t>
                  </w:r>
                </w:p>
              </w:tc>
              <w:tc>
                <w:tcPr>
                  <w:tcW w:w="726" w:type="dxa"/>
                  <w:vAlign w:val="center"/>
                </w:tcPr>
                <w:p w14:paraId="22A4D0D6">
                  <w:pPr>
                    <w:spacing w:after="0"/>
                    <w:jc w:val="center"/>
                    <w:rPr>
                      <w:rFonts w:eastAsia="宋体"/>
                      <w:color w:val="auto"/>
                      <w:sz w:val="21"/>
                      <w:szCs w:val="21"/>
                    </w:rPr>
                  </w:pPr>
                  <w:r>
                    <w:rPr>
                      <w:rFonts w:eastAsia="宋体"/>
                      <w:color w:val="auto"/>
                      <w:sz w:val="21"/>
                      <w:szCs w:val="21"/>
                    </w:rPr>
                    <w:t>一致</w:t>
                  </w:r>
                </w:p>
              </w:tc>
            </w:tr>
            <w:tr w14:paraId="328B33C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8" w:type="dxa"/>
                  <w:tcBorders>
                    <w:bottom w:val="single" w:color="auto" w:sz="8" w:space="0"/>
                  </w:tcBorders>
                  <w:vAlign w:val="center"/>
                </w:tcPr>
                <w:p w14:paraId="30EFD29F">
                  <w:pPr>
                    <w:spacing w:after="0"/>
                    <w:jc w:val="center"/>
                    <w:rPr>
                      <w:rFonts w:eastAsia="宋体"/>
                      <w:color w:val="auto"/>
                      <w:sz w:val="21"/>
                      <w:szCs w:val="21"/>
                    </w:rPr>
                  </w:pPr>
                  <w:r>
                    <w:rPr>
                      <w:rFonts w:eastAsia="宋体"/>
                      <w:color w:val="auto"/>
                      <w:sz w:val="21"/>
                      <w:szCs w:val="21"/>
                    </w:rPr>
                    <w:t>8</w:t>
                  </w:r>
                </w:p>
              </w:tc>
              <w:tc>
                <w:tcPr>
                  <w:tcW w:w="1164" w:type="dxa"/>
                  <w:tcBorders>
                    <w:bottom w:val="single" w:color="auto" w:sz="8" w:space="0"/>
                  </w:tcBorders>
                  <w:vAlign w:val="center"/>
                </w:tcPr>
                <w:p w14:paraId="7B6FDE1F">
                  <w:pPr>
                    <w:spacing w:after="0"/>
                    <w:jc w:val="center"/>
                    <w:rPr>
                      <w:rFonts w:eastAsia="宋体"/>
                      <w:color w:val="auto"/>
                      <w:sz w:val="21"/>
                      <w:szCs w:val="21"/>
                    </w:rPr>
                  </w:pPr>
                  <w:r>
                    <w:rPr>
                      <w:rFonts w:eastAsia="宋体"/>
                      <w:color w:val="auto"/>
                      <w:sz w:val="21"/>
                      <w:szCs w:val="21"/>
                    </w:rPr>
                    <w:t>项目投资</w:t>
                  </w:r>
                </w:p>
              </w:tc>
              <w:tc>
                <w:tcPr>
                  <w:tcW w:w="3169" w:type="dxa"/>
                  <w:tcBorders>
                    <w:bottom w:val="single" w:color="auto" w:sz="8" w:space="0"/>
                    <w:right w:val="single" w:color="auto" w:sz="4" w:space="0"/>
                  </w:tcBorders>
                  <w:vAlign w:val="center"/>
                </w:tcPr>
                <w:p w14:paraId="0DA94C97">
                  <w:pPr>
                    <w:pStyle w:val="65"/>
                    <w:rPr>
                      <w:rFonts w:hint="eastAsia"/>
                      <w:color w:val="auto"/>
                      <w:lang w:val="en-US" w:eastAsia="zh-CN"/>
                    </w:rPr>
                  </w:pPr>
                  <w:r>
                    <w:rPr>
                      <w:rFonts w:hint="eastAsia"/>
                      <w:color w:val="auto"/>
                      <w:lang w:val="en-US" w:eastAsia="zh-CN"/>
                    </w:rPr>
                    <w:t>100万元</w:t>
                  </w:r>
                </w:p>
              </w:tc>
              <w:tc>
                <w:tcPr>
                  <w:tcW w:w="3305" w:type="dxa"/>
                  <w:tcBorders>
                    <w:left w:val="single" w:color="auto" w:sz="4" w:space="0"/>
                    <w:bottom w:val="single" w:color="auto" w:sz="8" w:space="0"/>
                  </w:tcBorders>
                  <w:vAlign w:val="center"/>
                </w:tcPr>
                <w:p w14:paraId="32EC041D">
                  <w:pPr>
                    <w:pStyle w:val="65"/>
                    <w:rPr>
                      <w:rFonts w:hint="eastAsia"/>
                      <w:color w:val="auto"/>
                      <w:lang w:val="en-US" w:eastAsia="zh-CN"/>
                    </w:rPr>
                  </w:pPr>
                  <w:r>
                    <w:rPr>
                      <w:rFonts w:hint="eastAsia"/>
                      <w:color w:val="auto"/>
                      <w:lang w:val="en-US" w:eastAsia="zh-CN"/>
                    </w:rPr>
                    <w:t>100万元</w:t>
                  </w:r>
                </w:p>
              </w:tc>
              <w:tc>
                <w:tcPr>
                  <w:tcW w:w="726" w:type="dxa"/>
                  <w:tcBorders>
                    <w:bottom w:val="single" w:color="auto" w:sz="8" w:space="0"/>
                  </w:tcBorders>
                  <w:vAlign w:val="center"/>
                </w:tcPr>
                <w:p w14:paraId="23669C69">
                  <w:pPr>
                    <w:spacing w:after="0"/>
                    <w:jc w:val="center"/>
                    <w:rPr>
                      <w:rFonts w:hint="eastAsia" w:eastAsia="宋体"/>
                      <w:color w:val="auto"/>
                      <w:sz w:val="21"/>
                      <w:szCs w:val="21"/>
                      <w:lang w:val="en-US" w:eastAsia="zh-CN"/>
                    </w:rPr>
                  </w:pPr>
                  <w:r>
                    <w:rPr>
                      <w:rFonts w:hint="eastAsia" w:eastAsia="宋体"/>
                      <w:color w:val="auto"/>
                      <w:sz w:val="21"/>
                      <w:szCs w:val="21"/>
                      <w:lang w:val="en-US" w:eastAsia="zh-CN"/>
                    </w:rPr>
                    <w:t>一致</w:t>
                  </w:r>
                </w:p>
              </w:tc>
            </w:tr>
          </w:tbl>
          <w:p w14:paraId="23A3D082">
            <w:pPr>
              <w:spacing w:after="0" w:line="520" w:lineRule="exact"/>
              <w:ind w:firstLine="482" w:firstLineChars="200"/>
              <w:rPr>
                <w:rFonts w:eastAsia="宋体"/>
                <w:b/>
                <w:bCs/>
                <w:color w:val="auto"/>
                <w:kern w:val="2"/>
                <w:sz w:val="24"/>
                <w:szCs w:val="20"/>
              </w:rPr>
            </w:pPr>
            <w:r>
              <w:rPr>
                <w:rFonts w:eastAsia="宋体"/>
                <w:b/>
                <w:bCs/>
                <w:color w:val="auto"/>
                <w:kern w:val="2"/>
                <w:sz w:val="24"/>
                <w:szCs w:val="20"/>
              </w:rPr>
              <w:t>3、项目主要组成</w:t>
            </w:r>
          </w:p>
          <w:p w14:paraId="5E82DEFF">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项目组成一览表</w:t>
            </w:r>
          </w:p>
          <w:tbl>
            <w:tblPr>
              <w:tblStyle w:val="20"/>
              <w:tblW w:w="4997" w:type="pct"/>
              <w:jc w:val="center"/>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325"/>
              <w:gridCol w:w="575"/>
              <w:gridCol w:w="886"/>
              <w:gridCol w:w="646"/>
              <w:gridCol w:w="766"/>
              <w:gridCol w:w="1503"/>
              <w:gridCol w:w="642"/>
              <w:gridCol w:w="978"/>
              <w:gridCol w:w="2053"/>
              <w:gridCol w:w="693"/>
            </w:tblGrid>
            <w:tr w14:paraId="0EF7F81F">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tcBorders>
                    <w:tl2br w:val="nil"/>
                    <w:tr2bl w:val="nil"/>
                  </w:tcBorders>
                  <w:vAlign w:val="center"/>
                </w:tcPr>
                <w:p w14:paraId="3BE6FBCF">
                  <w:pPr>
                    <w:pStyle w:val="65"/>
                    <w:rPr>
                      <w:b/>
                      <w:color w:val="auto"/>
                      <w:szCs w:val="20"/>
                      <w:lang w:val="pt-BR"/>
                    </w:rPr>
                  </w:pPr>
                  <w:r>
                    <w:rPr>
                      <w:b/>
                      <w:color w:val="auto"/>
                      <w:szCs w:val="20"/>
                      <w:lang w:val="pt-BR"/>
                    </w:rPr>
                    <w:t>序号</w:t>
                  </w:r>
                </w:p>
              </w:tc>
              <w:tc>
                <w:tcPr>
                  <w:tcW w:w="317" w:type="pct"/>
                  <w:tcBorders>
                    <w:tl2br w:val="nil"/>
                    <w:tr2bl w:val="nil"/>
                  </w:tcBorders>
                  <w:vAlign w:val="center"/>
                </w:tcPr>
                <w:p w14:paraId="27570BCB">
                  <w:pPr>
                    <w:pStyle w:val="65"/>
                    <w:rPr>
                      <w:b/>
                      <w:color w:val="auto"/>
                      <w:szCs w:val="20"/>
                      <w:lang w:val="pt-BR"/>
                    </w:rPr>
                  </w:pPr>
                  <w:r>
                    <w:rPr>
                      <w:b/>
                      <w:color w:val="auto"/>
                      <w:szCs w:val="20"/>
                      <w:lang w:val="pt-BR"/>
                    </w:rPr>
                    <w:t>项目</w:t>
                  </w:r>
                </w:p>
              </w:tc>
              <w:tc>
                <w:tcPr>
                  <w:tcW w:w="488" w:type="pct"/>
                  <w:tcBorders>
                    <w:tl2br w:val="nil"/>
                    <w:tr2bl w:val="nil"/>
                  </w:tcBorders>
                  <w:vAlign w:val="center"/>
                </w:tcPr>
                <w:p w14:paraId="516C2B2F">
                  <w:pPr>
                    <w:pStyle w:val="65"/>
                    <w:rPr>
                      <w:b/>
                      <w:color w:val="auto"/>
                      <w:szCs w:val="20"/>
                      <w:lang w:val="pt-BR"/>
                    </w:rPr>
                  </w:pPr>
                  <w:r>
                    <w:rPr>
                      <w:b/>
                      <w:color w:val="auto"/>
                      <w:szCs w:val="20"/>
                      <w:lang w:val="pt-BR"/>
                    </w:rPr>
                    <w:t>内容</w:t>
                  </w:r>
                </w:p>
              </w:tc>
              <w:tc>
                <w:tcPr>
                  <w:tcW w:w="1606" w:type="pct"/>
                  <w:gridSpan w:val="3"/>
                  <w:tcBorders>
                    <w:tl2br w:val="nil"/>
                    <w:tr2bl w:val="nil"/>
                  </w:tcBorders>
                  <w:vAlign w:val="center"/>
                </w:tcPr>
                <w:p w14:paraId="3DC18C02">
                  <w:pPr>
                    <w:pStyle w:val="65"/>
                    <w:rPr>
                      <w:rFonts w:hint="default" w:eastAsia="宋体"/>
                      <w:b/>
                      <w:color w:val="auto"/>
                      <w:szCs w:val="20"/>
                      <w:lang w:val="en-US" w:eastAsia="zh-CN"/>
                    </w:rPr>
                  </w:pPr>
                  <w:r>
                    <w:rPr>
                      <w:rFonts w:hint="eastAsia"/>
                      <w:b/>
                      <w:color w:val="auto"/>
                      <w:szCs w:val="20"/>
                      <w:lang w:val="en-US" w:eastAsia="zh-CN"/>
                    </w:rPr>
                    <w:t>环评及批复内容</w:t>
                  </w:r>
                </w:p>
              </w:tc>
              <w:tc>
                <w:tcPr>
                  <w:tcW w:w="2024" w:type="pct"/>
                  <w:gridSpan w:val="3"/>
                  <w:tcBorders>
                    <w:tl2br w:val="nil"/>
                    <w:tr2bl w:val="nil"/>
                  </w:tcBorders>
                  <w:vAlign w:val="center"/>
                </w:tcPr>
                <w:p w14:paraId="4524EBB6">
                  <w:pPr>
                    <w:pStyle w:val="65"/>
                    <w:rPr>
                      <w:rFonts w:hint="default" w:eastAsia="宋体"/>
                      <w:b/>
                      <w:color w:val="auto"/>
                      <w:szCs w:val="20"/>
                      <w:lang w:val="en-US" w:eastAsia="zh-CN"/>
                    </w:rPr>
                  </w:pPr>
                  <w:r>
                    <w:rPr>
                      <w:rFonts w:hint="eastAsia"/>
                      <w:b/>
                      <w:color w:val="auto"/>
                      <w:szCs w:val="20"/>
                      <w:lang w:val="en-US" w:eastAsia="zh-CN"/>
                    </w:rPr>
                    <w:t>实际建设内容</w:t>
                  </w:r>
                </w:p>
              </w:tc>
              <w:tc>
                <w:tcPr>
                  <w:tcW w:w="382" w:type="pct"/>
                  <w:tcBorders>
                    <w:tl2br w:val="nil"/>
                    <w:tr2bl w:val="nil"/>
                  </w:tcBorders>
                  <w:vAlign w:val="center"/>
                </w:tcPr>
                <w:p w14:paraId="3200F6D5">
                  <w:pPr>
                    <w:pStyle w:val="65"/>
                    <w:rPr>
                      <w:b/>
                      <w:color w:val="auto"/>
                      <w:szCs w:val="20"/>
                      <w:lang w:val="pt-BR"/>
                    </w:rPr>
                  </w:pPr>
                  <w:r>
                    <w:rPr>
                      <w:b/>
                      <w:color w:val="auto"/>
                      <w:szCs w:val="20"/>
                      <w:lang w:val="pt-BR"/>
                    </w:rPr>
                    <w:t>备注</w:t>
                  </w:r>
                </w:p>
              </w:tc>
            </w:tr>
            <w:tr w14:paraId="7706CA5C">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tcBorders>
                    <w:tl2br w:val="nil"/>
                    <w:tr2bl w:val="nil"/>
                  </w:tcBorders>
                  <w:vAlign w:val="center"/>
                </w:tcPr>
                <w:p w14:paraId="50137512">
                  <w:pPr>
                    <w:pStyle w:val="66"/>
                    <w:rPr>
                      <w:color w:val="auto"/>
                      <w:lang w:val="pt-BR"/>
                    </w:rPr>
                  </w:pPr>
                </w:p>
              </w:tc>
              <w:tc>
                <w:tcPr>
                  <w:tcW w:w="317" w:type="pct"/>
                  <w:vMerge w:val="restart"/>
                  <w:tcBorders>
                    <w:tl2br w:val="nil"/>
                    <w:tr2bl w:val="nil"/>
                  </w:tcBorders>
                  <w:vAlign w:val="center"/>
                </w:tcPr>
                <w:p w14:paraId="157F0297">
                  <w:pPr>
                    <w:pStyle w:val="65"/>
                    <w:rPr>
                      <w:color w:val="auto"/>
                      <w:szCs w:val="20"/>
                      <w:lang w:val="pt-BR"/>
                    </w:rPr>
                  </w:pPr>
                  <w:r>
                    <w:rPr>
                      <w:color w:val="auto"/>
                      <w:szCs w:val="20"/>
                      <w:lang w:val="pt-BR"/>
                    </w:rPr>
                    <w:t>主体工程</w:t>
                  </w:r>
                </w:p>
              </w:tc>
              <w:tc>
                <w:tcPr>
                  <w:tcW w:w="488" w:type="pct"/>
                  <w:tcBorders>
                    <w:tl2br w:val="nil"/>
                    <w:tr2bl w:val="nil"/>
                  </w:tcBorders>
                  <w:vAlign w:val="center"/>
                </w:tcPr>
                <w:p w14:paraId="44932688">
                  <w:pPr>
                    <w:pStyle w:val="65"/>
                    <w:rPr>
                      <w:color w:val="auto"/>
                      <w:szCs w:val="20"/>
                    </w:rPr>
                  </w:pPr>
                  <w:r>
                    <w:rPr>
                      <w:rFonts w:hint="eastAsia"/>
                      <w:color w:val="auto"/>
                      <w:szCs w:val="20"/>
                    </w:rPr>
                    <w:t>危废暂存间</w:t>
                  </w:r>
                </w:p>
              </w:tc>
              <w:tc>
                <w:tcPr>
                  <w:tcW w:w="1606" w:type="pct"/>
                  <w:gridSpan w:val="3"/>
                  <w:tcBorders>
                    <w:tl2br w:val="nil"/>
                    <w:tr2bl w:val="nil"/>
                  </w:tcBorders>
                  <w:vAlign w:val="center"/>
                </w:tcPr>
                <w:p w14:paraId="5C3A1AC7">
                  <w:pPr>
                    <w:pStyle w:val="65"/>
                    <w:rPr>
                      <w:color w:val="auto"/>
                      <w:szCs w:val="20"/>
                    </w:rPr>
                  </w:pPr>
                  <w:r>
                    <w:rPr>
                      <w:rFonts w:hint="eastAsia"/>
                      <w:color w:val="auto"/>
                      <w:szCs w:val="20"/>
                      <w:lang w:val="pt-BR"/>
                    </w:rPr>
                    <w:t>1间，位于主厂房内，</w:t>
                  </w:r>
                  <w:r>
                    <w:rPr>
                      <w:color w:val="auto"/>
                      <w:szCs w:val="20"/>
                      <w:lang w:val="pt-BR"/>
                    </w:rPr>
                    <w:t>建筑面积为</w:t>
                  </w:r>
                  <w:r>
                    <w:rPr>
                      <w:rFonts w:hint="eastAsia"/>
                      <w:color w:val="auto"/>
                      <w:szCs w:val="20"/>
                    </w:rPr>
                    <w:t>180</w:t>
                  </w:r>
                  <w:r>
                    <w:rPr>
                      <w:rFonts w:hint="eastAsia"/>
                      <w:color w:val="auto"/>
                      <w:szCs w:val="20"/>
                      <w:lang w:val="pt-BR"/>
                    </w:rPr>
                    <w:t>m</w:t>
                  </w:r>
                  <w:r>
                    <w:rPr>
                      <w:rFonts w:hint="eastAsia"/>
                      <w:color w:val="auto"/>
                      <w:szCs w:val="20"/>
                      <w:vertAlign w:val="superscript"/>
                      <w:lang w:val="pt-BR"/>
                    </w:rPr>
                    <w:t>2</w:t>
                  </w:r>
                </w:p>
              </w:tc>
              <w:tc>
                <w:tcPr>
                  <w:tcW w:w="2024" w:type="pct"/>
                  <w:gridSpan w:val="3"/>
                  <w:tcBorders>
                    <w:tl2br w:val="nil"/>
                    <w:tr2bl w:val="nil"/>
                  </w:tcBorders>
                  <w:shd w:val="clear" w:color="auto" w:fill="auto"/>
                  <w:vAlign w:val="center"/>
                </w:tcPr>
                <w:p w14:paraId="3C22294C">
                  <w:pPr>
                    <w:pStyle w:val="65"/>
                    <w:rPr>
                      <w:rFonts w:ascii="Times New Roman" w:hAnsi="Times New Roman" w:eastAsia="宋体" w:cs="Times New Roman"/>
                      <w:bCs/>
                      <w:color w:val="auto"/>
                      <w:sz w:val="21"/>
                      <w:szCs w:val="20"/>
                      <w:lang w:val="en-US" w:eastAsia="zh-CN" w:bidi="ar-SA"/>
                    </w:rPr>
                  </w:pPr>
                  <w:r>
                    <w:rPr>
                      <w:rFonts w:hint="eastAsia"/>
                      <w:color w:val="auto"/>
                      <w:szCs w:val="20"/>
                      <w:lang w:val="pt-BR"/>
                    </w:rPr>
                    <w:t>1间，位于主厂房内，</w:t>
                  </w:r>
                  <w:r>
                    <w:rPr>
                      <w:color w:val="auto"/>
                      <w:szCs w:val="20"/>
                      <w:lang w:val="pt-BR"/>
                    </w:rPr>
                    <w:t>建筑面积为</w:t>
                  </w:r>
                  <w:r>
                    <w:rPr>
                      <w:rFonts w:hint="eastAsia"/>
                      <w:color w:val="auto"/>
                      <w:szCs w:val="20"/>
                    </w:rPr>
                    <w:t>180</w:t>
                  </w:r>
                  <w:r>
                    <w:rPr>
                      <w:rFonts w:hint="eastAsia"/>
                      <w:color w:val="auto"/>
                      <w:szCs w:val="20"/>
                      <w:lang w:val="pt-BR"/>
                    </w:rPr>
                    <w:t>m</w:t>
                  </w:r>
                  <w:r>
                    <w:rPr>
                      <w:rFonts w:hint="eastAsia"/>
                      <w:color w:val="auto"/>
                      <w:szCs w:val="20"/>
                      <w:vertAlign w:val="superscript"/>
                      <w:lang w:val="pt-BR"/>
                    </w:rPr>
                    <w:t>2</w:t>
                  </w:r>
                </w:p>
              </w:tc>
              <w:tc>
                <w:tcPr>
                  <w:tcW w:w="382" w:type="pct"/>
                  <w:tcBorders>
                    <w:tl2br w:val="nil"/>
                    <w:tr2bl w:val="nil"/>
                  </w:tcBorders>
                  <w:vAlign w:val="center"/>
                </w:tcPr>
                <w:p w14:paraId="59C766EB">
                  <w:pPr>
                    <w:pStyle w:val="65"/>
                    <w:rPr>
                      <w:rFonts w:hint="eastAsia" w:eastAsia="宋体"/>
                      <w:color w:val="auto"/>
                      <w:szCs w:val="20"/>
                      <w:lang w:val="en-US" w:eastAsia="zh-CN"/>
                    </w:rPr>
                  </w:pPr>
                  <w:r>
                    <w:rPr>
                      <w:rFonts w:hint="eastAsia"/>
                      <w:color w:val="auto"/>
                      <w:szCs w:val="20"/>
                      <w:lang w:val="en-US" w:eastAsia="zh-CN"/>
                    </w:rPr>
                    <w:t>一致</w:t>
                  </w:r>
                </w:p>
              </w:tc>
            </w:tr>
            <w:tr w14:paraId="06B08011">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tcBorders>
                    <w:tl2br w:val="nil"/>
                    <w:tr2bl w:val="nil"/>
                  </w:tcBorders>
                  <w:vAlign w:val="center"/>
                </w:tcPr>
                <w:p w14:paraId="764FA73B">
                  <w:pPr>
                    <w:pStyle w:val="66"/>
                    <w:rPr>
                      <w:color w:val="auto"/>
                      <w:lang w:val="pt-BR"/>
                    </w:rPr>
                  </w:pPr>
                </w:p>
              </w:tc>
              <w:tc>
                <w:tcPr>
                  <w:tcW w:w="317" w:type="pct"/>
                  <w:vMerge w:val="continue"/>
                  <w:tcBorders>
                    <w:tl2br w:val="nil"/>
                    <w:tr2bl w:val="nil"/>
                  </w:tcBorders>
                  <w:vAlign w:val="center"/>
                </w:tcPr>
                <w:p w14:paraId="68CF724D">
                  <w:pPr>
                    <w:pStyle w:val="65"/>
                    <w:rPr>
                      <w:color w:val="auto"/>
                      <w:szCs w:val="20"/>
                      <w:lang w:val="pt-BR"/>
                    </w:rPr>
                  </w:pPr>
                </w:p>
              </w:tc>
              <w:tc>
                <w:tcPr>
                  <w:tcW w:w="488" w:type="pct"/>
                  <w:tcBorders>
                    <w:tl2br w:val="nil"/>
                    <w:tr2bl w:val="nil"/>
                  </w:tcBorders>
                  <w:vAlign w:val="center"/>
                </w:tcPr>
                <w:p w14:paraId="7960D527">
                  <w:pPr>
                    <w:pStyle w:val="65"/>
                    <w:rPr>
                      <w:color w:val="auto"/>
                      <w:szCs w:val="20"/>
                    </w:rPr>
                  </w:pPr>
                  <w:r>
                    <w:rPr>
                      <w:rFonts w:hint="eastAsia"/>
                      <w:color w:val="auto"/>
                      <w:szCs w:val="20"/>
                    </w:rPr>
                    <w:t>储罐区</w:t>
                  </w:r>
                </w:p>
              </w:tc>
              <w:tc>
                <w:tcPr>
                  <w:tcW w:w="1606" w:type="pct"/>
                  <w:gridSpan w:val="3"/>
                  <w:tcBorders>
                    <w:tl2br w:val="nil"/>
                    <w:tr2bl w:val="nil"/>
                  </w:tcBorders>
                  <w:vAlign w:val="center"/>
                </w:tcPr>
                <w:p w14:paraId="12DE2990">
                  <w:pPr>
                    <w:pStyle w:val="65"/>
                    <w:rPr>
                      <w:color w:val="auto"/>
                      <w:szCs w:val="20"/>
                      <w:lang w:val="pt-BR"/>
                    </w:rPr>
                  </w:pPr>
                  <w:r>
                    <w:rPr>
                      <w:color w:val="auto"/>
                      <w:szCs w:val="20"/>
                      <w:lang w:val="pt-BR"/>
                    </w:rPr>
                    <w:t>位于</w:t>
                  </w:r>
                  <w:r>
                    <w:rPr>
                      <w:rFonts w:hint="eastAsia"/>
                      <w:color w:val="auto"/>
                      <w:szCs w:val="20"/>
                      <w:lang w:val="pt-BR"/>
                    </w:rPr>
                    <w:t>主厂房内，</w:t>
                  </w:r>
                  <w:r>
                    <w:rPr>
                      <w:color w:val="auto"/>
                      <w:szCs w:val="20"/>
                      <w:lang w:val="pt-BR"/>
                    </w:rPr>
                    <w:t>建筑面积为</w:t>
                  </w:r>
                  <w:r>
                    <w:rPr>
                      <w:rFonts w:hint="eastAsia"/>
                      <w:color w:val="auto"/>
                      <w:szCs w:val="20"/>
                    </w:rPr>
                    <w:t>110</w:t>
                  </w:r>
                  <w:r>
                    <w:rPr>
                      <w:rFonts w:hint="eastAsia"/>
                      <w:color w:val="auto"/>
                      <w:szCs w:val="20"/>
                      <w:lang w:val="pt-BR"/>
                    </w:rPr>
                    <w:t>m</w:t>
                  </w:r>
                  <w:r>
                    <w:rPr>
                      <w:rFonts w:hint="eastAsia"/>
                      <w:color w:val="auto"/>
                      <w:szCs w:val="20"/>
                      <w:vertAlign w:val="superscript"/>
                      <w:lang w:val="pt-BR"/>
                    </w:rPr>
                    <w:t>2</w:t>
                  </w:r>
                </w:p>
              </w:tc>
              <w:tc>
                <w:tcPr>
                  <w:tcW w:w="2024" w:type="pct"/>
                  <w:gridSpan w:val="3"/>
                  <w:tcBorders>
                    <w:tl2br w:val="nil"/>
                    <w:tr2bl w:val="nil"/>
                  </w:tcBorders>
                  <w:shd w:val="clear" w:color="auto" w:fill="auto"/>
                  <w:vAlign w:val="center"/>
                </w:tcPr>
                <w:p w14:paraId="6FED3E78">
                  <w:pPr>
                    <w:pStyle w:val="65"/>
                    <w:rPr>
                      <w:rFonts w:ascii="Times New Roman" w:hAnsi="Times New Roman" w:eastAsia="宋体" w:cs="Times New Roman"/>
                      <w:bCs/>
                      <w:color w:val="auto"/>
                      <w:sz w:val="21"/>
                      <w:szCs w:val="20"/>
                      <w:lang w:val="pt-BR" w:eastAsia="zh-CN" w:bidi="ar-SA"/>
                    </w:rPr>
                  </w:pPr>
                  <w:r>
                    <w:rPr>
                      <w:color w:val="auto"/>
                      <w:szCs w:val="20"/>
                      <w:lang w:val="pt-BR"/>
                    </w:rPr>
                    <w:t>位于</w:t>
                  </w:r>
                  <w:r>
                    <w:rPr>
                      <w:rFonts w:hint="eastAsia"/>
                      <w:color w:val="auto"/>
                      <w:szCs w:val="20"/>
                      <w:lang w:val="pt-BR"/>
                    </w:rPr>
                    <w:t>主厂房内，</w:t>
                  </w:r>
                  <w:r>
                    <w:rPr>
                      <w:color w:val="auto"/>
                      <w:szCs w:val="20"/>
                      <w:lang w:val="pt-BR"/>
                    </w:rPr>
                    <w:t>建筑面积为</w:t>
                  </w:r>
                  <w:r>
                    <w:rPr>
                      <w:rFonts w:hint="eastAsia"/>
                      <w:color w:val="auto"/>
                      <w:szCs w:val="20"/>
                    </w:rPr>
                    <w:t>110</w:t>
                  </w:r>
                  <w:r>
                    <w:rPr>
                      <w:rFonts w:hint="eastAsia"/>
                      <w:color w:val="auto"/>
                      <w:szCs w:val="20"/>
                      <w:lang w:val="pt-BR"/>
                    </w:rPr>
                    <w:t>m</w:t>
                  </w:r>
                  <w:r>
                    <w:rPr>
                      <w:rFonts w:hint="eastAsia"/>
                      <w:color w:val="auto"/>
                      <w:szCs w:val="20"/>
                      <w:vertAlign w:val="superscript"/>
                      <w:lang w:val="pt-BR"/>
                    </w:rPr>
                    <w:t>2</w:t>
                  </w:r>
                </w:p>
              </w:tc>
              <w:tc>
                <w:tcPr>
                  <w:tcW w:w="382" w:type="pct"/>
                  <w:tcBorders>
                    <w:tl2br w:val="nil"/>
                    <w:tr2bl w:val="nil"/>
                  </w:tcBorders>
                  <w:vAlign w:val="center"/>
                </w:tcPr>
                <w:p w14:paraId="075AC566">
                  <w:pPr>
                    <w:pStyle w:val="65"/>
                    <w:rPr>
                      <w:rFonts w:hint="eastAsia"/>
                      <w:color w:val="auto"/>
                      <w:szCs w:val="20"/>
                    </w:rPr>
                  </w:pPr>
                  <w:r>
                    <w:rPr>
                      <w:rFonts w:hint="eastAsia"/>
                      <w:color w:val="auto"/>
                      <w:szCs w:val="20"/>
                      <w:lang w:val="en-US" w:eastAsia="zh-CN"/>
                    </w:rPr>
                    <w:t>一致</w:t>
                  </w:r>
                </w:p>
              </w:tc>
            </w:tr>
            <w:tr w14:paraId="00626A3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tcBorders>
                    <w:tl2br w:val="nil"/>
                    <w:tr2bl w:val="nil"/>
                  </w:tcBorders>
                  <w:vAlign w:val="center"/>
                </w:tcPr>
                <w:p w14:paraId="18B92804">
                  <w:pPr>
                    <w:pStyle w:val="66"/>
                    <w:rPr>
                      <w:color w:val="auto"/>
                      <w:lang w:val="pt-BR"/>
                    </w:rPr>
                  </w:pPr>
                </w:p>
              </w:tc>
              <w:tc>
                <w:tcPr>
                  <w:tcW w:w="317" w:type="pct"/>
                  <w:vMerge w:val="continue"/>
                  <w:tcBorders>
                    <w:tl2br w:val="nil"/>
                    <w:tr2bl w:val="nil"/>
                  </w:tcBorders>
                  <w:vAlign w:val="center"/>
                </w:tcPr>
                <w:p w14:paraId="1240EA23">
                  <w:pPr>
                    <w:pStyle w:val="65"/>
                    <w:rPr>
                      <w:color w:val="auto"/>
                      <w:szCs w:val="20"/>
                      <w:lang w:val="pt-BR"/>
                    </w:rPr>
                  </w:pPr>
                </w:p>
              </w:tc>
              <w:tc>
                <w:tcPr>
                  <w:tcW w:w="488" w:type="pct"/>
                  <w:tcBorders>
                    <w:tl2br w:val="nil"/>
                    <w:tr2bl w:val="nil"/>
                  </w:tcBorders>
                  <w:vAlign w:val="center"/>
                </w:tcPr>
                <w:p w14:paraId="5F62FB88">
                  <w:pPr>
                    <w:pStyle w:val="65"/>
                    <w:rPr>
                      <w:color w:val="auto"/>
                      <w:szCs w:val="20"/>
                    </w:rPr>
                  </w:pPr>
                  <w:r>
                    <w:rPr>
                      <w:rFonts w:hint="eastAsia"/>
                      <w:color w:val="auto"/>
                      <w:szCs w:val="20"/>
                    </w:rPr>
                    <w:t>其他危险废物暂存区</w:t>
                  </w:r>
                </w:p>
              </w:tc>
              <w:tc>
                <w:tcPr>
                  <w:tcW w:w="1606" w:type="pct"/>
                  <w:gridSpan w:val="3"/>
                  <w:tcBorders>
                    <w:tl2br w:val="nil"/>
                    <w:tr2bl w:val="nil"/>
                  </w:tcBorders>
                  <w:vAlign w:val="center"/>
                </w:tcPr>
                <w:p w14:paraId="735880CC">
                  <w:pPr>
                    <w:pStyle w:val="65"/>
                    <w:rPr>
                      <w:color w:val="auto"/>
                      <w:szCs w:val="20"/>
                      <w:lang w:val="pt-BR"/>
                    </w:rPr>
                  </w:pPr>
                  <w:r>
                    <w:rPr>
                      <w:color w:val="auto"/>
                      <w:szCs w:val="20"/>
                      <w:lang w:val="pt-BR"/>
                    </w:rPr>
                    <w:t>位于</w:t>
                  </w:r>
                  <w:r>
                    <w:rPr>
                      <w:rFonts w:hint="eastAsia"/>
                      <w:color w:val="auto"/>
                      <w:szCs w:val="20"/>
                      <w:lang w:val="pt-BR"/>
                    </w:rPr>
                    <w:t>主厂房内，</w:t>
                  </w:r>
                  <w:r>
                    <w:rPr>
                      <w:color w:val="auto"/>
                      <w:szCs w:val="20"/>
                      <w:lang w:val="pt-BR"/>
                    </w:rPr>
                    <w:t>建筑面积为</w:t>
                  </w:r>
                  <w:r>
                    <w:rPr>
                      <w:rFonts w:hint="eastAsia"/>
                      <w:color w:val="auto"/>
                      <w:szCs w:val="20"/>
                    </w:rPr>
                    <w:t>108</w:t>
                  </w:r>
                  <w:r>
                    <w:rPr>
                      <w:rFonts w:hint="eastAsia"/>
                      <w:color w:val="auto"/>
                      <w:szCs w:val="20"/>
                      <w:lang w:val="pt-BR"/>
                    </w:rPr>
                    <w:t>m</w:t>
                  </w:r>
                  <w:r>
                    <w:rPr>
                      <w:rFonts w:hint="eastAsia"/>
                      <w:color w:val="auto"/>
                      <w:szCs w:val="20"/>
                      <w:vertAlign w:val="superscript"/>
                      <w:lang w:val="pt-BR"/>
                    </w:rPr>
                    <w:t>2</w:t>
                  </w:r>
                </w:p>
              </w:tc>
              <w:tc>
                <w:tcPr>
                  <w:tcW w:w="2024" w:type="pct"/>
                  <w:gridSpan w:val="3"/>
                  <w:tcBorders>
                    <w:tl2br w:val="nil"/>
                    <w:tr2bl w:val="nil"/>
                  </w:tcBorders>
                  <w:shd w:val="clear" w:color="auto" w:fill="auto"/>
                  <w:vAlign w:val="center"/>
                </w:tcPr>
                <w:p w14:paraId="2551FDA2">
                  <w:pPr>
                    <w:pStyle w:val="65"/>
                    <w:rPr>
                      <w:rFonts w:ascii="Times New Roman" w:hAnsi="Times New Roman" w:eastAsia="宋体" w:cs="Times New Roman"/>
                      <w:bCs/>
                      <w:color w:val="auto"/>
                      <w:sz w:val="21"/>
                      <w:szCs w:val="20"/>
                      <w:lang w:val="pt-BR" w:eastAsia="zh-CN" w:bidi="ar-SA"/>
                    </w:rPr>
                  </w:pPr>
                  <w:r>
                    <w:rPr>
                      <w:color w:val="auto"/>
                      <w:szCs w:val="20"/>
                      <w:lang w:val="pt-BR"/>
                    </w:rPr>
                    <w:t>位于</w:t>
                  </w:r>
                  <w:r>
                    <w:rPr>
                      <w:rFonts w:hint="eastAsia"/>
                      <w:color w:val="auto"/>
                      <w:szCs w:val="20"/>
                      <w:lang w:val="pt-BR"/>
                    </w:rPr>
                    <w:t>主厂房内，</w:t>
                  </w:r>
                  <w:r>
                    <w:rPr>
                      <w:color w:val="auto"/>
                      <w:szCs w:val="20"/>
                      <w:lang w:val="pt-BR"/>
                    </w:rPr>
                    <w:t>建筑面积为</w:t>
                  </w:r>
                  <w:r>
                    <w:rPr>
                      <w:rFonts w:hint="eastAsia"/>
                      <w:color w:val="auto"/>
                      <w:szCs w:val="20"/>
                    </w:rPr>
                    <w:t>108</w:t>
                  </w:r>
                  <w:r>
                    <w:rPr>
                      <w:rFonts w:hint="eastAsia"/>
                      <w:color w:val="auto"/>
                      <w:szCs w:val="20"/>
                      <w:lang w:val="pt-BR"/>
                    </w:rPr>
                    <w:t>m</w:t>
                  </w:r>
                  <w:r>
                    <w:rPr>
                      <w:rFonts w:hint="eastAsia"/>
                      <w:color w:val="auto"/>
                      <w:szCs w:val="20"/>
                      <w:vertAlign w:val="superscript"/>
                      <w:lang w:val="pt-BR"/>
                    </w:rPr>
                    <w:t>2</w:t>
                  </w:r>
                </w:p>
              </w:tc>
              <w:tc>
                <w:tcPr>
                  <w:tcW w:w="382" w:type="pct"/>
                  <w:tcBorders>
                    <w:tl2br w:val="nil"/>
                    <w:tr2bl w:val="nil"/>
                  </w:tcBorders>
                  <w:vAlign w:val="center"/>
                </w:tcPr>
                <w:p w14:paraId="789FABF0">
                  <w:pPr>
                    <w:pStyle w:val="65"/>
                    <w:rPr>
                      <w:rFonts w:hint="eastAsia"/>
                      <w:color w:val="auto"/>
                      <w:szCs w:val="20"/>
                    </w:rPr>
                  </w:pPr>
                  <w:r>
                    <w:rPr>
                      <w:rFonts w:hint="eastAsia"/>
                      <w:color w:val="auto"/>
                      <w:szCs w:val="20"/>
                      <w:lang w:val="en-US" w:eastAsia="zh-CN"/>
                    </w:rPr>
                    <w:t>一致</w:t>
                  </w:r>
                </w:p>
              </w:tc>
            </w:tr>
            <w:tr w14:paraId="413B3C35">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tcBorders>
                    <w:tl2br w:val="nil"/>
                    <w:tr2bl w:val="nil"/>
                  </w:tcBorders>
                  <w:vAlign w:val="center"/>
                </w:tcPr>
                <w:p w14:paraId="4217F703">
                  <w:pPr>
                    <w:pStyle w:val="66"/>
                    <w:rPr>
                      <w:color w:val="auto"/>
                      <w:lang w:val="pt-BR"/>
                    </w:rPr>
                  </w:pPr>
                </w:p>
              </w:tc>
              <w:tc>
                <w:tcPr>
                  <w:tcW w:w="317" w:type="pct"/>
                  <w:vMerge w:val="continue"/>
                  <w:tcBorders>
                    <w:tl2br w:val="nil"/>
                    <w:tr2bl w:val="nil"/>
                  </w:tcBorders>
                  <w:vAlign w:val="center"/>
                </w:tcPr>
                <w:p w14:paraId="2C6BFAF8">
                  <w:pPr>
                    <w:pStyle w:val="65"/>
                    <w:rPr>
                      <w:color w:val="auto"/>
                      <w:szCs w:val="20"/>
                      <w:lang w:val="pt-BR"/>
                    </w:rPr>
                  </w:pPr>
                </w:p>
              </w:tc>
              <w:tc>
                <w:tcPr>
                  <w:tcW w:w="488" w:type="pct"/>
                  <w:tcBorders>
                    <w:tl2br w:val="nil"/>
                    <w:tr2bl w:val="nil"/>
                  </w:tcBorders>
                  <w:vAlign w:val="center"/>
                </w:tcPr>
                <w:p w14:paraId="4587BD82">
                  <w:pPr>
                    <w:pStyle w:val="65"/>
                    <w:rPr>
                      <w:color w:val="auto"/>
                      <w:szCs w:val="20"/>
                    </w:rPr>
                  </w:pPr>
                  <w:r>
                    <w:rPr>
                      <w:rFonts w:hint="eastAsia"/>
                      <w:color w:val="auto"/>
                      <w:szCs w:val="20"/>
                    </w:rPr>
                    <w:t>含酸危废暂存间</w:t>
                  </w:r>
                </w:p>
              </w:tc>
              <w:tc>
                <w:tcPr>
                  <w:tcW w:w="1606" w:type="pct"/>
                  <w:gridSpan w:val="3"/>
                  <w:tcBorders>
                    <w:tl2br w:val="nil"/>
                    <w:tr2bl w:val="nil"/>
                  </w:tcBorders>
                  <w:vAlign w:val="center"/>
                </w:tcPr>
                <w:p w14:paraId="037DEDA9">
                  <w:pPr>
                    <w:pStyle w:val="65"/>
                    <w:rPr>
                      <w:color w:val="auto"/>
                      <w:szCs w:val="20"/>
                      <w:lang w:val="pt-BR"/>
                    </w:rPr>
                  </w:pPr>
                  <w:r>
                    <w:rPr>
                      <w:color w:val="auto"/>
                      <w:szCs w:val="20"/>
                      <w:lang w:val="pt-BR"/>
                    </w:rPr>
                    <w:t>位于</w:t>
                  </w:r>
                  <w:r>
                    <w:rPr>
                      <w:rFonts w:hint="eastAsia"/>
                      <w:color w:val="auto"/>
                      <w:szCs w:val="20"/>
                      <w:lang w:val="pt-BR"/>
                    </w:rPr>
                    <w:t>主厂房内，</w:t>
                  </w:r>
                  <w:r>
                    <w:rPr>
                      <w:color w:val="auto"/>
                      <w:szCs w:val="20"/>
                      <w:lang w:val="pt-BR"/>
                    </w:rPr>
                    <w:t>建筑面积为</w:t>
                  </w:r>
                  <w:r>
                    <w:rPr>
                      <w:rFonts w:hint="eastAsia"/>
                      <w:color w:val="auto"/>
                      <w:szCs w:val="20"/>
                    </w:rPr>
                    <w:t>72</w:t>
                  </w:r>
                  <w:r>
                    <w:rPr>
                      <w:rFonts w:hint="eastAsia"/>
                      <w:color w:val="auto"/>
                      <w:szCs w:val="20"/>
                      <w:lang w:val="pt-BR"/>
                    </w:rPr>
                    <w:t>m</w:t>
                  </w:r>
                  <w:r>
                    <w:rPr>
                      <w:rFonts w:hint="eastAsia"/>
                      <w:color w:val="auto"/>
                      <w:szCs w:val="20"/>
                      <w:vertAlign w:val="superscript"/>
                      <w:lang w:val="pt-BR"/>
                    </w:rPr>
                    <w:t>2</w:t>
                  </w:r>
                  <w:r>
                    <w:rPr>
                      <w:rFonts w:hint="eastAsia"/>
                      <w:color w:val="auto"/>
                      <w:szCs w:val="20"/>
                      <w:lang w:val="pt-BR"/>
                    </w:rPr>
                    <w:t>；</w:t>
                  </w:r>
                </w:p>
              </w:tc>
              <w:tc>
                <w:tcPr>
                  <w:tcW w:w="2024" w:type="pct"/>
                  <w:gridSpan w:val="3"/>
                  <w:tcBorders>
                    <w:tl2br w:val="nil"/>
                    <w:tr2bl w:val="nil"/>
                  </w:tcBorders>
                  <w:shd w:val="clear" w:color="auto" w:fill="auto"/>
                  <w:vAlign w:val="center"/>
                </w:tcPr>
                <w:p w14:paraId="1113202C">
                  <w:pPr>
                    <w:pStyle w:val="65"/>
                    <w:rPr>
                      <w:rFonts w:ascii="Times New Roman" w:hAnsi="Times New Roman" w:eastAsia="宋体" w:cs="Times New Roman"/>
                      <w:bCs/>
                      <w:color w:val="auto"/>
                      <w:sz w:val="21"/>
                      <w:szCs w:val="20"/>
                      <w:lang w:val="pt-BR" w:eastAsia="zh-CN" w:bidi="ar-SA"/>
                    </w:rPr>
                  </w:pPr>
                  <w:r>
                    <w:rPr>
                      <w:color w:val="auto"/>
                      <w:szCs w:val="20"/>
                      <w:lang w:val="pt-BR"/>
                    </w:rPr>
                    <w:t>位于</w:t>
                  </w:r>
                  <w:r>
                    <w:rPr>
                      <w:rFonts w:hint="eastAsia"/>
                      <w:color w:val="auto"/>
                      <w:szCs w:val="20"/>
                      <w:lang w:val="pt-BR"/>
                    </w:rPr>
                    <w:t>主厂房内，</w:t>
                  </w:r>
                  <w:r>
                    <w:rPr>
                      <w:color w:val="auto"/>
                      <w:szCs w:val="20"/>
                      <w:lang w:val="pt-BR"/>
                    </w:rPr>
                    <w:t>建筑面积为</w:t>
                  </w:r>
                  <w:r>
                    <w:rPr>
                      <w:rFonts w:hint="eastAsia"/>
                      <w:color w:val="auto"/>
                      <w:szCs w:val="20"/>
                    </w:rPr>
                    <w:t>72</w:t>
                  </w:r>
                  <w:r>
                    <w:rPr>
                      <w:rFonts w:hint="eastAsia"/>
                      <w:color w:val="auto"/>
                      <w:szCs w:val="20"/>
                      <w:lang w:val="pt-BR"/>
                    </w:rPr>
                    <w:t>m</w:t>
                  </w:r>
                  <w:r>
                    <w:rPr>
                      <w:rFonts w:hint="eastAsia"/>
                      <w:color w:val="auto"/>
                      <w:szCs w:val="20"/>
                      <w:vertAlign w:val="superscript"/>
                      <w:lang w:val="pt-BR"/>
                    </w:rPr>
                    <w:t>2</w:t>
                  </w:r>
                  <w:r>
                    <w:rPr>
                      <w:rFonts w:hint="eastAsia"/>
                      <w:color w:val="auto"/>
                      <w:szCs w:val="20"/>
                      <w:lang w:val="pt-BR"/>
                    </w:rPr>
                    <w:t>；</w:t>
                  </w:r>
                </w:p>
              </w:tc>
              <w:tc>
                <w:tcPr>
                  <w:tcW w:w="382" w:type="pct"/>
                  <w:tcBorders>
                    <w:tl2br w:val="nil"/>
                    <w:tr2bl w:val="nil"/>
                  </w:tcBorders>
                  <w:vAlign w:val="center"/>
                </w:tcPr>
                <w:p w14:paraId="03BF66C6">
                  <w:pPr>
                    <w:pStyle w:val="65"/>
                    <w:rPr>
                      <w:rFonts w:hint="eastAsia"/>
                      <w:color w:val="auto"/>
                      <w:szCs w:val="20"/>
                    </w:rPr>
                  </w:pPr>
                  <w:r>
                    <w:rPr>
                      <w:rFonts w:hint="eastAsia"/>
                      <w:color w:val="auto"/>
                      <w:szCs w:val="20"/>
                      <w:lang w:val="en-US" w:eastAsia="zh-CN"/>
                    </w:rPr>
                    <w:t>一致</w:t>
                  </w:r>
                </w:p>
              </w:tc>
            </w:tr>
            <w:tr w14:paraId="67A5E524">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tcBorders>
                    <w:tl2br w:val="nil"/>
                    <w:tr2bl w:val="nil"/>
                  </w:tcBorders>
                  <w:vAlign w:val="center"/>
                </w:tcPr>
                <w:p w14:paraId="3523CFCB">
                  <w:pPr>
                    <w:pStyle w:val="66"/>
                    <w:rPr>
                      <w:color w:val="auto"/>
                      <w:lang w:val="pt-BR"/>
                    </w:rPr>
                  </w:pPr>
                </w:p>
              </w:tc>
              <w:tc>
                <w:tcPr>
                  <w:tcW w:w="317" w:type="pct"/>
                  <w:vMerge w:val="restart"/>
                  <w:tcBorders>
                    <w:tl2br w:val="nil"/>
                    <w:tr2bl w:val="nil"/>
                  </w:tcBorders>
                  <w:vAlign w:val="center"/>
                </w:tcPr>
                <w:p w14:paraId="39E77C42">
                  <w:pPr>
                    <w:pStyle w:val="65"/>
                    <w:rPr>
                      <w:color w:val="auto"/>
                      <w:szCs w:val="20"/>
                    </w:rPr>
                  </w:pPr>
                  <w:r>
                    <w:rPr>
                      <w:rFonts w:hint="eastAsia"/>
                      <w:color w:val="auto"/>
                      <w:szCs w:val="20"/>
                    </w:rPr>
                    <w:t>辅助工程</w:t>
                  </w:r>
                </w:p>
              </w:tc>
              <w:tc>
                <w:tcPr>
                  <w:tcW w:w="488" w:type="pct"/>
                  <w:tcBorders>
                    <w:tl2br w:val="nil"/>
                    <w:tr2bl w:val="nil"/>
                  </w:tcBorders>
                  <w:vAlign w:val="center"/>
                </w:tcPr>
                <w:p w14:paraId="0096BDD5">
                  <w:pPr>
                    <w:pStyle w:val="65"/>
                    <w:rPr>
                      <w:color w:val="auto"/>
                      <w:szCs w:val="20"/>
                    </w:rPr>
                  </w:pPr>
                  <w:r>
                    <w:rPr>
                      <w:rFonts w:hint="eastAsia"/>
                      <w:color w:val="auto"/>
                      <w:szCs w:val="20"/>
                    </w:rPr>
                    <w:t>办公区域</w:t>
                  </w:r>
                </w:p>
              </w:tc>
              <w:tc>
                <w:tcPr>
                  <w:tcW w:w="1606" w:type="pct"/>
                  <w:gridSpan w:val="3"/>
                  <w:tcBorders>
                    <w:tl2br w:val="nil"/>
                    <w:tr2bl w:val="nil"/>
                  </w:tcBorders>
                  <w:vAlign w:val="center"/>
                </w:tcPr>
                <w:p w14:paraId="31FD3D4A">
                  <w:pPr>
                    <w:pStyle w:val="65"/>
                    <w:rPr>
                      <w:color w:val="auto"/>
                      <w:szCs w:val="20"/>
                      <w:lang w:val="pt-BR"/>
                    </w:rPr>
                  </w:pPr>
                  <w:r>
                    <w:rPr>
                      <w:rFonts w:hint="eastAsia"/>
                      <w:color w:val="auto"/>
                      <w:szCs w:val="20"/>
                      <w:lang w:val="pt-BR"/>
                    </w:rPr>
                    <w:t>1</w:t>
                  </w:r>
                  <w:r>
                    <w:rPr>
                      <w:color w:val="auto"/>
                      <w:szCs w:val="20"/>
                      <w:lang w:val="pt-BR"/>
                    </w:rPr>
                    <w:t>F，</w:t>
                  </w:r>
                  <w:r>
                    <w:rPr>
                      <w:rFonts w:hint="eastAsia"/>
                      <w:color w:val="auto"/>
                      <w:szCs w:val="20"/>
                      <w:lang w:val="pt-BR"/>
                    </w:rPr>
                    <w:t>位于厂房东南侧，</w:t>
                  </w:r>
                  <w:r>
                    <w:rPr>
                      <w:color w:val="auto"/>
                      <w:szCs w:val="20"/>
                      <w:lang w:val="pt-BR"/>
                    </w:rPr>
                    <w:t>建筑面积为</w:t>
                  </w:r>
                  <w:r>
                    <w:rPr>
                      <w:rFonts w:hint="eastAsia"/>
                      <w:color w:val="auto"/>
                      <w:szCs w:val="20"/>
                    </w:rPr>
                    <w:t>50</w:t>
                  </w:r>
                  <w:r>
                    <w:rPr>
                      <w:rFonts w:hint="eastAsia"/>
                      <w:color w:val="auto"/>
                      <w:szCs w:val="20"/>
                      <w:lang w:val="pt-BR"/>
                    </w:rPr>
                    <w:t>m</w:t>
                  </w:r>
                  <w:r>
                    <w:rPr>
                      <w:rFonts w:hint="eastAsia"/>
                      <w:color w:val="auto"/>
                      <w:szCs w:val="20"/>
                      <w:vertAlign w:val="superscript"/>
                      <w:lang w:val="pt-BR"/>
                    </w:rPr>
                    <w:t>2</w:t>
                  </w:r>
                </w:p>
              </w:tc>
              <w:tc>
                <w:tcPr>
                  <w:tcW w:w="2024" w:type="pct"/>
                  <w:gridSpan w:val="3"/>
                  <w:tcBorders>
                    <w:tl2br w:val="nil"/>
                    <w:tr2bl w:val="nil"/>
                  </w:tcBorders>
                  <w:shd w:val="clear" w:color="auto" w:fill="auto"/>
                  <w:vAlign w:val="center"/>
                </w:tcPr>
                <w:p w14:paraId="5B252077">
                  <w:pPr>
                    <w:pStyle w:val="65"/>
                    <w:rPr>
                      <w:rFonts w:ascii="Times New Roman" w:hAnsi="Times New Roman" w:eastAsia="宋体" w:cs="Times New Roman"/>
                      <w:bCs/>
                      <w:color w:val="auto"/>
                      <w:sz w:val="21"/>
                      <w:szCs w:val="20"/>
                      <w:lang w:val="pt-BR" w:eastAsia="zh-CN" w:bidi="ar-SA"/>
                    </w:rPr>
                  </w:pPr>
                  <w:r>
                    <w:rPr>
                      <w:rFonts w:hint="eastAsia"/>
                      <w:color w:val="auto"/>
                      <w:szCs w:val="20"/>
                      <w:lang w:val="pt-BR"/>
                    </w:rPr>
                    <w:t>1</w:t>
                  </w:r>
                  <w:r>
                    <w:rPr>
                      <w:color w:val="auto"/>
                      <w:szCs w:val="20"/>
                      <w:lang w:val="pt-BR"/>
                    </w:rPr>
                    <w:t>F，</w:t>
                  </w:r>
                  <w:r>
                    <w:rPr>
                      <w:rFonts w:hint="eastAsia"/>
                      <w:color w:val="auto"/>
                      <w:szCs w:val="20"/>
                      <w:lang w:val="pt-BR"/>
                    </w:rPr>
                    <w:t>位于厂房东南侧，</w:t>
                  </w:r>
                  <w:r>
                    <w:rPr>
                      <w:color w:val="auto"/>
                      <w:szCs w:val="20"/>
                      <w:lang w:val="pt-BR"/>
                    </w:rPr>
                    <w:t>建筑面积为</w:t>
                  </w:r>
                  <w:r>
                    <w:rPr>
                      <w:rFonts w:hint="eastAsia"/>
                      <w:color w:val="auto"/>
                      <w:szCs w:val="20"/>
                    </w:rPr>
                    <w:t>50</w:t>
                  </w:r>
                  <w:r>
                    <w:rPr>
                      <w:rFonts w:hint="eastAsia"/>
                      <w:color w:val="auto"/>
                      <w:szCs w:val="20"/>
                      <w:lang w:val="pt-BR"/>
                    </w:rPr>
                    <w:t>m</w:t>
                  </w:r>
                  <w:r>
                    <w:rPr>
                      <w:rFonts w:hint="eastAsia"/>
                      <w:color w:val="auto"/>
                      <w:szCs w:val="20"/>
                      <w:vertAlign w:val="superscript"/>
                      <w:lang w:val="pt-BR"/>
                    </w:rPr>
                    <w:t>2</w:t>
                  </w:r>
                </w:p>
              </w:tc>
              <w:tc>
                <w:tcPr>
                  <w:tcW w:w="382" w:type="pct"/>
                  <w:tcBorders>
                    <w:tl2br w:val="nil"/>
                    <w:tr2bl w:val="nil"/>
                  </w:tcBorders>
                  <w:vAlign w:val="center"/>
                </w:tcPr>
                <w:p w14:paraId="773AB7E1">
                  <w:pPr>
                    <w:pStyle w:val="65"/>
                    <w:rPr>
                      <w:rFonts w:hint="eastAsia"/>
                      <w:color w:val="auto"/>
                      <w:szCs w:val="20"/>
                    </w:rPr>
                  </w:pPr>
                  <w:r>
                    <w:rPr>
                      <w:rFonts w:hint="eastAsia"/>
                      <w:color w:val="auto"/>
                      <w:szCs w:val="20"/>
                      <w:lang w:val="en-US" w:eastAsia="zh-CN"/>
                    </w:rPr>
                    <w:t>一致</w:t>
                  </w:r>
                </w:p>
              </w:tc>
            </w:tr>
            <w:tr w14:paraId="53C9206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tcBorders>
                    <w:tl2br w:val="nil"/>
                    <w:tr2bl w:val="nil"/>
                  </w:tcBorders>
                  <w:vAlign w:val="center"/>
                </w:tcPr>
                <w:p w14:paraId="24FFBED2">
                  <w:pPr>
                    <w:pStyle w:val="66"/>
                    <w:rPr>
                      <w:color w:val="auto"/>
                      <w:lang w:val="pt-BR"/>
                    </w:rPr>
                  </w:pPr>
                </w:p>
              </w:tc>
              <w:tc>
                <w:tcPr>
                  <w:tcW w:w="317" w:type="pct"/>
                  <w:vMerge w:val="continue"/>
                  <w:tcBorders>
                    <w:tl2br w:val="nil"/>
                    <w:tr2bl w:val="nil"/>
                  </w:tcBorders>
                  <w:vAlign w:val="center"/>
                </w:tcPr>
                <w:p w14:paraId="024840AE">
                  <w:pPr>
                    <w:pStyle w:val="65"/>
                    <w:rPr>
                      <w:color w:val="auto"/>
                      <w:szCs w:val="20"/>
                    </w:rPr>
                  </w:pPr>
                </w:p>
              </w:tc>
              <w:tc>
                <w:tcPr>
                  <w:tcW w:w="488" w:type="pct"/>
                  <w:tcBorders>
                    <w:tl2br w:val="nil"/>
                    <w:tr2bl w:val="nil"/>
                  </w:tcBorders>
                  <w:vAlign w:val="center"/>
                </w:tcPr>
                <w:p w14:paraId="28E60424">
                  <w:pPr>
                    <w:pStyle w:val="65"/>
                    <w:rPr>
                      <w:color w:val="auto"/>
                      <w:szCs w:val="20"/>
                    </w:rPr>
                  </w:pPr>
                  <w:r>
                    <w:rPr>
                      <w:rFonts w:hint="eastAsia"/>
                      <w:color w:val="auto"/>
                      <w:szCs w:val="20"/>
                    </w:rPr>
                    <w:t>物资储备室</w:t>
                  </w:r>
                </w:p>
              </w:tc>
              <w:tc>
                <w:tcPr>
                  <w:tcW w:w="1606" w:type="pct"/>
                  <w:gridSpan w:val="3"/>
                  <w:tcBorders>
                    <w:tl2br w:val="nil"/>
                    <w:tr2bl w:val="nil"/>
                  </w:tcBorders>
                  <w:vAlign w:val="center"/>
                </w:tcPr>
                <w:p w14:paraId="1B39A403">
                  <w:pPr>
                    <w:pStyle w:val="65"/>
                    <w:rPr>
                      <w:color w:val="auto"/>
                      <w:szCs w:val="20"/>
                      <w:lang w:val="pt-BR"/>
                    </w:rPr>
                  </w:pPr>
                  <w:r>
                    <w:rPr>
                      <w:rFonts w:hint="eastAsia"/>
                      <w:color w:val="auto"/>
                      <w:szCs w:val="20"/>
                      <w:lang w:val="pt-BR"/>
                    </w:rPr>
                    <w:t>1</w:t>
                  </w:r>
                  <w:r>
                    <w:rPr>
                      <w:color w:val="auto"/>
                      <w:szCs w:val="20"/>
                      <w:lang w:val="pt-BR"/>
                    </w:rPr>
                    <w:t>F，</w:t>
                  </w:r>
                  <w:r>
                    <w:rPr>
                      <w:rFonts w:hint="eastAsia"/>
                      <w:color w:val="auto"/>
                      <w:szCs w:val="20"/>
                      <w:lang w:val="pt-BR"/>
                    </w:rPr>
                    <w:t>位于厂房南侧，</w:t>
                  </w:r>
                  <w:r>
                    <w:rPr>
                      <w:color w:val="auto"/>
                      <w:szCs w:val="20"/>
                      <w:lang w:val="pt-BR"/>
                    </w:rPr>
                    <w:t>建筑面积为</w:t>
                  </w:r>
                  <w:r>
                    <w:rPr>
                      <w:rFonts w:hint="eastAsia"/>
                      <w:color w:val="auto"/>
                      <w:szCs w:val="20"/>
                    </w:rPr>
                    <w:t>25</w:t>
                  </w:r>
                  <w:r>
                    <w:rPr>
                      <w:rFonts w:hint="eastAsia"/>
                      <w:color w:val="auto"/>
                      <w:szCs w:val="20"/>
                      <w:lang w:val="pt-BR"/>
                    </w:rPr>
                    <w:t>m</w:t>
                  </w:r>
                  <w:r>
                    <w:rPr>
                      <w:rFonts w:hint="eastAsia"/>
                      <w:color w:val="auto"/>
                      <w:szCs w:val="20"/>
                      <w:vertAlign w:val="superscript"/>
                      <w:lang w:val="pt-BR"/>
                    </w:rPr>
                    <w:t>2</w:t>
                  </w:r>
                </w:p>
              </w:tc>
              <w:tc>
                <w:tcPr>
                  <w:tcW w:w="2024" w:type="pct"/>
                  <w:gridSpan w:val="3"/>
                  <w:tcBorders>
                    <w:tl2br w:val="nil"/>
                    <w:tr2bl w:val="nil"/>
                  </w:tcBorders>
                  <w:shd w:val="clear" w:color="auto" w:fill="auto"/>
                  <w:vAlign w:val="center"/>
                </w:tcPr>
                <w:p w14:paraId="0D55C3C9">
                  <w:pPr>
                    <w:pStyle w:val="65"/>
                    <w:rPr>
                      <w:rFonts w:ascii="Times New Roman" w:hAnsi="Times New Roman" w:eastAsia="宋体" w:cs="Times New Roman"/>
                      <w:bCs/>
                      <w:color w:val="auto"/>
                      <w:sz w:val="21"/>
                      <w:szCs w:val="20"/>
                      <w:lang w:val="pt-BR" w:eastAsia="zh-CN" w:bidi="ar-SA"/>
                    </w:rPr>
                  </w:pPr>
                  <w:r>
                    <w:rPr>
                      <w:rFonts w:hint="eastAsia"/>
                      <w:color w:val="auto"/>
                      <w:szCs w:val="20"/>
                      <w:lang w:val="pt-BR"/>
                    </w:rPr>
                    <w:t>1</w:t>
                  </w:r>
                  <w:r>
                    <w:rPr>
                      <w:color w:val="auto"/>
                      <w:szCs w:val="20"/>
                      <w:lang w:val="pt-BR"/>
                    </w:rPr>
                    <w:t>F，</w:t>
                  </w:r>
                  <w:r>
                    <w:rPr>
                      <w:rFonts w:hint="eastAsia"/>
                      <w:color w:val="auto"/>
                      <w:szCs w:val="20"/>
                      <w:lang w:val="pt-BR"/>
                    </w:rPr>
                    <w:t>位于厂房南侧，</w:t>
                  </w:r>
                  <w:r>
                    <w:rPr>
                      <w:color w:val="auto"/>
                      <w:szCs w:val="20"/>
                      <w:lang w:val="pt-BR"/>
                    </w:rPr>
                    <w:t>建筑面积为</w:t>
                  </w:r>
                  <w:r>
                    <w:rPr>
                      <w:rFonts w:hint="eastAsia"/>
                      <w:color w:val="auto"/>
                      <w:szCs w:val="20"/>
                    </w:rPr>
                    <w:t>25</w:t>
                  </w:r>
                  <w:r>
                    <w:rPr>
                      <w:rFonts w:hint="eastAsia"/>
                      <w:color w:val="auto"/>
                      <w:szCs w:val="20"/>
                      <w:lang w:val="pt-BR"/>
                    </w:rPr>
                    <w:t>m</w:t>
                  </w:r>
                  <w:r>
                    <w:rPr>
                      <w:rFonts w:hint="eastAsia"/>
                      <w:color w:val="auto"/>
                      <w:szCs w:val="20"/>
                      <w:vertAlign w:val="superscript"/>
                      <w:lang w:val="pt-BR"/>
                    </w:rPr>
                    <w:t>2</w:t>
                  </w:r>
                </w:p>
              </w:tc>
              <w:tc>
                <w:tcPr>
                  <w:tcW w:w="382" w:type="pct"/>
                  <w:tcBorders>
                    <w:tl2br w:val="nil"/>
                    <w:tr2bl w:val="nil"/>
                  </w:tcBorders>
                  <w:vAlign w:val="center"/>
                </w:tcPr>
                <w:p w14:paraId="6A174E96">
                  <w:pPr>
                    <w:pStyle w:val="65"/>
                    <w:rPr>
                      <w:rFonts w:hint="eastAsia"/>
                      <w:color w:val="auto"/>
                      <w:szCs w:val="20"/>
                    </w:rPr>
                  </w:pPr>
                  <w:r>
                    <w:rPr>
                      <w:rFonts w:hint="eastAsia"/>
                      <w:color w:val="auto"/>
                      <w:szCs w:val="20"/>
                      <w:lang w:val="en-US" w:eastAsia="zh-CN"/>
                    </w:rPr>
                    <w:t>一致</w:t>
                  </w:r>
                </w:p>
              </w:tc>
            </w:tr>
            <w:tr w14:paraId="318637DC">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restart"/>
                  <w:tcBorders>
                    <w:tl2br w:val="nil"/>
                    <w:tr2bl w:val="nil"/>
                  </w:tcBorders>
                  <w:vAlign w:val="center"/>
                </w:tcPr>
                <w:p w14:paraId="5702401D">
                  <w:pPr>
                    <w:pStyle w:val="66"/>
                    <w:rPr>
                      <w:color w:val="auto"/>
                      <w:lang w:val="pt-BR"/>
                    </w:rPr>
                  </w:pPr>
                </w:p>
              </w:tc>
              <w:tc>
                <w:tcPr>
                  <w:tcW w:w="317" w:type="pct"/>
                  <w:vMerge w:val="restart"/>
                  <w:tcBorders>
                    <w:tl2br w:val="nil"/>
                    <w:tr2bl w:val="nil"/>
                  </w:tcBorders>
                  <w:vAlign w:val="center"/>
                </w:tcPr>
                <w:p w14:paraId="0C627932">
                  <w:pPr>
                    <w:pStyle w:val="65"/>
                    <w:rPr>
                      <w:color w:val="auto"/>
                      <w:szCs w:val="20"/>
                      <w:lang w:val="pt-BR"/>
                    </w:rPr>
                  </w:pPr>
                  <w:r>
                    <w:rPr>
                      <w:color w:val="auto"/>
                      <w:szCs w:val="20"/>
                      <w:lang w:val="pt-BR"/>
                    </w:rPr>
                    <w:t>环保工程</w:t>
                  </w:r>
                </w:p>
              </w:tc>
              <w:tc>
                <w:tcPr>
                  <w:tcW w:w="488" w:type="pct"/>
                  <w:vMerge w:val="restart"/>
                  <w:tcBorders>
                    <w:tl2br w:val="nil"/>
                    <w:tr2bl w:val="nil"/>
                  </w:tcBorders>
                  <w:vAlign w:val="center"/>
                </w:tcPr>
                <w:p w14:paraId="38D032C7">
                  <w:pPr>
                    <w:pStyle w:val="65"/>
                    <w:rPr>
                      <w:color w:val="auto"/>
                      <w:szCs w:val="20"/>
                    </w:rPr>
                  </w:pPr>
                  <w:r>
                    <w:rPr>
                      <w:color w:val="auto"/>
                      <w:szCs w:val="20"/>
                    </w:rPr>
                    <w:t>废气</w:t>
                  </w:r>
                </w:p>
              </w:tc>
              <w:tc>
                <w:tcPr>
                  <w:tcW w:w="356" w:type="pct"/>
                  <w:tcBorders>
                    <w:tl2br w:val="nil"/>
                    <w:tr2bl w:val="nil"/>
                  </w:tcBorders>
                  <w:vAlign w:val="center"/>
                </w:tcPr>
                <w:p w14:paraId="2638DE4D">
                  <w:pPr>
                    <w:pStyle w:val="65"/>
                    <w:rPr>
                      <w:color w:val="auto"/>
                      <w:szCs w:val="20"/>
                    </w:rPr>
                  </w:pPr>
                  <w:r>
                    <w:rPr>
                      <w:rFonts w:hint="eastAsia"/>
                      <w:color w:val="auto"/>
                      <w:szCs w:val="20"/>
                    </w:rPr>
                    <w:t>危废暂存间</w:t>
                  </w:r>
                </w:p>
              </w:tc>
              <w:tc>
                <w:tcPr>
                  <w:tcW w:w="422" w:type="pct"/>
                  <w:tcBorders>
                    <w:tl2br w:val="nil"/>
                    <w:tr2bl w:val="nil"/>
                  </w:tcBorders>
                  <w:vAlign w:val="center"/>
                </w:tcPr>
                <w:p w14:paraId="6EB4F9ED">
                  <w:pPr>
                    <w:pStyle w:val="65"/>
                    <w:rPr>
                      <w:color w:val="auto"/>
                      <w:szCs w:val="20"/>
                    </w:rPr>
                  </w:pPr>
                  <w:r>
                    <w:rPr>
                      <w:rFonts w:hint="eastAsia"/>
                      <w:color w:val="auto"/>
                      <w:szCs w:val="20"/>
                    </w:rPr>
                    <w:t>密闭间+集气罩</w:t>
                  </w:r>
                </w:p>
              </w:tc>
              <w:tc>
                <w:tcPr>
                  <w:tcW w:w="828" w:type="pct"/>
                  <w:vMerge w:val="restart"/>
                  <w:tcBorders>
                    <w:tl2br w:val="nil"/>
                    <w:tr2bl w:val="nil"/>
                  </w:tcBorders>
                  <w:vAlign w:val="center"/>
                </w:tcPr>
                <w:p w14:paraId="2FE4DDA7">
                  <w:pPr>
                    <w:pStyle w:val="65"/>
                    <w:rPr>
                      <w:color w:val="auto"/>
                      <w:szCs w:val="20"/>
                    </w:rPr>
                  </w:pPr>
                  <w:r>
                    <w:rPr>
                      <w:rFonts w:hint="eastAsia"/>
                      <w:color w:val="auto"/>
                    </w:rPr>
                    <w:t>二级</w:t>
                  </w:r>
                  <w:r>
                    <w:rPr>
                      <w:color w:val="auto"/>
                    </w:rPr>
                    <w:t>活性炭吸附装置</w:t>
                  </w:r>
                  <w:r>
                    <w:rPr>
                      <w:rFonts w:hint="eastAsia"/>
                      <w:color w:val="auto"/>
                      <w:szCs w:val="20"/>
                    </w:rPr>
                    <w:t>（TA001）+</w:t>
                  </w:r>
                  <w:r>
                    <w:rPr>
                      <w:color w:val="auto"/>
                      <w:szCs w:val="20"/>
                    </w:rPr>
                    <w:t>15</w:t>
                  </w:r>
                  <w:r>
                    <w:rPr>
                      <w:rFonts w:hint="eastAsia"/>
                      <w:color w:val="auto"/>
                      <w:szCs w:val="20"/>
                    </w:rPr>
                    <w:t>m高排气筒（DA001）</w:t>
                  </w:r>
                </w:p>
              </w:tc>
              <w:tc>
                <w:tcPr>
                  <w:tcW w:w="354" w:type="pct"/>
                  <w:tcBorders>
                    <w:tl2br w:val="nil"/>
                    <w:tr2bl w:val="nil"/>
                  </w:tcBorders>
                  <w:vAlign w:val="center"/>
                </w:tcPr>
                <w:p w14:paraId="7A182083">
                  <w:pPr>
                    <w:pStyle w:val="65"/>
                    <w:rPr>
                      <w:color w:val="auto"/>
                      <w:szCs w:val="20"/>
                    </w:rPr>
                  </w:pPr>
                  <w:r>
                    <w:rPr>
                      <w:rFonts w:hint="eastAsia"/>
                      <w:color w:val="auto"/>
                      <w:szCs w:val="20"/>
                    </w:rPr>
                    <w:t>危废暂存间</w:t>
                  </w:r>
                </w:p>
              </w:tc>
              <w:tc>
                <w:tcPr>
                  <w:tcW w:w="539" w:type="pct"/>
                  <w:tcBorders>
                    <w:tl2br w:val="nil"/>
                    <w:tr2bl w:val="nil"/>
                  </w:tcBorders>
                  <w:vAlign w:val="center"/>
                </w:tcPr>
                <w:p w14:paraId="33949B1F">
                  <w:pPr>
                    <w:pStyle w:val="65"/>
                    <w:rPr>
                      <w:rFonts w:hint="eastAsia"/>
                      <w:color w:val="auto"/>
                    </w:rPr>
                  </w:pPr>
                  <w:r>
                    <w:rPr>
                      <w:rFonts w:hint="eastAsia"/>
                      <w:color w:val="auto"/>
                      <w:szCs w:val="20"/>
                    </w:rPr>
                    <w:t>密闭间+集气罩</w:t>
                  </w:r>
                </w:p>
              </w:tc>
              <w:tc>
                <w:tcPr>
                  <w:tcW w:w="1131" w:type="pct"/>
                  <w:vMerge w:val="restart"/>
                  <w:tcBorders>
                    <w:tl2br w:val="nil"/>
                    <w:tr2bl w:val="nil"/>
                  </w:tcBorders>
                  <w:vAlign w:val="center"/>
                </w:tcPr>
                <w:p w14:paraId="5481ED49">
                  <w:pPr>
                    <w:pStyle w:val="65"/>
                    <w:rPr>
                      <w:rFonts w:hint="eastAsia"/>
                      <w:color w:val="auto"/>
                    </w:rPr>
                  </w:pPr>
                  <w:r>
                    <w:rPr>
                      <w:rFonts w:hint="eastAsia"/>
                      <w:color w:val="auto"/>
                    </w:rPr>
                    <w:t>二级</w:t>
                  </w:r>
                  <w:r>
                    <w:rPr>
                      <w:color w:val="auto"/>
                    </w:rPr>
                    <w:t>活性炭吸附装置</w:t>
                  </w:r>
                  <w:r>
                    <w:rPr>
                      <w:rFonts w:hint="eastAsia"/>
                      <w:color w:val="auto"/>
                      <w:szCs w:val="20"/>
                    </w:rPr>
                    <w:t>（TA001）+</w:t>
                  </w:r>
                  <w:r>
                    <w:rPr>
                      <w:color w:val="auto"/>
                      <w:szCs w:val="20"/>
                    </w:rPr>
                    <w:t>15</w:t>
                  </w:r>
                  <w:r>
                    <w:rPr>
                      <w:rFonts w:hint="eastAsia"/>
                      <w:color w:val="auto"/>
                      <w:szCs w:val="20"/>
                    </w:rPr>
                    <w:t>m高排气筒（DA001）</w:t>
                  </w:r>
                </w:p>
              </w:tc>
              <w:tc>
                <w:tcPr>
                  <w:tcW w:w="382" w:type="pct"/>
                  <w:tcBorders>
                    <w:tl2br w:val="nil"/>
                    <w:tr2bl w:val="nil"/>
                  </w:tcBorders>
                  <w:vAlign w:val="center"/>
                </w:tcPr>
                <w:p w14:paraId="3704CBAE">
                  <w:pPr>
                    <w:pStyle w:val="65"/>
                    <w:rPr>
                      <w:rFonts w:hint="eastAsia"/>
                      <w:color w:val="auto"/>
                      <w:szCs w:val="20"/>
                    </w:rPr>
                  </w:pPr>
                  <w:r>
                    <w:rPr>
                      <w:rFonts w:hint="eastAsia"/>
                      <w:color w:val="auto"/>
                      <w:szCs w:val="20"/>
                      <w:lang w:val="en-US" w:eastAsia="zh-CN"/>
                    </w:rPr>
                    <w:t>一致</w:t>
                  </w:r>
                </w:p>
              </w:tc>
            </w:tr>
            <w:tr w14:paraId="0497AB97">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5A6E7B37">
                  <w:pPr>
                    <w:pStyle w:val="66"/>
                    <w:rPr>
                      <w:color w:val="auto"/>
                      <w:lang w:val="pt-BR"/>
                    </w:rPr>
                  </w:pPr>
                </w:p>
              </w:tc>
              <w:tc>
                <w:tcPr>
                  <w:tcW w:w="317" w:type="pct"/>
                  <w:vMerge w:val="continue"/>
                  <w:tcBorders>
                    <w:tl2br w:val="nil"/>
                    <w:tr2bl w:val="nil"/>
                  </w:tcBorders>
                  <w:vAlign w:val="center"/>
                </w:tcPr>
                <w:p w14:paraId="5B79C28C">
                  <w:pPr>
                    <w:pStyle w:val="65"/>
                    <w:rPr>
                      <w:color w:val="auto"/>
                      <w:szCs w:val="20"/>
                      <w:lang w:val="pt-BR"/>
                    </w:rPr>
                  </w:pPr>
                </w:p>
              </w:tc>
              <w:tc>
                <w:tcPr>
                  <w:tcW w:w="488" w:type="pct"/>
                  <w:vMerge w:val="continue"/>
                  <w:tcBorders>
                    <w:tl2br w:val="nil"/>
                    <w:tr2bl w:val="nil"/>
                  </w:tcBorders>
                  <w:vAlign w:val="center"/>
                </w:tcPr>
                <w:p w14:paraId="69295F55">
                  <w:pPr>
                    <w:pStyle w:val="65"/>
                    <w:rPr>
                      <w:color w:val="auto"/>
                      <w:szCs w:val="20"/>
                    </w:rPr>
                  </w:pPr>
                </w:p>
              </w:tc>
              <w:tc>
                <w:tcPr>
                  <w:tcW w:w="356" w:type="pct"/>
                  <w:tcBorders>
                    <w:tl2br w:val="nil"/>
                    <w:tr2bl w:val="nil"/>
                  </w:tcBorders>
                  <w:vAlign w:val="center"/>
                </w:tcPr>
                <w:p w14:paraId="733B1DFC">
                  <w:pPr>
                    <w:pStyle w:val="65"/>
                    <w:rPr>
                      <w:color w:val="auto"/>
                      <w:szCs w:val="20"/>
                    </w:rPr>
                  </w:pPr>
                  <w:r>
                    <w:rPr>
                      <w:rFonts w:hint="eastAsia"/>
                      <w:color w:val="auto"/>
                      <w:szCs w:val="20"/>
                    </w:rPr>
                    <w:t>储罐</w:t>
                  </w:r>
                </w:p>
              </w:tc>
              <w:tc>
                <w:tcPr>
                  <w:tcW w:w="422" w:type="pct"/>
                  <w:tcBorders>
                    <w:tl2br w:val="nil"/>
                    <w:tr2bl w:val="nil"/>
                  </w:tcBorders>
                  <w:vAlign w:val="center"/>
                </w:tcPr>
                <w:p w14:paraId="3DFA5225">
                  <w:pPr>
                    <w:pStyle w:val="65"/>
                    <w:rPr>
                      <w:color w:val="auto"/>
                      <w:szCs w:val="20"/>
                    </w:rPr>
                  </w:pPr>
                  <w:r>
                    <w:rPr>
                      <w:rFonts w:hint="eastAsia"/>
                      <w:color w:val="auto"/>
                      <w:szCs w:val="20"/>
                    </w:rPr>
                    <w:t>管道收集</w:t>
                  </w:r>
                </w:p>
              </w:tc>
              <w:tc>
                <w:tcPr>
                  <w:tcW w:w="828" w:type="pct"/>
                  <w:vMerge w:val="continue"/>
                  <w:tcBorders>
                    <w:tl2br w:val="nil"/>
                    <w:tr2bl w:val="nil"/>
                  </w:tcBorders>
                  <w:vAlign w:val="center"/>
                </w:tcPr>
                <w:p w14:paraId="472E2A2F">
                  <w:pPr>
                    <w:pStyle w:val="65"/>
                    <w:rPr>
                      <w:color w:val="auto"/>
                      <w:szCs w:val="20"/>
                    </w:rPr>
                  </w:pPr>
                </w:p>
              </w:tc>
              <w:tc>
                <w:tcPr>
                  <w:tcW w:w="354" w:type="pct"/>
                  <w:tcBorders>
                    <w:tl2br w:val="nil"/>
                    <w:tr2bl w:val="nil"/>
                  </w:tcBorders>
                  <w:vAlign w:val="center"/>
                </w:tcPr>
                <w:p w14:paraId="5115379F">
                  <w:pPr>
                    <w:pStyle w:val="65"/>
                    <w:rPr>
                      <w:color w:val="auto"/>
                      <w:szCs w:val="20"/>
                    </w:rPr>
                  </w:pPr>
                  <w:r>
                    <w:rPr>
                      <w:rFonts w:hint="eastAsia"/>
                      <w:color w:val="auto"/>
                      <w:szCs w:val="20"/>
                    </w:rPr>
                    <w:t>储罐</w:t>
                  </w:r>
                </w:p>
              </w:tc>
              <w:tc>
                <w:tcPr>
                  <w:tcW w:w="539" w:type="pct"/>
                  <w:tcBorders>
                    <w:tl2br w:val="nil"/>
                    <w:tr2bl w:val="nil"/>
                  </w:tcBorders>
                  <w:vAlign w:val="center"/>
                </w:tcPr>
                <w:p w14:paraId="1B0BE98A">
                  <w:pPr>
                    <w:pStyle w:val="65"/>
                    <w:rPr>
                      <w:color w:val="auto"/>
                      <w:szCs w:val="20"/>
                    </w:rPr>
                  </w:pPr>
                  <w:r>
                    <w:rPr>
                      <w:rFonts w:hint="eastAsia"/>
                      <w:color w:val="auto"/>
                      <w:szCs w:val="20"/>
                    </w:rPr>
                    <w:t>管道收集</w:t>
                  </w:r>
                </w:p>
              </w:tc>
              <w:tc>
                <w:tcPr>
                  <w:tcW w:w="1131" w:type="pct"/>
                  <w:vMerge w:val="continue"/>
                  <w:tcBorders>
                    <w:tl2br w:val="nil"/>
                    <w:tr2bl w:val="nil"/>
                  </w:tcBorders>
                  <w:vAlign w:val="center"/>
                </w:tcPr>
                <w:p w14:paraId="59E1F9A7">
                  <w:pPr>
                    <w:pStyle w:val="65"/>
                    <w:rPr>
                      <w:color w:val="auto"/>
                      <w:szCs w:val="20"/>
                    </w:rPr>
                  </w:pPr>
                </w:p>
              </w:tc>
              <w:tc>
                <w:tcPr>
                  <w:tcW w:w="382" w:type="pct"/>
                  <w:tcBorders>
                    <w:tl2br w:val="nil"/>
                    <w:tr2bl w:val="nil"/>
                  </w:tcBorders>
                  <w:vAlign w:val="center"/>
                </w:tcPr>
                <w:p w14:paraId="6F27A34F">
                  <w:pPr>
                    <w:pStyle w:val="65"/>
                    <w:rPr>
                      <w:color w:val="auto"/>
                      <w:szCs w:val="20"/>
                    </w:rPr>
                  </w:pPr>
                  <w:r>
                    <w:rPr>
                      <w:rFonts w:hint="eastAsia"/>
                      <w:color w:val="auto"/>
                      <w:szCs w:val="20"/>
                      <w:lang w:val="en-US" w:eastAsia="zh-CN"/>
                    </w:rPr>
                    <w:t>一致</w:t>
                  </w:r>
                </w:p>
              </w:tc>
            </w:tr>
            <w:tr w14:paraId="19138316">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3C5D8B2C">
                  <w:pPr>
                    <w:pStyle w:val="66"/>
                    <w:rPr>
                      <w:color w:val="auto"/>
                      <w:lang w:val="pt-BR"/>
                    </w:rPr>
                  </w:pPr>
                </w:p>
              </w:tc>
              <w:tc>
                <w:tcPr>
                  <w:tcW w:w="317" w:type="pct"/>
                  <w:vMerge w:val="continue"/>
                  <w:tcBorders>
                    <w:tl2br w:val="nil"/>
                    <w:tr2bl w:val="nil"/>
                  </w:tcBorders>
                  <w:vAlign w:val="center"/>
                </w:tcPr>
                <w:p w14:paraId="6BB0ED26">
                  <w:pPr>
                    <w:pStyle w:val="65"/>
                    <w:rPr>
                      <w:color w:val="auto"/>
                      <w:szCs w:val="20"/>
                      <w:lang w:val="pt-BR"/>
                    </w:rPr>
                  </w:pPr>
                </w:p>
              </w:tc>
              <w:tc>
                <w:tcPr>
                  <w:tcW w:w="488" w:type="pct"/>
                  <w:tcBorders>
                    <w:tl2br w:val="nil"/>
                    <w:tr2bl w:val="nil"/>
                  </w:tcBorders>
                  <w:vAlign w:val="center"/>
                </w:tcPr>
                <w:p w14:paraId="7D86C6A8">
                  <w:pPr>
                    <w:pStyle w:val="65"/>
                    <w:rPr>
                      <w:color w:val="auto"/>
                      <w:szCs w:val="20"/>
                    </w:rPr>
                  </w:pPr>
                  <w:r>
                    <w:rPr>
                      <w:rFonts w:hint="eastAsia"/>
                      <w:color w:val="auto"/>
                      <w:szCs w:val="20"/>
                    </w:rPr>
                    <w:t>废水</w:t>
                  </w:r>
                </w:p>
              </w:tc>
              <w:tc>
                <w:tcPr>
                  <w:tcW w:w="1606" w:type="pct"/>
                  <w:gridSpan w:val="3"/>
                  <w:tcBorders>
                    <w:tl2br w:val="nil"/>
                    <w:tr2bl w:val="nil"/>
                  </w:tcBorders>
                  <w:vAlign w:val="center"/>
                </w:tcPr>
                <w:p w14:paraId="368024FA">
                  <w:pPr>
                    <w:pStyle w:val="65"/>
                    <w:rPr>
                      <w:color w:val="auto"/>
                      <w:szCs w:val="20"/>
                    </w:rPr>
                  </w:pPr>
                  <w:r>
                    <w:rPr>
                      <w:rFonts w:hint="eastAsia"/>
                      <w:color w:val="auto"/>
                      <w:szCs w:val="20"/>
                    </w:rPr>
                    <w:t>本项目不新增废水排放</w:t>
                  </w:r>
                </w:p>
              </w:tc>
              <w:tc>
                <w:tcPr>
                  <w:tcW w:w="2024" w:type="pct"/>
                  <w:gridSpan w:val="3"/>
                  <w:tcBorders>
                    <w:tl2br w:val="nil"/>
                    <w:tr2bl w:val="nil"/>
                  </w:tcBorders>
                  <w:shd w:val="clear" w:color="auto" w:fill="auto"/>
                  <w:vAlign w:val="center"/>
                </w:tcPr>
                <w:p w14:paraId="6D174DBB">
                  <w:pPr>
                    <w:pStyle w:val="65"/>
                    <w:rPr>
                      <w:rFonts w:ascii="Times New Roman" w:hAnsi="Times New Roman" w:eastAsia="宋体" w:cs="Times New Roman"/>
                      <w:bCs/>
                      <w:color w:val="auto"/>
                      <w:sz w:val="21"/>
                      <w:szCs w:val="20"/>
                      <w:lang w:val="en-US" w:eastAsia="zh-CN" w:bidi="ar-SA"/>
                    </w:rPr>
                  </w:pPr>
                  <w:r>
                    <w:rPr>
                      <w:rFonts w:hint="eastAsia"/>
                      <w:color w:val="auto"/>
                      <w:szCs w:val="20"/>
                    </w:rPr>
                    <w:t>本项目不新增废水排放</w:t>
                  </w:r>
                </w:p>
              </w:tc>
              <w:tc>
                <w:tcPr>
                  <w:tcW w:w="382" w:type="pct"/>
                  <w:tcBorders>
                    <w:tl2br w:val="nil"/>
                    <w:tr2bl w:val="nil"/>
                  </w:tcBorders>
                  <w:vAlign w:val="center"/>
                </w:tcPr>
                <w:p w14:paraId="7DFC5BD8">
                  <w:pPr>
                    <w:pStyle w:val="65"/>
                    <w:rPr>
                      <w:rFonts w:hint="eastAsia"/>
                      <w:color w:val="auto"/>
                      <w:szCs w:val="20"/>
                    </w:rPr>
                  </w:pPr>
                  <w:r>
                    <w:rPr>
                      <w:rFonts w:hint="eastAsia"/>
                      <w:color w:val="auto"/>
                      <w:szCs w:val="20"/>
                      <w:lang w:val="en-US" w:eastAsia="zh-CN"/>
                    </w:rPr>
                    <w:t>一致</w:t>
                  </w:r>
                </w:p>
              </w:tc>
            </w:tr>
            <w:tr w14:paraId="43DD9BB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596FC805">
                  <w:pPr>
                    <w:pStyle w:val="66"/>
                    <w:rPr>
                      <w:color w:val="auto"/>
                      <w:lang w:val="pt-BR"/>
                    </w:rPr>
                  </w:pPr>
                </w:p>
              </w:tc>
              <w:tc>
                <w:tcPr>
                  <w:tcW w:w="317" w:type="pct"/>
                  <w:vMerge w:val="continue"/>
                  <w:tcBorders>
                    <w:tl2br w:val="nil"/>
                    <w:tr2bl w:val="nil"/>
                  </w:tcBorders>
                  <w:vAlign w:val="center"/>
                </w:tcPr>
                <w:p w14:paraId="30595CDB">
                  <w:pPr>
                    <w:pStyle w:val="65"/>
                    <w:rPr>
                      <w:color w:val="auto"/>
                      <w:szCs w:val="20"/>
                      <w:lang w:val="pt-BR"/>
                    </w:rPr>
                  </w:pPr>
                </w:p>
              </w:tc>
              <w:tc>
                <w:tcPr>
                  <w:tcW w:w="488" w:type="pct"/>
                  <w:tcBorders>
                    <w:tl2br w:val="nil"/>
                    <w:tr2bl w:val="nil"/>
                  </w:tcBorders>
                  <w:vAlign w:val="center"/>
                </w:tcPr>
                <w:p w14:paraId="6F4C0CC1">
                  <w:pPr>
                    <w:pStyle w:val="65"/>
                    <w:rPr>
                      <w:color w:val="auto"/>
                      <w:szCs w:val="20"/>
                    </w:rPr>
                  </w:pPr>
                  <w:r>
                    <w:rPr>
                      <w:rFonts w:hint="eastAsia"/>
                      <w:color w:val="auto"/>
                      <w:szCs w:val="20"/>
                    </w:rPr>
                    <w:t>噪声</w:t>
                  </w:r>
                </w:p>
              </w:tc>
              <w:tc>
                <w:tcPr>
                  <w:tcW w:w="1606" w:type="pct"/>
                  <w:gridSpan w:val="3"/>
                  <w:tcBorders>
                    <w:tl2br w:val="nil"/>
                    <w:tr2bl w:val="nil"/>
                  </w:tcBorders>
                  <w:vAlign w:val="center"/>
                </w:tcPr>
                <w:p w14:paraId="53924817">
                  <w:pPr>
                    <w:pStyle w:val="65"/>
                    <w:rPr>
                      <w:color w:val="auto"/>
                      <w:szCs w:val="20"/>
                    </w:rPr>
                  </w:pPr>
                  <w:r>
                    <w:rPr>
                      <w:color w:val="auto"/>
                      <w:szCs w:val="20"/>
                    </w:rPr>
                    <w:t>基础减振、厂房隔声</w:t>
                  </w:r>
                </w:p>
              </w:tc>
              <w:tc>
                <w:tcPr>
                  <w:tcW w:w="2024" w:type="pct"/>
                  <w:gridSpan w:val="3"/>
                  <w:tcBorders>
                    <w:tl2br w:val="nil"/>
                    <w:tr2bl w:val="nil"/>
                  </w:tcBorders>
                  <w:shd w:val="clear" w:color="auto" w:fill="auto"/>
                  <w:vAlign w:val="center"/>
                </w:tcPr>
                <w:p w14:paraId="2DE47D7D">
                  <w:pPr>
                    <w:pStyle w:val="65"/>
                    <w:rPr>
                      <w:rFonts w:ascii="Times New Roman" w:hAnsi="Times New Roman" w:eastAsia="宋体" w:cs="Times New Roman"/>
                      <w:bCs/>
                      <w:color w:val="auto"/>
                      <w:sz w:val="21"/>
                      <w:szCs w:val="20"/>
                      <w:lang w:val="en-US" w:eastAsia="zh-CN" w:bidi="ar-SA"/>
                    </w:rPr>
                  </w:pPr>
                  <w:r>
                    <w:rPr>
                      <w:color w:val="auto"/>
                      <w:szCs w:val="20"/>
                    </w:rPr>
                    <w:t>基础减振、厂房隔声</w:t>
                  </w:r>
                </w:p>
              </w:tc>
              <w:tc>
                <w:tcPr>
                  <w:tcW w:w="382" w:type="pct"/>
                  <w:tcBorders>
                    <w:tl2br w:val="nil"/>
                    <w:tr2bl w:val="nil"/>
                  </w:tcBorders>
                  <w:vAlign w:val="center"/>
                </w:tcPr>
                <w:p w14:paraId="6EE83B29">
                  <w:pPr>
                    <w:pStyle w:val="65"/>
                    <w:rPr>
                      <w:rFonts w:hint="eastAsia"/>
                      <w:color w:val="auto"/>
                      <w:szCs w:val="20"/>
                    </w:rPr>
                  </w:pPr>
                  <w:r>
                    <w:rPr>
                      <w:rFonts w:hint="eastAsia"/>
                      <w:color w:val="auto"/>
                      <w:szCs w:val="20"/>
                      <w:lang w:val="en-US" w:eastAsia="zh-CN"/>
                    </w:rPr>
                    <w:t>一致</w:t>
                  </w:r>
                </w:p>
              </w:tc>
            </w:tr>
            <w:tr w14:paraId="226BE82C">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1D65FC94">
                  <w:pPr>
                    <w:pStyle w:val="66"/>
                    <w:rPr>
                      <w:color w:val="auto"/>
                      <w:lang w:val="pt-BR"/>
                    </w:rPr>
                  </w:pPr>
                </w:p>
              </w:tc>
              <w:tc>
                <w:tcPr>
                  <w:tcW w:w="317" w:type="pct"/>
                  <w:vMerge w:val="continue"/>
                  <w:tcBorders>
                    <w:tl2br w:val="nil"/>
                    <w:tr2bl w:val="nil"/>
                  </w:tcBorders>
                  <w:vAlign w:val="center"/>
                </w:tcPr>
                <w:p w14:paraId="6C9769B8">
                  <w:pPr>
                    <w:pStyle w:val="65"/>
                    <w:rPr>
                      <w:color w:val="auto"/>
                      <w:szCs w:val="20"/>
                      <w:lang w:val="pt-BR"/>
                    </w:rPr>
                  </w:pPr>
                </w:p>
              </w:tc>
              <w:tc>
                <w:tcPr>
                  <w:tcW w:w="488" w:type="pct"/>
                  <w:vMerge w:val="restart"/>
                  <w:tcBorders>
                    <w:tl2br w:val="nil"/>
                    <w:tr2bl w:val="nil"/>
                  </w:tcBorders>
                  <w:vAlign w:val="center"/>
                </w:tcPr>
                <w:p w14:paraId="07BF9B47">
                  <w:pPr>
                    <w:pStyle w:val="65"/>
                    <w:rPr>
                      <w:color w:val="auto"/>
                      <w:szCs w:val="20"/>
                    </w:rPr>
                  </w:pPr>
                  <w:r>
                    <w:rPr>
                      <w:rFonts w:hint="eastAsia"/>
                      <w:color w:val="auto"/>
                      <w:szCs w:val="20"/>
                    </w:rPr>
                    <w:t>固废</w:t>
                  </w:r>
                </w:p>
              </w:tc>
              <w:tc>
                <w:tcPr>
                  <w:tcW w:w="1606" w:type="pct"/>
                  <w:gridSpan w:val="3"/>
                  <w:tcBorders>
                    <w:tl2br w:val="nil"/>
                    <w:tr2bl w:val="nil"/>
                  </w:tcBorders>
                  <w:vAlign w:val="center"/>
                </w:tcPr>
                <w:p w14:paraId="5CB4A7C4">
                  <w:pPr>
                    <w:pStyle w:val="65"/>
                    <w:rPr>
                      <w:color w:val="auto"/>
                      <w:szCs w:val="20"/>
                    </w:rPr>
                  </w:pPr>
                  <w:r>
                    <w:rPr>
                      <w:rFonts w:hint="eastAsia"/>
                      <w:color w:val="auto"/>
                      <w:szCs w:val="20"/>
                    </w:rPr>
                    <w:t>危废暂存间1</w:t>
                  </w:r>
                  <w:r>
                    <w:rPr>
                      <w:color w:val="auto"/>
                      <w:szCs w:val="20"/>
                    </w:rPr>
                    <w:t>座（</w:t>
                  </w:r>
                  <w:r>
                    <w:rPr>
                      <w:rFonts w:hint="eastAsia"/>
                      <w:color w:val="auto"/>
                      <w:szCs w:val="20"/>
                    </w:rPr>
                    <w:t>180m</w:t>
                  </w:r>
                  <w:r>
                    <w:rPr>
                      <w:rFonts w:hint="eastAsia"/>
                      <w:color w:val="auto"/>
                      <w:szCs w:val="20"/>
                      <w:vertAlign w:val="superscript"/>
                    </w:rPr>
                    <w:t>2</w:t>
                  </w:r>
                  <w:r>
                    <w:rPr>
                      <w:color w:val="auto"/>
                      <w:szCs w:val="20"/>
                    </w:rPr>
                    <w:t>）</w:t>
                  </w:r>
                </w:p>
              </w:tc>
              <w:tc>
                <w:tcPr>
                  <w:tcW w:w="2024" w:type="pct"/>
                  <w:gridSpan w:val="3"/>
                  <w:tcBorders>
                    <w:tl2br w:val="nil"/>
                    <w:tr2bl w:val="nil"/>
                  </w:tcBorders>
                  <w:shd w:val="clear" w:color="auto" w:fill="auto"/>
                  <w:vAlign w:val="center"/>
                </w:tcPr>
                <w:p w14:paraId="1994F428">
                  <w:pPr>
                    <w:pStyle w:val="65"/>
                    <w:rPr>
                      <w:rFonts w:ascii="Times New Roman" w:hAnsi="Times New Roman" w:eastAsia="宋体" w:cs="Times New Roman"/>
                      <w:bCs/>
                      <w:color w:val="auto"/>
                      <w:sz w:val="21"/>
                      <w:szCs w:val="20"/>
                      <w:lang w:val="en-US" w:eastAsia="zh-CN" w:bidi="ar-SA"/>
                    </w:rPr>
                  </w:pPr>
                  <w:r>
                    <w:rPr>
                      <w:rFonts w:hint="eastAsia"/>
                      <w:color w:val="auto"/>
                      <w:szCs w:val="20"/>
                    </w:rPr>
                    <w:t>危废暂存间1</w:t>
                  </w:r>
                  <w:r>
                    <w:rPr>
                      <w:color w:val="auto"/>
                      <w:szCs w:val="20"/>
                    </w:rPr>
                    <w:t>座（</w:t>
                  </w:r>
                  <w:r>
                    <w:rPr>
                      <w:rFonts w:hint="eastAsia"/>
                      <w:color w:val="auto"/>
                      <w:szCs w:val="20"/>
                    </w:rPr>
                    <w:t>180m</w:t>
                  </w:r>
                  <w:r>
                    <w:rPr>
                      <w:rFonts w:hint="eastAsia"/>
                      <w:color w:val="auto"/>
                      <w:szCs w:val="20"/>
                      <w:vertAlign w:val="superscript"/>
                    </w:rPr>
                    <w:t>2</w:t>
                  </w:r>
                  <w:r>
                    <w:rPr>
                      <w:color w:val="auto"/>
                      <w:szCs w:val="20"/>
                    </w:rPr>
                    <w:t>）</w:t>
                  </w:r>
                </w:p>
              </w:tc>
              <w:tc>
                <w:tcPr>
                  <w:tcW w:w="382" w:type="pct"/>
                  <w:tcBorders>
                    <w:tl2br w:val="nil"/>
                    <w:tr2bl w:val="nil"/>
                  </w:tcBorders>
                  <w:vAlign w:val="center"/>
                </w:tcPr>
                <w:p w14:paraId="19857158">
                  <w:pPr>
                    <w:pStyle w:val="65"/>
                    <w:rPr>
                      <w:rFonts w:hint="eastAsia"/>
                      <w:color w:val="auto"/>
                      <w:szCs w:val="20"/>
                    </w:rPr>
                  </w:pPr>
                  <w:r>
                    <w:rPr>
                      <w:rFonts w:hint="eastAsia"/>
                      <w:color w:val="auto"/>
                      <w:szCs w:val="20"/>
                      <w:lang w:val="en-US" w:eastAsia="zh-CN"/>
                    </w:rPr>
                    <w:t>一致</w:t>
                  </w:r>
                </w:p>
              </w:tc>
            </w:tr>
            <w:tr w14:paraId="54F31031">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6F241E8C">
                  <w:pPr>
                    <w:pStyle w:val="66"/>
                    <w:rPr>
                      <w:color w:val="auto"/>
                      <w:lang w:val="pt-BR"/>
                    </w:rPr>
                  </w:pPr>
                </w:p>
              </w:tc>
              <w:tc>
                <w:tcPr>
                  <w:tcW w:w="317" w:type="pct"/>
                  <w:vMerge w:val="continue"/>
                  <w:tcBorders>
                    <w:tl2br w:val="nil"/>
                    <w:tr2bl w:val="nil"/>
                  </w:tcBorders>
                  <w:vAlign w:val="center"/>
                </w:tcPr>
                <w:p w14:paraId="57B4E4F5">
                  <w:pPr>
                    <w:pStyle w:val="65"/>
                    <w:rPr>
                      <w:color w:val="auto"/>
                      <w:szCs w:val="20"/>
                      <w:lang w:val="pt-BR"/>
                    </w:rPr>
                  </w:pPr>
                </w:p>
              </w:tc>
              <w:tc>
                <w:tcPr>
                  <w:tcW w:w="488" w:type="pct"/>
                  <w:vMerge w:val="continue"/>
                  <w:tcBorders>
                    <w:tl2br w:val="nil"/>
                    <w:tr2bl w:val="nil"/>
                  </w:tcBorders>
                  <w:vAlign w:val="center"/>
                </w:tcPr>
                <w:p w14:paraId="51C06DD5">
                  <w:pPr>
                    <w:pStyle w:val="65"/>
                    <w:rPr>
                      <w:color w:val="auto"/>
                      <w:szCs w:val="20"/>
                    </w:rPr>
                  </w:pPr>
                </w:p>
              </w:tc>
              <w:tc>
                <w:tcPr>
                  <w:tcW w:w="1606" w:type="pct"/>
                  <w:gridSpan w:val="3"/>
                  <w:tcBorders>
                    <w:tl2br w:val="nil"/>
                    <w:tr2bl w:val="nil"/>
                  </w:tcBorders>
                  <w:vAlign w:val="center"/>
                </w:tcPr>
                <w:p w14:paraId="5E42749F">
                  <w:pPr>
                    <w:pStyle w:val="65"/>
                    <w:rPr>
                      <w:color w:val="auto"/>
                      <w:szCs w:val="20"/>
                    </w:rPr>
                  </w:pPr>
                  <w:r>
                    <w:rPr>
                      <w:rFonts w:hint="eastAsia"/>
                      <w:color w:val="auto"/>
                      <w:szCs w:val="20"/>
                    </w:rPr>
                    <w:t>储罐区1座（3个10</w:t>
                  </w:r>
                  <w:r>
                    <w:rPr>
                      <w:rFonts w:hint="eastAsia"/>
                      <w:bCs w:val="0"/>
                      <w:color w:val="auto"/>
                      <w:kern w:val="2"/>
                      <w:sz w:val="24"/>
                      <w:szCs w:val="22"/>
                    </w:rPr>
                    <w:t>m</w:t>
                  </w:r>
                  <w:r>
                    <w:rPr>
                      <w:rFonts w:hint="eastAsia"/>
                      <w:bCs w:val="0"/>
                      <w:color w:val="auto"/>
                      <w:kern w:val="2"/>
                      <w:sz w:val="24"/>
                      <w:szCs w:val="22"/>
                      <w:vertAlign w:val="superscript"/>
                    </w:rPr>
                    <w:t>3</w:t>
                  </w:r>
                  <w:r>
                    <w:rPr>
                      <w:rFonts w:hint="eastAsia"/>
                      <w:color w:val="auto"/>
                      <w:szCs w:val="20"/>
                    </w:rPr>
                    <w:t>储罐及1个25m</w:t>
                  </w:r>
                  <w:r>
                    <w:rPr>
                      <w:rFonts w:hint="eastAsia"/>
                      <w:color w:val="auto"/>
                      <w:szCs w:val="20"/>
                      <w:vertAlign w:val="superscript"/>
                    </w:rPr>
                    <w:t>3</w:t>
                  </w:r>
                  <w:r>
                    <w:rPr>
                      <w:rFonts w:hint="eastAsia"/>
                      <w:color w:val="auto"/>
                      <w:szCs w:val="20"/>
                    </w:rPr>
                    <w:t>储罐）</w:t>
                  </w:r>
                </w:p>
              </w:tc>
              <w:tc>
                <w:tcPr>
                  <w:tcW w:w="2024" w:type="pct"/>
                  <w:gridSpan w:val="3"/>
                  <w:tcBorders>
                    <w:tl2br w:val="nil"/>
                    <w:tr2bl w:val="nil"/>
                  </w:tcBorders>
                  <w:shd w:val="clear" w:color="auto" w:fill="auto"/>
                  <w:vAlign w:val="center"/>
                </w:tcPr>
                <w:p w14:paraId="3680D559">
                  <w:pPr>
                    <w:pStyle w:val="65"/>
                    <w:rPr>
                      <w:rFonts w:ascii="Times New Roman" w:hAnsi="Times New Roman" w:eastAsia="宋体" w:cs="Times New Roman"/>
                      <w:bCs/>
                      <w:color w:val="auto"/>
                      <w:sz w:val="21"/>
                      <w:szCs w:val="20"/>
                      <w:lang w:val="en-US" w:eastAsia="zh-CN" w:bidi="ar-SA"/>
                    </w:rPr>
                  </w:pPr>
                  <w:r>
                    <w:rPr>
                      <w:rFonts w:hint="eastAsia"/>
                      <w:color w:val="auto"/>
                      <w:szCs w:val="20"/>
                    </w:rPr>
                    <w:t>储罐区1座（3个10</w:t>
                  </w:r>
                  <w:r>
                    <w:rPr>
                      <w:rFonts w:hint="eastAsia"/>
                      <w:bCs w:val="0"/>
                      <w:color w:val="auto"/>
                      <w:kern w:val="2"/>
                      <w:sz w:val="24"/>
                      <w:szCs w:val="22"/>
                    </w:rPr>
                    <w:t>m</w:t>
                  </w:r>
                  <w:r>
                    <w:rPr>
                      <w:rFonts w:hint="eastAsia"/>
                      <w:bCs w:val="0"/>
                      <w:color w:val="auto"/>
                      <w:kern w:val="2"/>
                      <w:sz w:val="24"/>
                      <w:szCs w:val="22"/>
                      <w:vertAlign w:val="superscript"/>
                    </w:rPr>
                    <w:t>3</w:t>
                  </w:r>
                  <w:r>
                    <w:rPr>
                      <w:rFonts w:hint="eastAsia"/>
                      <w:color w:val="auto"/>
                      <w:szCs w:val="20"/>
                    </w:rPr>
                    <w:t>储罐及1个25m</w:t>
                  </w:r>
                  <w:r>
                    <w:rPr>
                      <w:rFonts w:hint="eastAsia"/>
                      <w:color w:val="auto"/>
                      <w:szCs w:val="20"/>
                      <w:vertAlign w:val="superscript"/>
                    </w:rPr>
                    <w:t>3</w:t>
                  </w:r>
                  <w:r>
                    <w:rPr>
                      <w:rFonts w:hint="eastAsia"/>
                      <w:color w:val="auto"/>
                      <w:szCs w:val="20"/>
                    </w:rPr>
                    <w:t>储罐）</w:t>
                  </w:r>
                </w:p>
              </w:tc>
              <w:tc>
                <w:tcPr>
                  <w:tcW w:w="382" w:type="pct"/>
                  <w:tcBorders>
                    <w:tl2br w:val="nil"/>
                    <w:tr2bl w:val="nil"/>
                  </w:tcBorders>
                  <w:vAlign w:val="center"/>
                </w:tcPr>
                <w:p w14:paraId="74B554B1">
                  <w:pPr>
                    <w:pStyle w:val="65"/>
                    <w:rPr>
                      <w:color w:val="auto"/>
                      <w:szCs w:val="20"/>
                    </w:rPr>
                  </w:pPr>
                  <w:r>
                    <w:rPr>
                      <w:rFonts w:hint="eastAsia"/>
                      <w:color w:val="auto"/>
                      <w:szCs w:val="20"/>
                      <w:lang w:val="en-US" w:eastAsia="zh-CN"/>
                    </w:rPr>
                    <w:t>一致</w:t>
                  </w:r>
                </w:p>
              </w:tc>
            </w:tr>
            <w:tr w14:paraId="1DB8B808">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05" w:hRule="atLeast"/>
                <w:jc w:val="center"/>
              </w:trPr>
              <w:tc>
                <w:tcPr>
                  <w:tcW w:w="179" w:type="pct"/>
                  <w:vMerge w:val="continue"/>
                  <w:tcBorders>
                    <w:tl2br w:val="nil"/>
                    <w:tr2bl w:val="nil"/>
                  </w:tcBorders>
                  <w:vAlign w:val="center"/>
                </w:tcPr>
                <w:p w14:paraId="295E7F53">
                  <w:pPr>
                    <w:pStyle w:val="66"/>
                    <w:rPr>
                      <w:color w:val="auto"/>
                      <w:lang w:val="pt-BR"/>
                    </w:rPr>
                  </w:pPr>
                </w:p>
              </w:tc>
              <w:tc>
                <w:tcPr>
                  <w:tcW w:w="317" w:type="pct"/>
                  <w:vMerge w:val="continue"/>
                  <w:tcBorders>
                    <w:tl2br w:val="nil"/>
                    <w:tr2bl w:val="nil"/>
                  </w:tcBorders>
                  <w:vAlign w:val="center"/>
                </w:tcPr>
                <w:p w14:paraId="29474DBF">
                  <w:pPr>
                    <w:pStyle w:val="65"/>
                    <w:rPr>
                      <w:color w:val="auto"/>
                      <w:szCs w:val="20"/>
                      <w:lang w:val="pt-BR"/>
                    </w:rPr>
                  </w:pPr>
                </w:p>
              </w:tc>
              <w:tc>
                <w:tcPr>
                  <w:tcW w:w="488" w:type="pct"/>
                  <w:vMerge w:val="continue"/>
                  <w:tcBorders>
                    <w:tl2br w:val="nil"/>
                    <w:tr2bl w:val="nil"/>
                  </w:tcBorders>
                  <w:vAlign w:val="center"/>
                </w:tcPr>
                <w:p w14:paraId="2F7E73E0">
                  <w:pPr>
                    <w:pStyle w:val="65"/>
                    <w:rPr>
                      <w:color w:val="auto"/>
                      <w:szCs w:val="20"/>
                    </w:rPr>
                  </w:pPr>
                </w:p>
              </w:tc>
              <w:tc>
                <w:tcPr>
                  <w:tcW w:w="1606" w:type="pct"/>
                  <w:gridSpan w:val="3"/>
                  <w:tcBorders>
                    <w:tl2br w:val="nil"/>
                    <w:tr2bl w:val="nil"/>
                  </w:tcBorders>
                  <w:vAlign w:val="center"/>
                </w:tcPr>
                <w:p w14:paraId="213029E6">
                  <w:pPr>
                    <w:pStyle w:val="65"/>
                    <w:rPr>
                      <w:color w:val="auto"/>
                      <w:szCs w:val="20"/>
                    </w:rPr>
                  </w:pPr>
                  <w:r>
                    <w:rPr>
                      <w:rFonts w:hint="eastAsia"/>
                      <w:color w:val="auto"/>
                      <w:szCs w:val="20"/>
                    </w:rPr>
                    <w:t>其他危险废物暂存区3间（108m</w:t>
                  </w:r>
                  <w:r>
                    <w:rPr>
                      <w:rFonts w:hint="eastAsia"/>
                      <w:color w:val="auto"/>
                      <w:szCs w:val="20"/>
                      <w:vertAlign w:val="superscript"/>
                    </w:rPr>
                    <w:t>2</w:t>
                  </w:r>
                  <w:r>
                    <w:rPr>
                      <w:rFonts w:hint="eastAsia"/>
                      <w:color w:val="auto"/>
                      <w:szCs w:val="20"/>
                    </w:rPr>
                    <w:t>）</w:t>
                  </w:r>
                </w:p>
              </w:tc>
              <w:tc>
                <w:tcPr>
                  <w:tcW w:w="2024" w:type="pct"/>
                  <w:gridSpan w:val="3"/>
                  <w:tcBorders>
                    <w:tl2br w:val="nil"/>
                    <w:tr2bl w:val="nil"/>
                  </w:tcBorders>
                  <w:shd w:val="clear" w:color="auto" w:fill="auto"/>
                  <w:vAlign w:val="center"/>
                </w:tcPr>
                <w:p w14:paraId="4FC42802">
                  <w:pPr>
                    <w:pStyle w:val="65"/>
                    <w:rPr>
                      <w:rFonts w:ascii="Times New Roman" w:hAnsi="Times New Roman" w:eastAsia="宋体" w:cs="Times New Roman"/>
                      <w:bCs/>
                      <w:color w:val="auto"/>
                      <w:sz w:val="21"/>
                      <w:szCs w:val="20"/>
                      <w:lang w:val="en-US" w:eastAsia="zh-CN" w:bidi="ar-SA"/>
                    </w:rPr>
                  </w:pPr>
                  <w:r>
                    <w:rPr>
                      <w:rFonts w:hint="eastAsia"/>
                      <w:color w:val="auto"/>
                      <w:szCs w:val="20"/>
                    </w:rPr>
                    <w:t>其他危险废物暂存区3间（108m</w:t>
                  </w:r>
                  <w:r>
                    <w:rPr>
                      <w:rFonts w:hint="eastAsia"/>
                      <w:color w:val="auto"/>
                      <w:szCs w:val="20"/>
                      <w:vertAlign w:val="superscript"/>
                    </w:rPr>
                    <w:t>2</w:t>
                  </w:r>
                  <w:r>
                    <w:rPr>
                      <w:rFonts w:hint="eastAsia"/>
                      <w:color w:val="auto"/>
                      <w:szCs w:val="20"/>
                    </w:rPr>
                    <w:t>）</w:t>
                  </w:r>
                </w:p>
              </w:tc>
              <w:tc>
                <w:tcPr>
                  <w:tcW w:w="382" w:type="pct"/>
                  <w:tcBorders>
                    <w:tl2br w:val="nil"/>
                    <w:tr2bl w:val="nil"/>
                  </w:tcBorders>
                  <w:vAlign w:val="center"/>
                </w:tcPr>
                <w:p w14:paraId="0119E6A7">
                  <w:pPr>
                    <w:pStyle w:val="65"/>
                    <w:rPr>
                      <w:color w:val="auto"/>
                      <w:szCs w:val="20"/>
                    </w:rPr>
                  </w:pPr>
                  <w:r>
                    <w:rPr>
                      <w:rFonts w:hint="eastAsia"/>
                      <w:color w:val="auto"/>
                      <w:szCs w:val="20"/>
                      <w:lang w:val="en-US" w:eastAsia="zh-CN"/>
                    </w:rPr>
                    <w:t>一致</w:t>
                  </w:r>
                </w:p>
              </w:tc>
            </w:tr>
            <w:tr w14:paraId="7247C957">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2C97682B">
                  <w:pPr>
                    <w:pStyle w:val="66"/>
                    <w:rPr>
                      <w:color w:val="auto"/>
                      <w:lang w:val="pt-BR"/>
                    </w:rPr>
                  </w:pPr>
                </w:p>
              </w:tc>
              <w:tc>
                <w:tcPr>
                  <w:tcW w:w="317" w:type="pct"/>
                  <w:vMerge w:val="continue"/>
                  <w:tcBorders>
                    <w:tl2br w:val="nil"/>
                    <w:tr2bl w:val="nil"/>
                  </w:tcBorders>
                  <w:vAlign w:val="center"/>
                </w:tcPr>
                <w:p w14:paraId="47840CA4">
                  <w:pPr>
                    <w:pStyle w:val="65"/>
                    <w:rPr>
                      <w:color w:val="auto"/>
                      <w:szCs w:val="20"/>
                      <w:lang w:val="pt-BR"/>
                    </w:rPr>
                  </w:pPr>
                </w:p>
              </w:tc>
              <w:tc>
                <w:tcPr>
                  <w:tcW w:w="488" w:type="pct"/>
                  <w:vMerge w:val="continue"/>
                  <w:tcBorders>
                    <w:tl2br w:val="nil"/>
                    <w:tr2bl w:val="nil"/>
                  </w:tcBorders>
                  <w:vAlign w:val="center"/>
                </w:tcPr>
                <w:p w14:paraId="2FE5D34F">
                  <w:pPr>
                    <w:pStyle w:val="65"/>
                    <w:rPr>
                      <w:color w:val="auto"/>
                      <w:szCs w:val="20"/>
                    </w:rPr>
                  </w:pPr>
                </w:p>
              </w:tc>
              <w:tc>
                <w:tcPr>
                  <w:tcW w:w="1606" w:type="pct"/>
                  <w:gridSpan w:val="3"/>
                  <w:tcBorders>
                    <w:tl2br w:val="nil"/>
                    <w:tr2bl w:val="nil"/>
                  </w:tcBorders>
                  <w:vAlign w:val="center"/>
                </w:tcPr>
                <w:p w14:paraId="1EE84E79">
                  <w:pPr>
                    <w:pStyle w:val="65"/>
                    <w:rPr>
                      <w:color w:val="auto"/>
                      <w:szCs w:val="20"/>
                    </w:rPr>
                  </w:pPr>
                  <w:r>
                    <w:rPr>
                      <w:rFonts w:hint="eastAsia"/>
                      <w:color w:val="auto"/>
                      <w:szCs w:val="20"/>
                    </w:rPr>
                    <w:t>含酸危废暂存间1间（72m</w:t>
                  </w:r>
                  <w:r>
                    <w:rPr>
                      <w:rFonts w:hint="eastAsia"/>
                      <w:color w:val="auto"/>
                      <w:szCs w:val="20"/>
                      <w:vertAlign w:val="superscript"/>
                    </w:rPr>
                    <w:t>2</w:t>
                  </w:r>
                  <w:r>
                    <w:rPr>
                      <w:rFonts w:hint="eastAsia"/>
                      <w:color w:val="auto"/>
                      <w:szCs w:val="20"/>
                    </w:rPr>
                    <w:t>）</w:t>
                  </w:r>
                </w:p>
              </w:tc>
              <w:tc>
                <w:tcPr>
                  <w:tcW w:w="2024" w:type="pct"/>
                  <w:gridSpan w:val="3"/>
                  <w:tcBorders>
                    <w:tl2br w:val="nil"/>
                    <w:tr2bl w:val="nil"/>
                  </w:tcBorders>
                  <w:shd w:val="clear" w:color="auto" w:fill="auto"/>
                  <w:vAlign w:val="center"/>
                </w:tcPr>
                <w:p w14:paraId="51174A74">
                  <w:pPr>
                    <w:pStyle w:val="65"/>
                    <w:rPr>
                      <w:rFonts w:ascii="Times New Roman" w:hAnsi="Times New Roman" w:eastAsia="宋体" w:cs="Times New Roman"/>
                      <w:bCs/>
                      <w:color w:val="auto"/>
                      <w:sz w:val="21"/>
                      <w:szCs w:val="20"/>
                      <w:lang w:val="en-US" w:eastAsia="zh-CN" w:bidi="ar-SA"/>
                    </w:rPr>
                  </w:pPr>
                  <w:r>
                    <w:rPr>
                      <w:rFonts w:hint="eastAsia"/>
                      <w:color w:val="auto"/>
                      <w:szCs w:val="20"/>
                    </w:rPr>
                    <w:t>含酸危废暂存间1间（72m</w:t>
                  </w:r>
                  <w:r>
                    <w:rPr>
                      <w:rFonts w:hint="eastAsia"/>
                      <w:color w:val="auto"/>
                      <w:szCs w:val="20"/>
                      <w:vertAlign w:val="superscript"/>
                    </w:rPr>
                    <w:t>2</w:t>
                  </w:r>
                  <w:r>
                    <w:rPr>
                      <w:rFonts w:hint="eastAsia"/>
                      <w:color w:val="auto"/>
                      <w:szCs w:val="20"/>
                    </w:rPr>
                    <w:t>）</w:t>
                  </w:r>
                </w:p>
              </w:tc>
              <w:tc>
                <w:tcPr>
                  <w:tcW w:w="382" w:type="pct"/>
                  <w:tcBorders>
                    <w:tl2br w:val="nil"/>
                    <w:tr2bl w:val="nil"/>
                  </w:tcBorders>
                  <w:vAlign w:val="center"/>
                </w:tcPr>
                <w:p w14:paraId="71AEB31F">
                  <w:pPr>
                    <w:pStyle w:val="65"/>
                    <w:rPr>
                      <w:rFonts w:hint="eastAsia"/>
                      <w:color w:val="auto"/>
                      <w:szCs w:val="20"/>
                    </w:rPr>
                  </w:pPr>
                  <w:r>
                    <w:rPr>
                      <w:rFonts w:hint="eastAsia"/>
                      <w:color w:val="auto"/>
                      <w:szCs w:val="20"/>
                      <w:lang w:val="en-US" w:eastAsia="zh-CN"/>
                    </w:rPr>
                    <w:t>一致</w:t>
                  </w:r>
                </w:p>
              </w:tc>
            </w:tr>
            <w:tr w14:paraId="4BCED30B">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6E8476FD">
                  <w:pPr>
                    <w:pStyle w:val="66"/>
                    <w:rPr>
                      <w:color w:val="auto"/>
                      <w:lang w:val="pt-BR"/>
                    </w:rPr>
                  </w:pPr>
                </w:p>
              </w:tc>
              <w:tc>
                <w:tcPr>
                  <w:tcW w:w="317" w:type="pct"/>
                  <w:vMerge w:val="continue"/>
                  <w:tcBorders>
                    <w:tl2br w:val="nil"/>
                    <w:tr2bl w:val="nil"/>
                  </w:tcBorders>
                  <w:vAlign w:val="center"/>
                </w:tcPr>
                <w:p w14:paraId="6AD5BD9F">
                  <w:pPr>
                    <w:pStyle w:val="65"/>
                    <w:rPr>
                      <w:color w:val="auto"/>
                      <w:szCs w:val="20"/>
                      <w:lang w:val="pt-BR"/>
                    </w:rPr>
                  </w:pPr>
                </w:p>
              </w:tc>
              <w:tc>
                <w:tcPr>
                  <w:tcW w:w="488" w:type="pct"/>
                  <w:vMerge w:val="restart"/>
                  <w:tcBorders>
                    <w:tl2br w:val="nil"/>
                    <w:tr2bl w:val="nil"/>
                  </w:tcBorders>
                  <w:vAlign w:val="center"/>
                </w:tcPr>
                <w:p w14:paraId="24D86464">
                  <w:pPr>
                    <w:pStyle w:val="65"/>
                    <w:rPr>
                      <w:color w:val="auto"/>
                      <w:szCs w:val="20"/>
                    </w:rPr>
                  </w:pPr>
                  <w:r>
                    <w:rPr>
                      <w:rFonts w:hint="eastAsia"/>
                      <w:color w:val="auto"/>
                      <w:szCs w:val="20"/>
                    </w:rPr>
                    <w:t>风险</w:t>
                  </w:r>
                </w:p>
              </w:tc>
              <w:tc>
                <w:tcPr>
                  <w:tcW w:w="356" w:type="pct"/>
                  <w:tcBorders>
                    <w:tl2br w:val="nil"/>
                    <w:tr2bl w:val="nil"/>
                  </w:tcBorders>
                  <w:vAlign w:val="center"/>
                </w:tcPr>
                <w:p w14:paraId="23669308">
                  <w:pPr>
                    <w:pStyle w:val="65"/>
                    <w:rPr>
                      <w:color w:val="auto"/>
                      <w:szCs w:val="20"/>
                    </w:rPr>
                  </w:pPr>
                  <w:r>
                    <w:rPr>
                      <w:rFonts w:hint="eastAsia"/>
                      <w:color w:val="auto"/>
                      <w:szCs w:val="20"/>
                    </w:rPr>
                    <w:t>应急事故池</w:t>
                  </w:r>
                </w:p>
              </w:tc>
              <w:tc>
                <w:tcPr>
                  <w:tcW w:w="1250" w:type="pct"/>
                  <w:gridSpan w:val="2"/>
                  <w:tcBorders>
                    <w:tl2br w:val="nil"/>
                    <w:tr2bl w:val="nil"/>
                  </w:tcBorders>
                  <w:vAlign w:val="center"/>
                </w:tcPr>
                <w:p w14:paraId="1C900BE6">
                  <w:pPr>
                    <w:pStyle w:val="65"/>
                    <w:rPr>
                      <w:color w:val="auto"/>
                      <w:szCs w:val="20"/>
                    </w:rPr>
                  </w:pPr>
                  <w:r>
                    <w:rPr>
                      <w:rFonts w:hint="eastAsia"/>
                      <w:color w:val="auto"/>
                      <w:szCs w:val="20"/>
                      <w:lang w:val="pt-BR"/>
                    </w:rPr>
                    <w:t>2座，位于厂房西南角（长宽高为2.95m</w:t>
                  </w:r>
                  <w:r>
                    <w:rPr>
                      <w:color w:val="auto"/>
                      <w:szCs w:val="20"/>
                      <w:lang w:val="pt-BR"/>
                    </w:rPr>
                    <w:t>×</w:t>
                  </w:r>
                  <w:r>
                    <w:rPr>
                      <w:rFonts w:hint="eastAsia"/>
                      <w:color w:val="auto"/>
                      <w:szCs w:val="20"/>
                      <w:lang w:val="pt-BR"/>
                    </w:rPr>
                    <w:t>2.45m</w:t>
                  </w:r>
                  <w:r>
                    <w:rPr>
                      <w:color w:val="auto"/>
                      <w:szCs w:val="20"/>
                      <w:lang w:val="pt-BR"/>
                    </w:rPr>
                    <w:t>×</w:t>
                  </w:r>
                  <w:r>
                    <w:rPr>
                      <w:rFonts w:hint="eastAsia"/>
                      <w:color w:val="auto"/>
                      <w:szCs w:val="20"/>
                      <w:lang w:val="pt-BR"/>
                    </w:rPr>
                    <w:t>2.5</w:t>
                  </w:r>
                  <w:r>
                    <w:rPr>
                      <w:color w:val="auto"/>
                      <w:szCs w:val="20"/>
                      <w:lang w:val="pt-BR"/>
                    </w:rPr>
                    <w:t>m</w:t>
                  </w:r>
                  <w:r>
                    <w:rPr>
                      <w:rFonts w:hint="eastAsia"/>
                      <w:color w:val="auto"/>
                      <w:szCs w:val="20"/>
                      <w:lang w:val="pt-BR"/>
                    </w:rPr>
                    <w:t>，有效容积约为18m</w:t>
                  </w:r>
                  <w:r>
                    <w:rPr>
                      <w:rFonts w:hint="eastAsia"/>
                      <w:color w:val="auto"/>
                      <w:szCs w:val="20"/>
                      <w:vertAlign w:val="superscript"/>
                      <w:lang w:val="pt-BR"/>
                    </w:rPr>
                    <w:t>3</w:t>
                  </w:r>
                  <w:r>
                    <w:rPr>
                      <w:rFonts w:hint="eastAsia"/>
                      <w:color w:val="auto"/>
                      <w:szCs w:val="20"/>
                      <w:lang w:val="pt-BR"/>
                    </w:rPr>
                    <w:t>）及东南角（长宽高为4.43m</w:t>
                  </w:r>
                  <w:r>
                    <w:rPr>
                      <w:color w:val="auto"/>
                      <w:szCs w:val="20"/>
                      <w:lang w:val="pt-BR"/>
                    </w:rPr>
                    <w:t>×</w:t>
                  </w:r>
                  <w:r>
                    <w:rPr>
                      <w:rFonts w:hint="eastAsia"/>
                      <w:color w:val="auto"/>
                      <w:szCs w:val="20"/>
                      <w:lang w:val="pt-BR"/>
                    </w:rPr>
                    <w:t>1.3m</w:t>
                  </w:r>
                  <w:r>
                    <w:rPr>
                      <w:color w:val="auto"/>
                      <w:szCs w:val="20"/>
                      <w:lang w:val="pt-BR"/>
                    </w:rPr>
                    <w:t>×</w:t>
                  </w:r>
                  <w:r>
                    <w:rPr>
                      <w:rFonts w:hint="eastAsia"/>
                      <w:color w:val="auto"/>
                      <w:szCs w:val="20"/>
                      <w:lang w:val="pt-BR"/>
                    </w:rPr>
                    <w:t>1.2</w:t>
                  </w:r>
                  <w:r>
                    <w:rPr>
                      <w:color w:val="auto"/>
                      <w:szCs w:val="20"/>
                      <w:lang w:val="pt-BR"/>
                    </w:rPr>
                    <w:t>m</w:t>
                  </w:r>
                  <w:r>
                    <w:rPr>
                      <w:rFonts w:hint="eastAsia"/>
                      <w:color w:val="auto"/>
                      <w:szCs w:val="20"/>
                      <w:lang w:val="pt-BR"/>
                    </w:rPr>
                    <w:t>，有效容积约为7m</w:t>
                  </w:r>
                  <w:r>
                    <w:rPr>
                      <w:rFonts w:hint="eastAsia"/>
                      <w:color w:val="auto"/>
                      <w:szCs w:val="20"/>
                      <w:vertAlign w:val="superscript"/>
                      <w:lang w:val="pt-BR"/>
                    </w:rPr>
                    <w:t>3</w:t>
                  </w:r>
                  <w:r>
                    <w:rPr>
                      <w:rFonts w:hint="eastAsia"/>
                      <w:color w:val="auto"/>
                      <w:szCs w:val="20"/>
                      <w:lang w:val="pt-BR"/>
                    </w:rPr>
                    <w:t>）</w:t>
                  </w:r>
                </w:p>
              </w:tc>
              <w:tc>
                <w:tcPr>
                  <w:tcW w:w="354" w:type="pct"/>
                  <w:tcBorders>
                    <w:tl2br w:val="nil"/>
                    <w:tr2bl w:val="nil"/>
                  </w:tcBorders>
                  <w:shd w:val="clear" w:color="auto" w:fill="auto"/>
                  <w:vAlign w:val="center"/>
                </w:tcPr>
                <w:p w14:paraId="5D25398A">
                  <w:pPr>
                    <w:pStyle w:val="65"/>
                    <w:rPr>
                      <w:rFonts w:ascii="Times New Roman" w:hAnsi="Times New Roman" w:eastAsia="宋体" w:cs="Times New Roman"/>
                      <w:bCs/>
                      <w:color w:val="auto"/>
                      <w:sz w:val="21"/>
                      <w:szCs w:val="20"/>
                      <w:lang w:val="en-US" w:eastAsia="zh-CN" w:bidi="ar-SA"/>
                    </w:rPr>
                  </w:pPr>
                  <w:r>
                    <w:rPr>
                      <w:rFonts w:hint="eastAsia"/>
                      <w:color w:val="auto"/>
                      <w:szCs w:val="20"/>
                    </w:rPr>
                    <w:t>应急事故池</w:t>
                  </w:r>
                </w:p>
              </w:tc>
              <w:tc>
                <w:tcPr>
                  <w:tcW w:w="1670" w:type="pct"/>
                  <w:gridSpan w:val="2"/>
                  <w:tcBorders>
                    <w:tl2br w:val="nil"/>
                    <w:tr2bl w:val="nil"/>
                  </w:tcBorders>
                  <w:shd w:val="clear" w:color="auto" w:fill="auto"/>
                  <w:vAlign w:val="center"/>
                </w:tcPr>
                <w:p w14:paraId="4730C432">
                  <w:pPr>
                    <w:pStyle w:val="65"/>
                    <w:rPr>
                      <w:rFonts w:hint="eastAsia"/>
                      <w:color w:val="auto"/>
                      <w:szCs w:val="20"/>
                      <w:lang w:val="pt-BR"/>
                    </w:rPr>
                  </w:pPr>
                  <w:r>
                    <w:rPr>
                      <w:rFonts w:hint="eastAsia"/>
                      <w:color w:val="auto"/>
                      <w:szCs w:val="20"/>
                      <w:lang w:val="pt-BR"/>
                    </w:rPr>
                    <w:t>2座，位于厂房西南角（长宽高为2.95m</w:t>
                  </w:r>
                  <w:r>
                    <w:rPr>
                      <w:color w:val="auto"/>
                      <w:szCs w:val="20"/>
                      <w:lang w:val="pt-BR"/>
                    </w:rPr>
                    <w:t>×</w:t>
                  </w:r>
                  <w:r>
                    <w:rPr>
                      <w:rFonts w:hint="eastAsia"/>
                      <w:color w:val="auto"/>
                      <w:szCs w:val="20"/>
                      <w:lang w:val="pt-BR"/>
                    </w:rPr>
                    <w:t>2.45m</w:t>
                  </w:r>
                  <w:r>
                    <w:rPr>
                      <w:color w:val="auto"/>
                      <w:szCs w:val="20"/>
                      <w:lang w:val="pt-BR"/>
                    </w:rPr>
                    <w:t>×</w:t>
                  </w:r>
                  <w:r>
                    <w:rPr>
                      <w:rFonts w:hint="eastAsia"/>
                      <w:color w:val="auto"/>
                      <w:szCs w:val="20"/>
                      <w:lang w:val="pt-BR"/>
                    </w:rPr>
                    <w:t>2.5</w:t>
                  </w:r>
                  <w:r>
                    <w:rPr>
                      <w:color w:val="auto"/>
                      <w:szCs w:val="20"/>
                      <w:lang w:val="pt-BR"/>
                    </w:rPr>
                    <w:t>m</w:t>
                  </w:r>
                  <w:r>
                    <w:rPr>
                      <w:rFonts w:hint="eastAsia"/>
                      <w:color w:val="auto"/>
                      <w:szCs w:val="20"/>
                      <w:lang w:val="pt-BR"/>
                    </w:rPr>
                    <w:t>，有效容积约为18m</w:t>
                  </w:r>
                  <w:r>
                    <w:rPr>
                      <w:rFonts w:hint="eastAsia"/>
                      <w:color w:val="auto"/>
                      <w:szCs w:val="20"/>
                      <w:vertAlign w:val="superscript"/>
                      <w:lang w:val="pt-BR"/>
                    </w:rPr>
                    <w:t>3</w:t>
                  </w:r>
                  <w:r>
                    <w:rPr>
                      <w:rFonts w:hint="eastAsia"/>
                      <w:color w:val="auto"/>
                      <w:szCs w:val="20"/>
                      <w:lang w:val="pt-BR"/>
                    </w:rPr>
                    <w:t>）及东南角（长宽高为4.43m</w:t>
                  </w:r>
                  <w:r>
                    <w:rPr>
                      <w:color w:val="auto"/>
                      <w:szCs w:val="20"/>
                      <w:lang w:val="pt-BR"/>
                    </w:rPr>
                    <w:t>×</w:t>
                  </w:r>
                  <w:r>
                    <w:rPr>
                      <w:rFonts w:hint="eastAsia"/>
                      <w:color w:val="auto"/>
                      <w:szCs w:val="20"/>
                      <w:lang w:val="pt-BR"/>
                    </w:rPr>
                    <w:t>1.3m</w:t>
                  </w:r>
                  <w:r>
                    <w:rPr>
                      <w:color w:val="auto"/>
                      <w:szCs w:val="20"/>
                      <w:lang w:val="pt-BR"/>
                    </w:rPr>
                    <w:t>×</w:t>
                  </w:r>
                  <w:r>
                    <w:rPr>
                      <w:rFonts w:hint="eastAsia"/>
                      <w:color w:val="auto"/>
                      <w:szCs w:val="20"/>
                      <w:lang w:val="pt-BR"/>
                    </w:rPr>
                    <w:t>1.2</w:t>
                  </w:r>
                  <w:r>
                    <w:rPr>
                      <w:color w:val="auto"/>
                      <w:szCs w:val="20"/>
                      <w:lang w:val="pt-BR"/>
                    </w:rPr>
                    <w:t>m</w:t>
                  </w:r>
                  <w:r>
                    <w:rPr>
                      <w:rFonts w:hint="eastAsia"/>
                      <w:color w:val="auto"/>
                      <w:szCs w:val="20"/>
                      <w:lang w:val="pt-BR"/>
                    </w:rPr>
                    <w:t>，有效容积约为7m</w:t>
                  </w:r>
                  <w:r>
                    <w:rPr>
                      <w:rFonts w:hint="eastAsia"/>
                      <w:color w:val="auto"/>
                      <w:szCs w:val="20"/>
                      <w:vertAlign w:val="superscript"/>
                      <w:lang w:val="pt-BR"/>
                    </w:rPr>
                    <w:t>3</w:t>
                  </w:r>
                  <w:r>
                    <w:rPr>
                      <w:rFonts w:hint="eastAsia"/>
                      <w:color w:val="auto"/>
                      <w:szCs w:val="20"/>
                      <w:lang w:val="pt-BR"/>
                    </w:rPr>
                    <w:t>）</w:t>
                  </w:r>
                </w:p>
              </w:tc>
              <w:tc>
                <w:tcPr>
                  <w:tcW w:w="382" w:type="pct"/>
                  <w:tcBorders>
                    <w:tl2br w:val="nil"/>
                    <w:tr2bl w:val="nil"/>
                  </w:tcBorders>
                  <w:vAlign w:val="center"/>
                </w:tcPr>
                <w:p w14:paraId="576C4B24">
                  <w:pPr>
                    <w:pStyle w:val="65"/>
                    <w:rPr>
                      <w:rFonts w:hint="eastAsia"/>
                      <w:color w:val="auto"/>
                      <w:szCs w:val="20"/>
                    </w:rPr>
                  </w:pPr>
                  <w:r>
                    <w:rPr>
                      <w:rFonts w:hint="eastAsia"/>
                      <w:color w:val="auto"/>
                      <w:szCs w:val="20"/>
                      <w:lang w:val="en-US" w:eastAsia="zh-CN"/>
                    </w:rPr>
                    <w:t>一致</w:t>
                  </w:r>
                </w:p>
              </w:tc>
            </w:tr>
            <w:tr w14:paraId="3AE972F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506FA701">
                  <w:pPr>
                    <w:pStyle w:val="66"/>
                    <w:rPr>
                      <w:color w:val="auto"/>
                      <w:lang w:val="pt-BR"/>
                    </w:rPr>
                  </w:pPr>
                </w:p>
              </w:tc>
              <w:tc>
                <w:tcPr>
                  <w:tcW w:w="317" w:type="pct"/>
                  <w:vMerge w:val="continue"/>
                  <w:tcBorders>
                    <w:tl2br w:val="nil"/>
                    <w:tr2bl w:val="nil"/>
                  </w:tcBorders>
                  <w:vAlign w:val="center"/>
                </w:tcPr>
                <w:p w14:paraId="6666A369">
                  <w:pPr>
                    <w:pStyle w:val="65"/>
                    <w:rPr>
                      <w:color w:val="auto"/>
                      <w:szCs w:val="20"/>
                      <w:lang w:val="pt-BR"/>
                    </w:rPr>
                  </w:pPr>
                </w:p>
              </w:tc>
              <w:tc>
                <w:tcPr>
                  <w:tcW w:w="488" w:type="pct"/>
                  <w:vMerge w:val="continue"/>
                  <w:tcBorders>
                    <w:tl2br w:val="nil"/>
                    <w:tr2bl w:val="nil"/>
                  </w:tcBorders>
                  <w:vAlign w:val="center"/>
                </w:tcPr>
                <w:p w14:paraId="0A97E005">
                  <w:pPr>
                    <w:pStyle w:val="65"/>
                    <w:rPr>
                      <w:color w:val="auto"/>
                      <w:szCs w:val="20"/>
                    </w:rPr>
                  </w:pPr>
                </w:p>
              </w:tc>
              <w:tc>
                <w:tcPr>
                  <w:tcW w:w="356" w:type="pct"/>
                  <w:tcBorders>
                    <w:tl2br w:val="nil"/>
                    <w:tr2bl w:val="nil"/>
                  </w:tcBorders>
                  <w:vAlign w:val="center"/>
                </w:tcPr>
                <w:p w14:paraId="21C2BF44">
                  <w:pPr>
                    <w:pStyle w:val="65"/>
                    <w:rPr>
                      <w:color w:val="auto"/>
                      <w:szCs w:val="20"/>
                    </w:rPr>
                  </w:pPr>
                  <w:r>
                    <w:rPr>
                      <w:rFonts w:hint="eastAsia"/>
                      <w:color w:val="auto"/>
                      <w:szCs w:val="20"/>
                    </w:rPr>
                    <w:t>消防水池</w:t>
                  </w:r>
                </w:p>
              </w:tc>
              <w:tc>
                <w:tcPr>
                  <w:tcW w:w="1250" w:type="pct"/>
                  <w:gridSpan w:val="2"/>
                  <w:tcBorders>
                    <w:tl2br w:val="nil"/>
                    <w:tr2bl w:val="nil"/>
                  </w:tcBorders>
                  <w:vAlign w:val="center"/>
                </w:tcPr>
                <w:p w14:paraId="7F79D05E">
                  <w:pPr>
                    <w:pStyle w:val="65"/>
                    <w:rPr>
                      <w:color w:val="auto"/>
                      <w:szCs w:val="20"/>
                    </w:rPr>
                  </w:pPr>
                  <w:r>
                    <w:rPr>
                      <w:rFonts w:hint="eastAsia"/>
                      <w:color w:val="auto"/>
                      <w:szCs w:val="20"/>
                      <w:lang w:val="pt-BR"/>
                    </w:rPr>
                    <w:t>1座，</w:t>
                  </w:r>
                  <w:r>
                    <w:rPr>
                      <w:color w:val="auto"/>
                      <w:szCs w:val="20"/>
                      <w:lang w:val="pt-BR"/>
                    </w:rPr>
                    <w:t>位于</w:t>
                  </w:r>
                  <w:r>
                    <w:rPr>
                      <w:rFonts w:hint="eastAsia"/>
                      <w:color w:val="auto"/>
                      <w:szCs w:val="20"/>
                      <w:lang w:val="pt-BR"/>
                    </w:rPr>
                    <w:t>厂房东南角，长宽高为6.1m</w:t>
                  </w:r>
                  <w:r>
                    <w:rPr>
                      <w:color w:val="auto"/>
                      <w:szCs w:val="20"/>
                      <w:lang w:val="pt-BR"/>
                    </w:rPr>
                    <w:t>×</w:t>
                  </w:r>
                  <w:r>
                    <w:rPr>
                      <w:rFonts w:hint="eastAsia"/>
                      <w:color w:val="auto"/>
                      <w:szCs w:val="20"/>
                      <w:lang w:val="pt-BR"/>
                    </w:rPr>
                    <w:t>4.25m</w:t>
                  </w:r>
                  <w:r>
                    <w:rPr>
                      <w:color w:val="auto"/>
                      <w:szCs w:val="20"/>
                      <w:lang w:val="pt-BR"/>
                    </w:rPr>
                    <w:t>×</w:t>
                  </w:r>
                  <w:r>
                    <w:rPr>
                      <w:rFonts w:hint="eastAsia"/>
                      <w:color w:val="auto"/>
                      <w:szCs w:val="20"/>
                      <w:lang w:val="pt-BR"/>
                    </w:rPr>
                    <w:t>1.2m，有效容积约为30m</w:t>
                  </w:r>
                  <w:r>
                    <w:rPr>
                      <w:rFonts w:hint="eastAsia"/>
                      <w:color w:val="auto"/>
                      <w:szCs w:val="20"/>
                      <w:vertAlign w:val="superscript"/>
                      <w:lang w:val="pt-BR"/>
                    </w:rPr>
                    <w:t>3</w:t>
                  </w:r>
                  <w:r>
                    <w:rPr>
                      <w:rFonts w:hint="eastAsia"/>
                      <w:color w:val="auto"/>
                      <w:szCs w:val="20"/>
                      <w:lang w:val="pt-BR"/>
                    </w:rPr>
                    <w:t>，并建有消防栓</w:t>
                  </w:r>
                </w:p>
              </w:tc>
              <w:tc>
                <w:tcPr>
                  <w:tcW w:w="354" w:type="pct"/>
                  <w:tcBorders>
                    <w:tl2br w:val="nil"/>
                    <w:tr2bl w:val="nil"/>
                  </w:tcBorders>
                  <w:shd w:val="clear" w:color="auto" w:fill="auto"/>
                  <w:vAlign w:val="center"/>
                </w:tcPr>
                <w:p w14:paraId="7F3B9AF5">
                  <w:pPr>
                    <w:pStyle w:val="65"/>
                    <w:rPr>
                      <w:rFonts w:ascii="Times New Roman" w:hAnsi="Times New Roman" w:eastAsia="宋体" w:cs="Times New Roman"/>
                      <w:bCs/>
                      <w:color w:val="auto"/>
                      <w:sz w:val="21"/>
                      <w:szCs w:val="20"/>
                      <w:lang w:val="en-US" w:eastAsia="zh-CN" w:bidi="ar-SA"/>
                    </w:rPr>
                  </w:pPr>
                  <w:r>
                    <w:rPr>
                      <w:rFonts w:hint="eastAsia"/>
                      <w:color w:val="auto"/>
                      <w:szCs w:val="20"/>
                    </w:rPr>
                    <w:t>消防水池</w:t>
                  </w:r>
                </w:p>
              </w:tc>
              <w:tc>
                <w:tcPr>
                  <w:tcW w:w="1670" w:type="pct"/>
                  <w:gridSpan w:val="2"/>
                  <w:tcBorders>
                    <w:tl2br w:val="nil"/>
                    <w:tr2bl w:val="nil"/>
                  </w:tcBorders>
                  <w:shd w:val="clear" w:color="auto" w:fill="auto"/>
                  <w:vAlign w:val="center"/>
                </w:tcPr>
                <w:p w14:paraId="54C2F1E4">
                  <w:pPr>
                    <w:pStyle w:val="65"/>
                    <w:rPr>
                      <w:rFonts w:hint="eastAsia"/>
                      <w:color w:val="auto"/>
                      <w:szCs w:val="20"/>
                      <w:lang w:val="pt-BR"/>
                    </w:rPr>
                  </w:pPr>
                  <w:r>
                    <w:rPr>
                      <w:rFonts w:hint="eastAsia"/>
                      <w:color w:val="auto"/>
                      <w:szCs w:val="20"/>
                      <w:lang w:val="pt-BR"/>
                    </w:rPr>
                    <w:t>1座，</w:t>
                  </w:r>
                  <w:r>
                    <w:rPr>
                      <w:color w:val="auto"/>
                      <w:szCs w:val="20"/>
                      <w:lang w:val="pt-BR"/>
                    </w:rPr>
                    <w:t>位于</w:t>
                  </w:r>
                  <w:r>
                    <w:rPr>
                      <w:rFonts w:hint="eastAsia"/>
                      <w:color w:val="auto"/>
                      <w:szCs w:val="20"/>
                      <w:lang w:val="pt-BR"/>
                    </w:rPr>
                    <w:t>厂房东南角，长宽高为6.1m</w:t>
                  </w:r>
                  <w:r>
                    <w:rPr>
                      <w:color w:val="auto"/>
                      <w:szCs w:val="20"/>
                      <w:lang w:val="pt-BR"/>
                    </w:rPr>
                    <w:t>×</w:t>
                  </w:r>
                  <w:r>
                    <w:rPr>
                      <w:rFonts w:hint="eastAsia"/>
                      <w:color w:val="auto"/>
                      <w:szCs w:val="20"/>
                      <w:lang w:val="pt-BR"/>
                    </w:rPr>
                    <w:t>4.25m</w:t>
                  </w:r>
                  <w:r>
                    <w:rPr>
                      <w:color w:val="auto"/>
                      <w:szCs w:val="20"/>
                      <w:lang w:val="pt-BR"/>
                    </w:rPr>
                    <w:t>×</w:t>
                  </w:r>
                  <w:r>
                    <w:rPr>
                      <w:rFonts w:hint="eastAsia"/>
                      <w:color w:val="auto"/>
                      <w:szCs w:val="20"/>
                      <w:lang w:val="pt-BR"/>
                    </w:rPr>
                    <w:t>1.2m，有效容积约为30m</w:t>
                  </w:r>
                  <w:r>
                    <w:rPr>
                      <w:rFonts w:hint="eastAsia"/>
                      <w:color w:val="auto"/>
                      <w:szCs w:val="20"/>
                      <w:vertAlign w:val="superscript"/>
                      <w:lang w:val="pt-BR"/>
                    </w:rPr>
                    <w:t>3</w:t>
                  </w:r>
                  <w:r>
                    <w:rPr>
                      <w:rFonts w:hint="eastAsia"/>
                      <w:color w:val="auto"/>
                      <w:szCs w:val="20"/>
                      <w:lang w:val="pt-BR"/>
                    </w:rPr>
                    <w:t>，并建有消防栓</w:t>
                  </w:r>
                </w:p>
              </w:tc>
              <w:tc>
                <w:tcPr>
                  <w:tcW w:w="382" w:type="pct"/>
                  <w:tcBorders>
                    <w:tl2br w:val="nil"/>
                    <w:tr2bl w:val="nil"/>
                  </w:tcBorders>
                  <w:vAlign w:val="center"/>
                </w:tcPr>
                <w:p w14:paraId="4F9DC266">
                  <w:pPr>
                    <w:pStyle w:val="65"/>
                    <w:rPr>
                      <w:rFonts w:hint="eastAsia"/>
                      <w:color w:val="auto"/>
                      <w:szCs w:val="20"/>
                    </w:rPr>
                  </w:pPr>
                  <w:r>
                    <w:rPr>
                      <w:rFonts w:hint="eastAsia"/>
                      <w:color w:val="auto"/>
                      <w:szCs w:val="20"/>
                      <w:lang w:val="en-US" w:eastAsia="zh-CN"/>
                    </w:rPr>
                    <w:t>一致</w:t>
                  </w:r>
                </w:p>
              </w:tc>
            </w:tr>
            <w:tr w14:paraId="424C808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restart"/>
                  <w:tcBorders>
                    <w:tl2br w:val="nil"/>
                    <w:tr2bl w:val="nil"/>
                  </w:tcBorders>
                  <w:vAlign w:val="center"/>
                </w:tcPr>
                <w:p w14:paraId="2AD49C1B">
                  <w:pPr>
                    <w:pStyle w:val="66"/>
                    <w:rPr>
                      <w:color w:val="auto"/>
                      <w:lang w:val="pt-BR"/>
                    </w:rPr>
                  </w:pPr>
                </w:p>
              </w:tc>
              <w:tc>
                <w:tcPr>
                  <w:tcW w:w="317" w:type="pct"/>
                  <w:vMerge w:val="restart"/>
                  <w:tcBorders>
                    <w:tl2br w:val="nil"/>
                    <w:tr2bl w:val="nil"/>
                  </w:tcBorders>
                  <w:vAlign w:val="center"/>
                </w:tcPr>
                <w:p w14:paraId="3975764D">
                  <w:pPr>
                    <w:pStyle w:val="65"/>
                    <w:rPr>
                      <w:color w:val="auto"/>
                      <w:szCs w:val="20"/>
                      <w:lang w:val="pt-BR"/>
                    </w:rPr>
                  </w:pPr>
                  <w:r>
                    <w:rPr>
                      <w:color w:val="auto"/>
                      <w:szCs w:val="20"/>
                      <w:lang w:val="pt-BR"/>
                    </w:rPr>
                    <w:t>公用工程</w:t>
                  </w:r>
                </w:p>
              </w:tc>
              <w:tc>
                <w:tcPr>
                  <w:tcW w:w="488" w:type="pct"/>
                  <w:tcBorders>
                    <w:tl2br w:val="nil"/>
                    <w:tr2bl w:val="nil"/>
                  </w:tcBorders>
                  <w:vAlign w:val="center"/>
                </w:tcPr>
                <w:p w14:paraId="6A482E2E">
                  <w:pPr>
                    <w:pStyle w:val="65"/>
                    <w:rPr>
                      <w:color w:val="auto"/>
                      <w:szCs w:val="20"/>
                      <w:lang w:val="pt-BR"/>
                    </w:rPr>
                  </w:pPr>
                  <w:r>
                    <w:rPr>
                      <w:color w:val="auto"/>
                      <w:szCs w:val="20"/>
                      <w:lang w:val="pt-BR"/>
                    </w:rPr>
                    <w:t>水</w:t>
                  </w:r>
                </w:p>
              </w:tc>
              <w:tc>
                <w:tcPr>
                  <w:tcW w:w="1606" w:type="pct"/>
                  <w:gridSpan w:val="3"/>
                  <w:tcBorders>
                    <w:tl2br w:val="nil"/>
                    <w:tr2bl w:val="nil"/>
                  </w:tcBorders>
                  <w:vAlign w:val="center"/>
                </w:tcPr>
                <w:p w14:paraId="6E207C1D">
                  <w:pPr>
                    <w:pStyle w:val="65"/>
                    <w:rPr>
                      <w:color w:val="auto"/>
                      <w:szCs w:val="20"/>
                    </w:rPr>
                  </w:pPr>
                  <w:r>
                    <w:rPr>
                      <w:rFonts w:hint="eastAsia"/>
                      <w:color w:val="auto"/>
                      <w:szCs w:val="20"/>
                    </w:rPr>
                    <w:t>管网集中供水</w:t>
                  </w:r>
                </w:p>
              </w:tc>
              <w:tc>
                <w:tcPr>
                  <w:tcW w:w="2024" w:type="pct"/>
                  <w:gridSpan w:val="3"/>
                  <w:tcBorders>
                    <w:tl2br w:val="nil"/>
                    <w:tr2bl w:val="nil"/>
                  </w:tcBorders>
                  <w:shd w:val="clear" w:color="auto" w:fill="auto"/>
                  <w:vAlign w:val="center"/>
                </w:tcPr>
                <w:p w14:paraId="6F4669D4">
                  <w:pPr>
                    <w:pStyle w:val="65"/>
                    <w:rPr>
                      <w:rFonts w:ascii="Times New Roman" w:hAnsi="Times New Roman" w:eastAsia="宋体" w:cs="Times New Roman"/>
                      <w:bCs/>
                      <w:color w:val="auto"/>
                      <w:sz w:val="21"/>
                      <w:szCs w:val="20"/>
                      <w:lang w:val="pt-BR" w:eastAsia="zh-CN" w:bidi="ar-SA"/>
                    </w:rPr>
                  </w:pPr>
                  <w:r>
                    <w:rPr>
                      <w:rFonts w:hint="eastAsia"/>
                      <w:color w:val="auto"/>
                      <w:szCs w:val="20"/>
                    </w:rPr>
                    <w:t>管网集中供水</w:t>
                  </w:r>
                </w:p>
              </w:tc>
              <w:tc>
                <w:tcPr>
                  <w:tcW w:w="382" w:type="pct"/>
                  <w:tcBorders>
                    <w:tl2br w:val="nil"/>
                    <w:tr2bl w:val="nil"/>
                  </w:tcBorders>
                  <w:vAlign w:val="center"/>
                </w:tcPr>
                <w:p w14:paraId="3F54A460">
                  <w:pPr>
                    <w:pStyle w:val="65"/>
                    <w:rPr>
                      <w:rFonts w:hint="eastAsia"/>
                      <w:color w:val="auto"/>
                      <w:szCs w:val="20"/>
                    </w:rPr>
                  </w:pPr>
                  <w:r>
                    <w:rPr>
                      <w:rFonts w:hint="eastAsia"/>
                      <w:color w:val="auto"/>
                      <w:szCs w:val="20"/>
                      <w:lang w:val="en-US" w:eastAsia="zh-CN"/>
                    </w:rPr>
                    <w:t>一致</w:t>
                  </w:r>
                </w:p>
              </w:tc>
            </w:tr>
            <w:tr w14:paraId="43D5FEA4">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9" w:type="pct"/>
                  <w:vMerge w:val="continue"/>
                  <w:tcBorders>
                    <w:tl2br w:val="nil"/>
                    <w:tr2bl w:val="nil"/>
                  </w:tcBorders>
                  <w:vAlign w:val="center"/>
                </w:tcPr>
                <w:p w14:paraId="51332EC7">
                  <w:pPr>
                    <w:pStyle w:val="65"/>
                    <w:rPr>
                      <w:color w:val="auto"/>
                      <w:szCs w:val="20"/>
                      <w:lang w:val="pt-BR"/>
                    </w:rPr>
                  </w:pPr>
                </w:p>
              </w:tc>
              <w:tc>
                <w:tcPr>
                  <w:tcW w:w="317" w:type="pct"/>
                  <w:vMerge w:val="continue"/>
                  <w:tcBorders>
                    <w:tl2br w:val="nil"/>
                    <w:tr2bl w:val="nil"/>
                  </w:tcBorders>
                  <w:vAlign w:val="center"/>
                </w:tcPr>
                <w:p w14:paraId="339672EB">
                  <w:pPr>
                    <w:pStyle w:val="65"/>
                    <w:rPr>
                      <w:color w:val="auto"/>
                      <w:szCs w:val="20"/>
                      <w:lang w:val="pt-BR"/>
                    </w:rPr>
                  </w:pPr>
                </w:p>
              </w:tc>
              <w:tc>
                <w:tcPr>
                  <w:tcW w:w="488" w:type="pct"/>
                  <w:tcBorders>
                    <w:tl2br w:val="nil"/>
                    <w:tr2bl w:val="nil"/>
                  </w:tcBorders>
                  <w:vAlign w:val="center"/>
                </w:tcPr>
                <w:p w14:paraId="2DC3670E">
                  <w:pPr>
                    <w:pStyle w:val="65"/>
                    <w:rPr>
                      <w:color w:val="auto"/>
                      <w:szCs w:val="20"/>
                      <w:lang w:val="pt-BR"/>
                    </w:rPr>
                  </w:pPr>
                  <w:r>
                    <w:rPr>
                      <w:color w:val="auto"/>
                      <w:szCs w:val="20"/>
                      <w:lang w:val="pt-BR"/>
                    </w:rPr>
                    <w:t>电</w:t>
                  </w:r>
                </w:p>
              </w:tc>
              <w:tc>
                <w:tcPr>
                  <w:tcW w:w="1606" w:type="pct"/>
                  <w:gridSpan w:val="3"/>
                  <w:tcBorders>
                    <w:tl2br w:val="nil"/>
                    <w:tr2bl w:val="nil"/>
                  </w:tcBorders>
                  <w:vAlign w:val="center"/>
                </w:tcPr>
                <w:p w14:paraId="3C555B14">
                  <w:pPr>
                    <w:pStyle w:val="65"/>
                    <w:rPr>
                      <w:color w:val="auto"/>
                      <w:szCs w:val="20"/>
                    </w:rPr>
                  </w:pPr>
                  <w:r>
                    <w:rPr>
                      <w:rFonts w:hint="eastAsia"/>
                      <w:color w:val="auto"/>
                      <w:szCs w:val="20"/>
                    </w:rPr>
                    <w:t>国家电网供给</w:t>
                  </w:r>
                </w:p>
              </w:tc>
              <w:tc>
                <w:tcPr>
                  <w:tcW w:w="2024" w:type="pct"/>
                  <w:gridSpan w:val="3"/>
                  <w:tcBorders>
                    <w:tl2br w:val="nil"/>
                    <w:tr2bl w:val="nil"/>
                  </w:tcBorders>
                  <w:shd w:val="clear" w:color="auto" w:fill="auto"/>
                  <w:vAlign w:val="center"/>
                </w:tcPr>
                <w:p w14:paraId="3193E3AF">
                  <w:pPr>
                    <w:pStyle w:val="65"/>
                    <w:rPr>
                      <w:rFonts w:ascii="Times New Roman" w:hAnsi="Times New Roman" w:eastAsia="宋体" w:cs="Times New Roman"/>
                      <w:bCs/>
                      <w:color w:val="auto"/>
                      <w:sz w:val="21"/>
                      <w:szCs w:val="20"/>
                      <w:lang w:val="en-US" w:eastAsia="zh-CN" w:bidi="ar-SA"/>
                    </w:rPr>
                  </w:pPr>
                  <w:r>
                    <w:rPr>
                      <w:rFonts w:hint="eastAsia"/>
                      <w:color w:val="auto"/>
                      <w:szCs w:val="20"/>
                    </w:rPr>
                    <w:t>国家电网供给</w:t>
                  </w:r>
                </w:p>
              </w:tc>
              <w:tc>
                <w:tcPr>
                  <w:tcW w:w="382" w:type="pct"/>
                  <w:tcBorders>
                    <w:tl2br w:val="nil"/>
                    <w:tr2bl w:val="nil"/>
                  </w:tcBorders>
                  <w:vAlign w:val="center"/>
                </w:tcPr>
                <w:p w14:paraId="42DA7752">
                  <w:pPr>
                    <w:pStyle w:val="65"/>
                    <w:rPr>
                      <w:rFonts w:hint="eastAsia"/>
                      <w:color w:val="auto"/>
                      <w:szCs w:val="20"/>
                    </w:rPr>
                  </w:pPr>
                  <w:r>
                    <w:rPr>
                      <w:rFonts w:hint="eastAsia"/>
                      <w:color w:val="auto"/>
                      <w:szCs w:val="20"/>
                      <w:lang w:val="en-US" w:eastAsia="zh-CN"/>
                    </w:rPr>
                    <w:t>一致</w:t>
                  </w:r>
                </w:p>
              </w:tc>
            </w:tr>
          </w:tbl>
          <w:p w14:paraId="51BBCCD0">
            <w:pPr>
              <w:spacing w:after="0" w:line="520" w:lineRule="exact"/>
              <w:ind w:firstLine="482" w:firstLineChars="200"/>
              <w:rPr>
                <w:rFonts w:eastAsia="宋体"/>
                <w:b/>
                <w:bCs/>
                <w:color w:val="auto"/>
                <w:kern w:val="2"/>
                <w:sz w:val="24"/>
                <w:szCs w:val="20"/>
              </w:rPr>
            </w:pPr>
            <w:r>
              <w:rPr>
                <w:rFonts w:eastAsia="宋体"/>
                <w:b/>
                <w:bCs/>
                <w:color w:val="auto"/>
                <w:kern w:val="2"/>
                <w:sz w:val="24"/>
                <w:szCs w:val="20"/>
              </w:rPr>
              <w:t>4、工程主要设备</w:t>
            </w:r>
          </w:p>
          <w:p w14:paraId="155C34FE">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项目设备一览表</w:t>
            </w:r>
          </w:p>
          <w:tbl>
            <w:tblPr>
              <w:tblStyle w:val="20"/>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35"/>
              <w:gridCol w:w="1638"/>
              <w:gridCol w:w="1562"/>
              <w:gridCol w:w="1564"/>
              <w:gridCol w:w="1562"/>
              <w:gridCol w:w="1483"/>
              <w:gridCol w:w="723"/>
            </w:tblGrid>
            <w:tr w14:paraId="334675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Merge w:val="restart"/>
                  <w:vAlign w:val="center"/>
                </w:tcPr>
                <w:p w14:paraId="7CA6FF29">
                  <w:pPr>
                    <w:pStyle w:val="65"/>
                    <w:bidi w:val="0"/>
                    <w:rPr>
                      <w:rFonts w:hint="eastAsia"/>
                      <w:b/>
                      <w:bCs w:val="0"/>
                      <w:color w:val="auto"/>
                      <w:lang w:val="pt-BR" w:eastAsia="zh-CN"/>
                    </w:rPr>
                  </w:pPr>
                  <w:r>
                    <w:rPr>
                      <w:rFonts w:hint="eastAsia"/>
                      <w:b/>
                      <w:bCs w:val="0"/>
                      <w:color w:val="auto"/>
                      <w:lang w:val="pt-BR" w:eastAsia="zh-CN"/>
                    </w:rPr>
                    <w:t>序号</w:t>
                  </w:r>
                </w:p>
              </w:tc>
              <w:tc>
                <w:tcPr>
                  <w:tcW w:w="903" w:type="pct"/>
                  <w:vMerge w:val="restart"/>
                  <w:vAlign w:val="center"/>
                </w:tcPr>
                <w:p w14:paraId="0D77E1F5">
                  <w:pPr>
                    <w:pStyle w:val="65"/>
                    <w:bidi w:val="0"/>
                    <w:rPr>
                      <w:rFonts w:hint="eastAsia"/>
                      <w:b/>
                      <w:bCs w:val="0"/>
                      <w:color w:val="auto"/>
                      <w:lang w:val="pt-BR" w:eastAsia="zh-CN"/>
                    </w:rPr>
                  </w:pPr>
                  <w:r>
                    <w:rPr>
                      <w:rFonts w:hint="eastAsia"/>
                      <w:b/>
                      <w:bCs w:val="0"/>
                      <w:color w:val="auto"/>
                      <w:lang w:val="pt-BR" w:eastAsia="zh-CN"/>
                    </w:rPr>
                    <w:t>设备名称</w:t>
                  </w:r>
                </w:p>
              </w:tc>
              <w:tc>
                <w:tcPr>
                  <w:tcW w:w="1723" w:type="pct"/>
                  <w:gridSpan w:val="2"/>
                  <w:vAlign w:val="center"/>
                </w:tcPr>
                <w:p w14:paraId="44D524E8">
                  <w:pPr>
                    <w:pStyle w:val="65"/>
                    <w:rPr>
                      <w:rFonts w:hint="eastAsia"/>
                      <w:b/>
                      <w:bCs w:val="0"/>
                      <w:color w:val="auto"/>
                      <w:lang w:val="pt-BR" w:eastAsia="zh-CN"/>
                    </w:rPr>
                  </w:pPr>
                  <w:r>
                    <w:rPr>
                      <w:rFonts w:hint="eastAsia" w:hAnsiTheme="majorEastAsia" w:eastAsiaTheme="majorEastAsia"/>
                      <w:b/>
                      <w:bCs w:val="0"/>
                      <w:color w:val="auto"/>
                      <w:kern w:val="36"/>
                      <w:sz w:val="21"/>
                      <w:szCs w:val="21"/>
                      <w:lang w:val="en-US" w:eastAsia="zh-CN"/>
                    </w:rPr>
                    <w:t>环评及批复内容</w:t>
                  </w:r>
                </w:p>
              </w:tc>
              <w:tc>
                <w:tcPr>
                  <w:tcW w:w="1678" w:type="pct"/>
                  <w:gridSpan w:val="2"/>
                  <w:vAlign w:val="center"/>
                </w:tcPr>
                <w:p w14:paraId="3113F44D">
                  <w:pPr>
                    <w:pStyle w:val="65"/>
                    <w:rPr>
                      <w:rFonts w:hint="eastAsia"/>
                      <w:b/>
                      <w:bCs w:val="0"/>
                      <w:color w:val="auto"/>
                      <w:lang w:val="pt-BR" w:eastAsia="zh-CN"/>
                    </w:rPr>
                  </w:pPr>
                  <w:r>
                    <w:rPr>
                      <w:rFonts w:hAnsiTheme="minorEastAsia" w:eastAsiaTheme="minorEastAsia"/>
                      <w:b/>
                      <w:color w:val="auto"/>
                      <w:szCs w:val="21"/>
                    </w:rPr>
                    <w:t>实际建设内容</w:t>
                  </w:r>
                </w:p>
              </w:tc>
              <w:tc>
                <w:tcPr>
                  <w:tcW w:w="398" w:type="pct"/>
                  <w:vMerge w:val="restart"/>
                  <w:vAlign w:val="center"/>
                </w:tcPr>
                <w:p w14:paraId="4F456C1D">
                  <w:pPr>
                    <w:pStyle w:val="65"/>
                    <w:rPr>
                      <w:rFonts w:hint="eastAsia"/>
                      <w:b/>
                      <w:bCs w:val="0"/>
                      <w:color w:val="auto"/>
                      <w:lang w:val="pt-BR" w:eastAsia="zh-CN"/>
                    </w:rPr>
                  </w:pPr>
                  <w:r>
                    <w:rPr>
                      <w:rFonts w:hAnsiTheme="majorEastAsia" w:eastAsiaTheme="majorEastAsia"/>
                      <w:b/>
                      <w:bCs w:val="0"/>
                      <w:color w:val="auto"/>
                      <w:kern w:val="36"/>
                      <w:sz w:val="21"/>
                      <w:szCs w:val="21"/>
                      <w:lang w:val="pt-BR"/>
                    </w:rPr>
                    <w:t>备注</w:t>
                  </w:r>
                </w:p>
              </w:tc>
            </w:tr>
            <w:tr w14:paraId="1D0B623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Merge w:val="continue"/>
                  <w:vAlign w:val="center"/>
                </w:tcPr>
                <w:p w14:paraId="5EE606C1">
                  <w:pPr>
                    <w:pStyle w:val="65"/>
                    <w:bidi w:val="0"/>
                    <w:rPr>
                      <w:rFonts w:hint="eastAsia"/>
                      <w:b/>
                      <w:bCs w:val="0"/>
                      <w:color w:val="auto"/>
                      <w:lang w:val="pt-BR" w:eastAsia="zh-CN"/>
                    </w:rPr>
                  </w:pPr>
                </w:p>
              </w:tc>
              <w:tc>
                <w:tcPr>
                  <w:tcW w:w="903" w:type="pct"/>
                  <w:vMerge w:val="continue"/>
                  <w:vAlign w:val="center"/>
                </w:tcPr>
                <w:p w14:paraId="399E0E07">
                  <w:pPr>
                    <w:pStyle w:val="65"/>
                    <w:bidi w:val="0"/>
                    <w:rPr>
                      <w:rFonts w:hint="eastAsia"/>
                      <w:b/>
                      <w:bCs w:val="0"/>
                      <w:color w:val="auto"/>
                      <w:lang w:val="pt-BR" w:eastAsia="zh-CN"/>
                    </w:rPr>
                  </w:pPr>
                </w:p>
              </w:tc>
              <w:tc>
                <w:tcPr>
                  <w:tcW w:w="861" w:type="pct"/>
                  <w:vAlign w:val="center"/>
                </w:tcPr>
                <w:p w14:paraId="7F8CFC4E">
                  <w:pPr>
                    <w:pStyle w:val="65"/>
                    <w:bidi w:val="0"/>
                    <w:rPr>
                      <w:rFonts w:hint="eastAsia"/>
                      <w:b/>
                      <w:bCs w:val="0"/>
                      <w:color w:val="auto"/>
                      <w:lang w:val="pt-BR" w:eastAsia="zh-CN"/>
                    </w:rPr>
                  </w:pPr>
                  <w:r>
                    <w:rPr>
                      <w:rFonts w:hint="eastAsia"/>
                      <w:b/>
                      <w:bCs w:val="0"/>
                      <w:color w:val="auto"/>
                      <w:lang w:val="pt-BR" w:eastAsia="zh-CN"/>
                    </w:rPr>
                    <w:t>型号/参数</w:t>
                  </w:r>
                </w:p>
              </w:tc>
              <w:tc>
                <w:tcPr>
                  <w:tcW w:w="862" w:type="pct"/>
                  <w:vAlign w:val="center"/>
                </w:tcPr>
                <w:p w14:paraId="5EB82D67">
                  <w:pPr>
                    <w:pStyle w:val="65"/>
                    <w:bidi w:val="0"/>
                    <w:rPr>
                      <w:rFonts w:hint="eastAsia"/>
                      <w:b/>
                      <w:bCs w:val="0"/>
                      <w:color w:val="auto"/>
                      <w:lang w:val="pt-BR" w:eastAsia="zh-CN"/>
                    </w:rPr>
                  </w:pPr>
                  <w:r>
                    <w:rPr>
                      <w:rFonts w:hint="eastAsia"/>
                      <w:b/>
                      <w:bCs w:val="0"/>
                      <w:color w:val="auto"/>
                      <w:lang w:val="pt-BR" w:eastAsia="zh-CN"/>
                    </w:rPr>
                    <w:t>数量</w:t>
                  </w:r>
                </w:p>
              </w:tc>
              <w:tc>
                <w:tcPr>
                  <w:tcW w:w="861" w:type="pct"/>
                  <w:vAlign w:val="center"/>
                </w:tcPr>
                <w:p w14:paraId="5AB2A601">
                  <w:pPr>
                    <w:pStyle w:val="65"/>
                    <w:bidi w:val="0"/>
                    <w:rPr>
                      <w:rFonts w:hint="eastAsia"/>
                      <w:b/>
                      <w:bCs w:val="0"/>
                      <w:color w:val="auto"/>
                      <w:lang w:val="pt-BR" w:eastAsia="zh-CN"/>
                    </w:rPr>
                  </w:pPr>
                  <w:r>
                    <w:rPr>
                      <w:rFonts w:hint="eastAsia"/>
                      <w:b/>
                      <w:bCs w:val="0"/>
                      <w:color w:val="auto"/>
                      <w:lang w:val="pt-BR" w:eastAsia="zh-CN"/>
                    </w:rPr>
                    <w:t>型号/参数</w:t>
                  </w:r>
                </w:p>
              </w:tc>
              <w:tc>
                <w:tcPr>
                  <w:tcW w:w="817" w:type="pct"/>
                  <w:vAlign w:val="center"/>
                </w:tcPr>
                <w:p w14:paraId="398DA605">
                  <w:pPr>
                    <w:pStyle w:val="65"/>
                    <w:bidi w:val="0"/>
                    <w:rPr>
                      <w:rFonts w:hint="eastAsia"/>
                      <w:b/>
                      <w:bCs w:val="0"/>
                      <w:color w:val="auto"/>
                      <w:lang w:val="pt-BR" w:eastAsia="zh-CN"/>
                    </w:rPr>
                  </w:pPr>
                  <w:r>
                    <w:rPr>
                      <w:rFonts w:hint="eastAsia"/>
                      <w:b/>
                      <w:bCs w:val="0"/>
                      <w:color w:val="auto"/>
                      <w:lang w:val="pt-BR" w:eastAsia="zh-CN"/>
                    </w:rPr>
                    <w:t>数量</w:t>
                  </w:r>
                </w:p>
              </w:tc>
              <w:tc>
                <w:tcPr>
                  <w:tcW w:w="398" w:type="pct"/>
                  <w:vMerge w:val="continue"/>
                  <w:vAlign w:val="center"/>
                </w:tcPr>
                <w:p w14:paraId="4BA877A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b/>
                      <w:bCs w:val="0"/>
                      <w:color w:val="auto"/>
                      <w:lang w:val="pt-BR" w:eastAsia="zh-CN"/>
                    </w:rPr>
                  </w:pPr>
                </w:p>
              </w:tc>
            </w:tr>
            <w:tr w14:paraId="68ECD15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06" w:hRule="atLeast"/>
                <w:jc w:val="center"/>
              </w:trPr>
              <w:tc>
                <w:tcPr>
                  <w:tcW w:w="295" w:type="pct"/>
                  <w:vAlign w:val="center"/>
                </w:tcPr>
                <w:p w14:paraId="23BBA108">
                  <w:pPr>
                    <w:pStyle w:val="65"/>
                    <w:bidi w:val="0"/>
                    <w:rPr>
                      <w:rFonts w:hint="eastAsia"/>
                      <w:color w:val="auto"/>
                      <w:lang w:val="en-US" w:eastAsia="zh-CN"/>
                    </w:rPr>
                  </w:pPr>
                  <w:r>
                    <w:rPr>
                      <w:rFonts w:hint="eastAsia"/>
                      <w:color w:val="auto"/>
                      <w:lang w:val="en-US" w:eastAsia="zh-CN"/>
                    </w:rPr>
                    <w:t>1</w:t>
                  </w:r>
                </w:p>
              </w:tc>
              <w:tc>
                <w:tcPr>
                  <w:tcW w:w="903" w:type="pct"/>
                  <w:shd w:val="clear" w:color="auto" w:fill="auto"/>
                  <w:vAlign w:val="center"/>
                </w:tcPr>
                <w:p w14:paraId="701D6507">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行吊</w:t>
                  </w:r>
                </w:p>
              </w:tc>
              <w:tc>
                <w:tcPr>
                  <w:tcW w:w="861" w:type="pct"/>
                  <w:shd w:val="clear" w:color="auto" w:fill="auto"/>
                  <w:vAlign w:val="center"/>
                </w:tcPr>
                <w:p w14:paraId="32B9B56E">
                  <w:pPr>
                    <w:pStyle w:val="65"/>
                    <w:rPr>
                      <w:rFonts w:hint="eastAsia" w:ascii="Times New Roman" w:hAnsi="Times New Roman" w:eastAsia="宋体" w:cs="Times New Roman"/>
                      <w:bCs/>
                      <w:color w:val="auto"/>
                      <w:sz w:val="21"/>
                      <w:lang w:val="en-US" w:eastAsia="zh-CN" w:bidi="ar-SA"/>
                    </w:rPr>
                  </w:pPr>
                  <w:r>
                    <w:rPr>
                      <w:rFonts w:hint="eastAsia"/>
                      <w:color w:val="auto"/>
                    </w:rPr>
                    <w:t>2T</w:t>
                  </w:r>
                </w:p>
              </w:tc>
              <w:tc>
                <w:tcPr>
                  <w:tcW w:w="862" w:type="pct"/>
                  <w:shd w:val="clear" w:color="auto" w:fill="auto"/>
                  <w:vAlign w:val="center"/>
                </w:tcPr>
                <w:p w14:paraId="1972086B">
                  <w:pPr>
                    <w:pStyle w:val="65"/>
                    <w:rPr>
                      <w:rFonts w:hint="eastAsia" w:ascii="Times New Roman" w:hAnsi="Times New Roman" w:eastAsia="宋体" w:cs="Times New Roman"/>
                      <w:bCs/>
                      <w:color w:val="auto"/>
                      <w:sz w:val="21"/>
                      <w:szCs w:val="20"/>
                      <w:lang w:val="pt-BR" w:eastAsia="zh-CN" w:bidi="ar-SA"/>
                    </w:rPr>
                  </w:pPr>
                  <w:r>
                    <w:rPr>
                      <w:rFonts w:hint="eastAsia"/>
                      <w:color w:val="auto"/>
                      <w:szCs w:val="20"/>
                    </w:rPr>
                    <w:t>1个</w:t>
                  </w:r>
                </w:p>
              </w:tc>
              <w:tc>
                <w:tcPr>
                  <w:tcW w:w="861" w:type="pct"/>
                  <w:shd w:val="clear" w:color="auto" w:fill="auto"/>
                  <w:vAlign w:val="center"/>
                </w:tcPr>
                <w:p w14:paraId="46B9A0FA">
                  <w:pPr>
                    <w:pStyle w:val="65"/>
                    <w:rPr>
                      <w:rFonts w:hint="eastAsia" w:ascii="Times New Roman" w:hAnsi="Times New Roman" w:eastAsia="宋体" w:cs="Times New Roman"/>
                      <w:bCs/>
                      <w:color w:val="auto"/>
                      <w:sz w:val="21"/>
                      <w:lang w:val="pt-BR" w:eastAsia="zh-CN" w:bidi="ar-SA"/>
                    </w:rPr>
                  </w:pPr>
                  <w:r>
                    <w:rPr>
                      <w:rFonts w:hint="eastAsia"/>
                      <w:color w:val="auto"/>
                    </w:rPr>
                    <w:t>2T</w:t>
                  </w:r>
                </w:p>
              </w:tc>
              <w:tc>
                <w:tcPr>
                  <w:tcW w:w="817" w:type="pct"/>
                  <w:shd w:val="clear" w:color="auto" w:fill="auto"/>
                  <w:vAlign w:val="center"/>
                </w:tcPr>
                <w:p w14:paraId="085CA799">
                  <w:pPr>
                    <w:pStyle w:val="65"/>
                    <w:rPr>
                      <w:rFonts w:hint="eastAsia" w:ascii="Times New Roman" w:hAnsi="Times New Roman" w:eastAsia="宋体" w:cs="Times New Roman"/>
                      <w:bCs/>
                      <w:color w:val="auto"/>
                      <w:sz w:val="21"/>
                      <w:szCs w:val="20"/>
                      <w:lang w:val="pt-BR" w:eastAsia="zh-CN" w:bidi="ar-SA"/>
                    </w:rPr>
                  </w:pPr>
                  <w:r>
                    <w:rPr>
                      <w:rFonts w:hint="eastAsia"/>
                      <w:color w:val="auto"/>
                      <w:szCs w:val="20"/>
                    </w:rPr>
                    <w:t>1个</w:t>
                  </w:r>
                </w:p>
              </w:tc>
              <w:tc>
                <w:tcPr>
                  <w:tcW w:w="398" w:type="pct"/>
                  <w:vAlign w:val="center"/>
                </w:tcPr>
                <w:p w14:paraId="60F9653B">
                  <w:pPr>
                    <w:pStyle w:val="65"/>
                    <w:bidi w:val="0"/>
                    <w:rPr>
                      <w:rFonts w:hint="eastAsia"/>
                      <w:color w:val="auto"/>
                      <w:lang w:val="pt-BR" w:eastAsia="zh-CN"/>
                    </w:rPr>
                  </w:pPr>
                  <w:r>
                    <w:rPr>
                      <w:rFonts w:eastAsia="宋体"/>
                      <w:color w:val="auto"/>
                      <w:sz w:val="21"/>
                      <w:szCs w:val="21"/>
                    </w:rPr>
                    <w:t>一致</w:t>
                  </w:r>
                </w:p>
              </w:tc>
            </w:tr>
            <w:tr w14:paraId="4C7635F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Align w:val="center"/>
                </w:tcPr>
                <w:p w14:paraId="4D23E037">
                  <w:pPr>
                    <w:pStyle w:val="65"/>
                    <w:bidi w:val="0"/>
                    <w:rPr>
                      <w:rFonts w:hint="eastAsia"/>
                      <w:color w:val="auto"/>
                      <w:lang w:val="en-US" w:eastAsia="zh-CN"/>
                    </w:rPr>
                  </w:pPr>
                  <w:r>
                    <w:rPr>
                      <w:rFonts w:hint="eastAsia"/>
                      <w:color w:val="auto"/>
                      <w:lang w:val="en-US" w:eastAsia="zh-CN"/>
                    </w:rPr>
                    <w:t>2</w:t>
                  </w:r>
                </w:p>
              </w:tc>
              <w:tc>
                <w:tcPr>
                  <w:tcW w:w="903" w:type="pct"/>
                  <w:shd w:val="clear" w:color="auto" w:fill="auto"/>
                  <w:vAlign w:val="center"/>
                </w:tcPr>
                <w:p w14:paraId="745D6EC0">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地磅</w:t>
                  </w:r>
                </w:p>
              </w:tc>
              <w:tc>
                <w:tcPr>
                  <w:tcW w:w="861" w:type="pct"/>
                  <w:shd w:val="clear" w:color="auto" w:fill="auto"/>
                  <w:vAlign w:val="center"/>
                </w:tcPr>
                <w:p w14:paraId="3F6EB49C">
                  <w:pPr>
                    <w:pStyle w:val="65"/>
                    <w:rPr>
                      <w:rFonts w:hint="eastAsia" w:ascii="Times New Roman" w:hAnsi="Times New Roman" w:eastAsia="宋体" w:cs="Times New Roman"/>
                      <w:bCs/>
                      <w:color w:val="auto"/>
                      <w:sz w:val="21"/>
                      <w:lang w:val="en-US" w:eastAsia="zh-CN" w:bidi="ar-SA"/>
                    </w:rPr>
                  </w:pPr>
                  <w:r>
                    <w:rPr>
                      <w:rFonts w:hint="eastAsia"/>
                      <w:color w:val="auto"/>
                    </w:rPr>
                    <w:t>10t</w:t>
                  </w:r>
                </w:p>
              </w:tc>
              <w:tc>
                <w:tcPr>
                  <w:tcW w:w="862" w:type="pct"/>
                  <w:shd w:val="clear" w:color="auto" w:fill="auto"/>
                  <w:vAlign w:val="center"/>
                </w:tcPr>
                <w:p w14:paraId="15139E10">
                  <w:pPr>
                    <w:pStyle w:val="65"/>
                    <w:rPr>
                      <w:rFonts w:hint="eastAsia" w:ascii="Times New Roman" w:hAnsi="Times New Roman" w:eastAsia="宋体" w:cs="Times New Roman"/>
                      <w:bCs/>
                      <w:color w:val="auto"/>
                      <w:sz w:val="21"/>
                      <w:szCs w:val="20"/>
                      <w:lang w:val="pt-BR" w:eastAsia="zh-CN" w:bidi="ar-SA"/>
                    </w:rPr>
                  </w:pPr>
                  <w:r>
                    <w:rPr>
                      <w:rFonts w:hint="eastAsia"/>
                      <w:color w:val="auto"/>
                      <w:szCs w:val="20"/>
                    </w:rPr>
                    <w:t>1个</w:t>
                  </w:r>
                </w:p>
              </w:tc>
              <w:tc>
                <w:tcPr>
                  <w:tcW w:w="861" w:type="pct"/>
                  <w:shd w:val="clear" w:color="auto" w:fill="auto"/>
                  <w:vAlign w:val="center"/>
                </w:tcPr>
                <w:p w14:paraId="2CA39A0A">
                  <w:pPr>
                    <w:pStyle w:val="65"/>
                    <w:rPr>
                      <w:rFonts w:hint="eastAsia" w:ascii="Times New Roman" w:hAnsi="Times New Roman" w:eastAsia="宋体" w:cs="Times New Roman"/>
                      <w:bCs/>
                      <w:color w:val="auto"/>
                      <w:sz w:val="21"/>
                      <w:lang w:val="pt-BR" w:eastAsia="zh-CN" w:bidi="ar-SA"/>
                    </w:rPr>
                  </w:pPr>
                  <w:r>
                    <w:rPr>
                      <w:rFonts w:hint="eastAsia"/>
                      <w:color w:val="auto"/>
                    </w:rPr>
                    <w:t>10t</w:t>
                  </w:r>
                </w:p>
              </w:tc>
              <w:tc>
                <w:tcPr>
                  <w:tcW w:w="817" w:type="pct"/>
                  <w:shd w:val="clear" w:color="auto" w:fill="auto"/>
                  <w:vAlign w:val="center"/>
                </w:tcPr>
                <w:p w14:paraId="5CA5152C">
                  <w:pPr>
                    <w:pStyle w:val="65"/>
                    <w:rPr>
                      <w:rFonts w:hint="eastAsia" w:ascii="Times New Roman" w:hAnsi="Times New Roman" w:eastAsia="宋体" w:cs="Times New Roman"/>
                      <w:bCs/>
                      <w:color w:val="auto"/>
                      <w:sz w:val="21"/>
                      <w:szCs w:val="20"/>
                      <w:lang w:val="pt-BR" w:eastAsia="zh-CN" w:bidi="ar-SA"/>
                    </w:rPr>
                  </w:pPr>
                  <w:r>
                    <w:rPr>
                      <w:rFonts w:hint="eastAsia"/>
                      <w:color w:val="auto"/>
                      <w:szCs w:val="20"/>
                    </w:rPr>
                    <w:t>1个</w:t>
                  </w:r>
                </w:p>
              </w:tc>
              <w:tc>
                <w:tcPr>
                  <w:tcW w:w="398" w:type="pct"/>
                  <w:vAlign w:val="center"/>
                </w:tcPr>
                <w:p w14:paraId="2B8B5A2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olor w:val="auto"/>
                      <w:lang w:val="pt-BR" w:eastAsia="zh-CN"/>
                    </w:rPr>
                  </w:pPr>
                  <w:r>
                    <w:rPr>
                      <w:rFonts w:eastAsia="宋体"/>
                      <w:color w:val="auto"/>
                      <w:sz w:val="21"/>
                      <w:szCs w:val="21"/>
                    </w:rPr>
                    <w:t>一致</w:t>
                  </w:r>
                </w:p>
              </w:tc>
            </w:tr>
            <w:tr w14:paraId="365F030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Align w:val="center"/>
                </w:tcPr>
                <w:p w14:paraId="6C3A606E">
                  <w:pPr>
                    <w:pStyle w:val="65"/>
                    <w:bidi w:val="0"/>
                    <w:rPr>
                      <w:rFonts w:hint="eastAsia"/>
                      <w:color w:val="auto"/>
                      <w:lang w:val="en-US" w:eastAsia="zh-CN"/>
                    </w:rPr>
                  </w:pPr>
                  <w:r>
                    <w:rPr>
                      <w:rFonts w:hint="eastAsia"/>
                      <w:color w:val="auto"/>
                      <w:lang w:val="en-US" w:eastAsia="zh-CN"/>
                    </w:rPr>
                    <w:t>3</w:t>
                  </w:r>
                </w:p>
              </w:tc>
              <w:tc>
                <w:tcPr>
                  <w:tcW w:w="903" w:type="pct"/>
                  <w:shd w:val="clear" w:color="auto" w:fill="auto"/>
                  <w:vAlign w:val="center"/>
                </w:tcPr>
                <w:p w14:paraId="169256D9">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危废暂存桶</w:t>
                  </w:r>
                </w:p>
              </w:tc>
              <w:tc>
                <w:tcPr>
                  <w:tcW w:w="861" w:type="pct"/>
                  <w:shd w:val="clear" w:color="auto" w:fill="auto"/>
                  <w:vAlign w:val="center"/>
                </w:tcPr>
                <w:p w14:paraId="071A721E">
                  <w:pPr>
                    <w:pStyle w:val="65"/>
                    <w:rPr>
                      <w:rFonts w:hint="eastAsia" w:ascii="Times New Roman" w:hAnsi="Times New Roman" w:eastAsia="宋体" w:cs="Times New Roman"/>
                      <w:bCs/>
                      <w:color w:val="auto"/>
                      <w:sz w:val="21"/>
                      <w:lang w:val="en-US" w:eastAsia="zh-CN" w:bidi="ar-SA"/>
                    </w:rPr>
                  </w:pPr>
                  <w:r>
                    <w:rPr>
                      <w:rFonts w:hint="eastAsia"/>
                      <w:color w:val="auto"/>
                    </w:rPr>
                    <w:t>170kg</w:t>
                  </w:r>
                </w:p>
              </w:tc>
              <w:tc>
                <w:tcPr>
                  <w:tcW w:w="862" w:type="pct"/>
                  <w:shd w:val="clear" w:color="auto" w:fill="auto"/>
                  <w:vAlign w:val="center"/>
                </w:tcPr>
                <w:p w14:paraId="1C988D9E">
                  <w:pPr>
                    <w:pStyle w:val="65"/>
                    <w:rPr>
                      <w:rFonts w:hint="eastAsia" w:ascii="Times New Roman" w:hAnsi="Times New Roman" w:eastAsia="宋体" w:cs="Times New Roman"/>
                      <w:bCs/>
                      <w:color w:val="auto"/>
                      <w:sz w:val="21"/>
                      <w:szCs w:val="20"/>
                      <w:lang w:val="pt-BR" w:eastAsia="zh-CN" w:bidi="ar-SA"/>
                    </w:rPr>
                  </w:pPr>
                  <w:r>
                    <w:rPr>
                      <w:rFonts w:hint="eastAsia"/>
                      <w:color w:val="auto"/>
                      <w:szCs w:val="20"/>
                    </w:rPr>
                    <w:t>6个</w:t>
                  </w:r>
                </w:p>
              </w:tc>
              <w:tc>
                <w:tcPr>
                  <w:tcW w:w="861" w:type="pct"/>
                  <w:shd w:val="clear" w:color="auto" w:fill="auto"/>
                  <w:vAlign w:val="center"/>
                </w:tcPr>
                <w:p w14:paraId="237D9A07">
                  <w:pPr>
                    <w:pStyle w:val="65"/>
                    <w:rPr>
                      <w:rFonts w:hint="default" w:ascii="Times New Roman" w:hAnsi="Times New Roman" w:eastAsia="宋体" w:cs="Times New Roman"/>
                      <w:bCs/>
                      <w:color w:val="auto"/>
                      <w:sz w:val="21"/>
                      <w:lang w:val="en-US" w:eastAsia="zh-CN" w:bidi="ar-SA"/>
                    </w:rPr>
                  </w:pPr>
                  <w:r>
                    <w:rPr>
                      <w:rFonts w:hint="eastAsia"/>
                      <w:color w:val="auto"/>
                    </w:rPr>
                    <w:t>170kg</w:t>
                  </w:r>
                </w:p>
              </w:tc>
              <w:tc>
                <w:tcPr>
                  <w:tcW w:w="817" w:type="pct"/>
                  <w:shd w:val="clear" w:color="auto" w:fill="auto"/>
                  <w:vAlign w:val="center"/>
                </w:tcPr>
                <w:p w14:paraId="181BAEE1">
                  <w:pPr>
                    <w:pStyle w:val="65"/>
                    <w:rPr>
                      <w:rFonts w:hint="default" w:ascii="Times New Roman" w:hAnsi="Times New Roman" w:eastAsia="宋体" w:cs="Times New Roman"/>
                      <w:bCs/>
                      <w:color w:val="auto"/>
                      <w:sz w:val="21"/>
                      <w:szCs w:val="20"/>
                      <w:lang w:val="en-US" w:eastAsia="zh-CN" w:bidi="ar-SA"/>
                    </w:rPr>
                  </w:pPr>
                  <w:r>
                    <w:rPr>
                      <w:rFonts w:hint="eastAsia"/>
                      <w:color w:val="auto"/>
                      <w:szCs w:val="20"/>
                    </w:rPr>
                    <w:t>6个</w:t>
                  </w:r>
                </w:p>
              </w:tc>
              <w:tc>
                <w:tcPr>
                  <w:tcW w:w="398" w:type="pct"/>
                  <w:shd w:val="clear" w:color="auto" w:fill="auto"/>
                  <w:vAlign w:val="center"/>
                </w:tcPr>
                <w:p w14:paraId="1E10EE9E">
                  <w:pPr>
                    <w:pStyle w:val="65"/>
                    <w:bidi w:val="0"/>
                    <w:rPr>
                      <w:rFonts w:hint="eastAsia" w:ascii="Times New Roman" w:hAnsi="Times New Roman" w:eastAsia="宋体" w:cs="Times New Roman"/>
                      <w:bCs/>
                      <w:color w:val="auto"/>
                      <w:sz w:val="21"/>
                      <w:lang w:val="pt-BR" w:eastAsia="zh-CN" w:bidi="ar-SA"/>
                    </w:rPr>
                  </w:pPr>
                  <w:r>
                    <w:rPr>
                      <w:rFonts w:eastAsia="宋体"/>
                      <w:color w:val="auto"/>
                      <w:sz w:val="21"/>
                      <w:szCs w:val="21"/>
                    </w:rPr>
                    <w:t>一致</w:t>
                  </w:r>
                </w:p>
              </w:tc>
            </w:tr>
            <w:tr w14:paraId="6214D6A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Align w:val="center"/>
                </w:tcPr>
                <w:p w14:paraId="0210DD63">
                  <w:pPr>
                    <w:pStyle w:val="65"/>
                    <w:bidi w:val="0"/>
                    <w:rPr>
                      <w:rFonts w:hint="eastAsia"/>
                      <w:color w:val="auto"/>
                      <w:lang w:val="en-US" w:eastAsia="zh-CN"/>
                    </w:rPr>
                  </w:pPr>
                  <w:r>
                    <w:rPr>
                      <w:rFonts w:hint="eastAsia"/>
                      <w:color w:val="auto"/>
                      <w:lang w:val="en-US" w:eastAsia="zh-CN"/>
                    </w:rPr>
                    <w:t>4</w:t>
                  </w:r>
                </w:p>
              </w:tc>
              <w:tc>
                <w:tcPr>
                  <w:tcW w:w="903" w:type="pct"/>
                  <w:shd w:val="clear" w:color="auto" w:fill="auto"/>
                  <w:vAlign w:val="center"/>
                </w:tcPr>
                <w:p w14:paraId="5C09BD76">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危废暂存桶</w:t>
                  </w:r>
                </w:p>
              </w:tc>
              <w:tc>
                <w:tcPr>
                  <w:tcW w:w="861" w:type="pct"/>
                  <w:shd w:val="clear" w:color="auto" w:fill="auto"/>
                  <w:vAlign w:val="center"/>
                </w:tcPr>
                <w:p w14:paraId="7CB62EEF">
                  <w:pPr>
                    <w:pStyle w:val="65"/>
                    <w:rPr>
                      <w:rFonts w:hint="eastAsia" w:ascii="Times New Roman" w:hAnsi="Times New Roman" w:eastAsia="宋体" w:cs="Times New Roman"/>
                      <w:bCs/>
                      <w:color w:val="auto"/>
                      <w:sz w:val="21"/>
                      <w:lang w:val="en-US" w:eastAsia="zh-CN" w:bidi="ar-SA"/>
                    </w:rPr>
                  </w:pPr>
                  <w:r>
                    <w:rPr>
                      <w:rFonts w:hint="eastAsia"/>
                      <w:color w:val="auto"/>
                    </w:rPr>
                    <w:t>50kg</w:t>
                  </w:r>
                </w:p>
              </w:tc>
              <w:tc>
                <w:tcPr>
                  <w:tcW w:w="862" w:type="pct"/>
                  <w:shd w:val="clear" w:color="auto" w:fill="auto"/>
                  <w:vAlign w:val="center"/>
                </w:tcPr>
                <w:p w14:paraId="74337A36">
                  <w:pPr>
                    <w:pStyle w:val="65"/>
                    <w:rPr>
                      <w:rFonts w:hint="eastAsia" w:ascii="Times New Roman" w:hAnsi="Times New Roman" w:eastAsia="宋体" w:cs="Times New Roman"/>
                      <w:bCs/>
                      <w:color w:val="auto"/>
                      <w:sz w:val="21"/>
                      <w:szCs w:val="20"/>
                      <w:lang w:val="pt-BR" w:eastAsia="zh-CN" w:bidi="ar-SA"/>
                    </w:rPr>
                  </w:pPr>
                  <w:r>
                    <w:rPr>
                      <w:rFonts w:hint="eastAsia"/>
                      <w:color w:val="auto"/>
                      <w:szCs w:val="20"/>
                    </w:rPr>
                    <w:t>3个</w:t>
                  </w:r>
                </w:p>
              </w:tc>
              <w:tc>
                <w:tcPr>
                  <w:tcW w:w="861" w:type="pct"/>
                  <w:shd w:val="clear" w:color="auto" w:fill="auto"/>
                  <w:vAlign w:val="center"/>
                </w:tcPr>
                <w:p w14:paraId="75E45F54">
                  <w:pPr>
                    <w:pStyle w:val="65"/>
                    <w:rPr>
                      <w:rFonts w:hint="eastAsia" w:ascii="Times New Roman" w:hAnsi="Times New Roman" w:eastAsia="宋体" w:cs="Times New Roman"/>
                      <w:bCs/>
                      <w:color w:val="auto"/>
                      <w:sz w:val="21"/>
                      <w:lang w:val="pt-BR" w:eastAsia="zh-CN" w:bidi="ar-SA"/>
                    </w:rPr>
                  </w:pPr>
                  <w:r>
                    <w:rPr>
                      <w:rFonts w:hint="eastAsia"/>
                      <w:color w:val="auto"/>
                    </w:rPr>
                    <w:t>50kg</w:t>
                  </w:r>
                </w:p>
              </w:tc>
              <w:tc>
                <w:tcPr>
                  <w:tcW w:w="817" w:type="pct"/>
                  <w:shd w:val="clear" w:color="auto" w:fill="auto"/>
                  <w:vAlign w:val="center"/>
                </w:tcPr>
                <w:p w14:paraId="2F527D25">
                  <w:pPr>
                    <w:pStyle w:val="65"/>
                    <w:rPr>
                      <w:rFonts w:hint="eastAsia" w:ascii="Times New Roman" w:hAnsi="Times New Roman" w:eastAsia="宋体" w:cs="Times New Roman"/>
                      <w:bCs/>
                      <w:color w:val="auto"/>
                      <w:sz w:val="21"/>
                      <w:szCs w:val="20"/>
                      <w:lang w:val="pt-BR" w:eastAsia="zh-CN" w:bidi="ar-SA"/>
                    </w:rPr>
                  </w:pPr>
                  <w:r>
                    <w:rPr>
                      <w:rFonts w:hint="eastAsia"/>
                      <w:color w:val="auto"/>
                      <w:szCs w:val="20"/>
                    </w:rPr>
                    <w:t>3个</w:t>
                  </w:r>
                </w:p>
              </w:tc>
              <w:tc>
                <w:tcPr>
                  <w:tcW w:w="398" w:type="pct"/>
                  <w:shd w:val="clear" w:color="auto" w:fill="auto"/>
                  <w:vAlign w:val="center"/>
                </w:tcPr>
                <w:p w14:paraId="5AA207E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sz w:val="22"/>
                      <w:szCs w:val="22"/>
                      <w:lang w:val="pt-BR" w:eastAsia="zh-CN" w:bidi="ar-SA"/>
                    </w:rPr>
                  </w:pPr>
                  <w:r>
                    <w:rPr>
                      <w:rFonts w:eastAsia="宋体"/>
                      <w:color w:val="auto"/>
                      <w:sz w:val="21"/>
                      <w:szCs w:val="21"/>
                    </w:rPr>
                    <w:t>一致</w:t>
                  </w:r>
                </w:p>
              </w:tc>
            </w:tr>
            <w:tr w14:paraId="30D3C57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Align w:val="center"/>
                </w:tcPr>
                <w:p w14:paraId="242093BC">
                  <w:pPr>
                    <w:pStyle w:val="65"/>
                    <w:bidi w:val="0"/>
                    <w:rPr>
                      <w:rFonts w:hint="eastAsia"/>
                      <w:color w:val="auto"/>
                      <w:lang w:val="en-US" w:eastAsia="zh-CN"/>
                    </w:rPr>
                  </w:pPr>
                  <w:r>
                    <w:rPr>
                      <w:rFonts w:hint="eastAsia"/>
                      <w:color w:val="auto"/>
                      <w:lang w:val="en-US" w:eastAsia="zh-CN"/>
                    </w:rPr>
                    <w:t>5</w:t>
                  </w:r>
                </w:p>
              </w:tc>
              <w:tc>
                <w:tcPr>
                  <w:tcW w:w="903" w:type="pct"/>
                  <w:shd w:val="clear" w:color="auto" w:fill="auto"/>
                  <w:vAlign w:val="center"/>
                </w:tcPr>
                <w:p w14:paraId="10D06A4B">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危废暂存桶</w:t>
                  </w:r>
                </w:p>
              </w:tc>
              <w:tc>
                <w:tcPr>
                  <w:tcW w:w="861" w:type="pct"/>
                  <w:shd w:val="clear" w:color="auto" w:fill="auto"/>
                  <w:vAlign w:val="center"/>
                </w:tcPr>
                <w:p w14:paraId="268A6E4E">
                  <w:pPr>
                    <w:pStyle w:val="65"/>
                    <w:rPr>
                      <w:rFonts w:hint="eastAsia" w:ascii="Times New Roman" w:hAnsi="Times New Roman" w:eastAsia="宋体" w:cs="Times New Roman"/>
                      <w:bCs/>
                      <w:color w:val="auto"/>
                      <w:sz w:val="21"/>
                      <w:lang w:val="en-US" w:eastAsia="zh-CN" w:bidi="ar-SA"/>
                    </w:rPr>
                  </w:pPr>
                  <w:r>
                    <w:rPr>
                      <w:rFonts w:hint="eastAsia"/>
                      <w:color w:val="auto"/>
                    </w:rPr>
                    <w:t>25kg</w:t>
                  </w:r>
                </w:p>
              </w:tc>
              <w:tc>
                <w:tcPr>
                  <w:tcW w:w="862" w:type="pct"/>
                  <w:shd w:val="clear" w:color="auto" w:fill="auto"/>
                  <w:vAlign w:val="center"/>
                </w:tcPr>
                <w:p w14:paraId="27B65C83">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3个</w:t>
                  </w:r>
                </w:p>
              </w:tc>
              <w:tc>
                <w:tcPr>
                  <w:tcW w:w="861" w:type="pct"/>
                  <w:shd w:val="clear" w:color="auto" w:fill="auto"/>
                  <w:vAlign w:val="center"/>
                </w:tcPr>
                <w:p w14:paraId="1A07CD95">
                  <w:pPr>
                    <w:pStyle w:val="65"/>
                    <w:rPr>
                      <w:rFonts w:hint="eastAsia" w:ascii="Times New Roman" w:hAnsi="Times New Roman" w:eastAsia="宋体" w:cs="Times New Roman"/>
                      <w:bCs/>
                      <w:color w:val="auto"/>
                      <w:sz w:val="21"/>
                      <w:lang w:val="en-US" w:eastAsia="zh-CN" w:bidi="ar-SA"/>
                    </w:rPr>
                  </w:pPr>
                  <w:r>
                    <w:rPr>
                      <w:rFonts w:hint="eastAsia"/>
                      <w:color w:val="auto"/>
                    </w:rPr>
                    <w:t>25kg</w:t>
                  </w:r>
                </w:p>
              </w:tc>
              <w:tc>
                <w:tcPr>
                  <w:tcW w:w="817" w:type="pct"/>
                  <w:shd w:val="clear" w:color="auto" w:fill="auto"/>
                  <w:vAlign w:val="center"/>
                </w:tcPr>
                <w:p w14:paraId="52361060">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3个</w:t>
                  </w:r>
                </w:p>
              </w:tc>
              <w:tc>
                <w:tcPr>
                  <w:tcW w:w="398" w:type="pct"/>
                  <w:vAlign w:val="center"/>
                </w:tcPr>
                <w:p w14:paraId="3B14980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olor w:val="auto"/>
                      <w:lang w:val="en-US" w:eastAsia="zh-CN"/>
                    </w:rPr>
                  </w:pPr>
                  <w:r>
                    <w:rPr>
                      <w:rFonts w:eastAsia="宋体"/>
                      <w:color w:val="auto"/>
                      <w:sz w:val="21"/>
                      <w:szCs w:val="21"/>
                    </w:rPr>
                    <w:t>一致</w:t>
                  </w:r>
                </w:p>
              </w:tc>
            </w:tr>
            <w:tr w14:paraId="1FB328A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Align w:val="center"/>
                </w:tcPr>
                <w:p w14:paraId="7AF49ACA">
                  <w:pPr>
                    <w:pStyle w:val="65"/>
                    <w:bidi w:val="0"/>
                    <w:rPr>
                      <w:rFonts w:hint="eastAsia"/>
                      <w:color w:val="auto"/>
                      <w:lang w:val="en-US" w:eastAsia="zh-CN"/>
                    </w:rPr>
                  </w:pPr>
                  <w:r>
                    <w:rPr>
                      <w:rFonts w:hint="eastAsia"/>
                      <w:color w:val="auto"/>
                      <w:lang w:val="en-US" w:eastAsia="zh-CN"/>
                    </w:rPr>
                    <w:t>6</w:t>
                  </w:r>
                </w:p>
              </w:tc>
              <w:tc>
                <w:tcPr>
                  <w:tcW w:w="903" w:type="pct"/>
                  <w:shd w:val="clear" w:color="auto" w:fill="auto"/>
                  <w:vAlign w:val="center"/>
                </w:tcPr>
                <w:p w14:paraId="14E34334">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储罐</w:t>
                  </w:r>
                </w:p>
              </w:tc>
              <w:tc>
                <w:tcPr>
                  <w:tcW w:w="861" w:type="pct"/>
                  <w:shd w:val="clear" w:color="auto" w:fill="auto"/>
                  <w:vAlign w:val="center"/>
                </w:tcPr>
                <w:p w14:paraId="6D95D344">
                  <w:pPr>
                    <w:pStyle w:val="65"/>
                    <w:rPr>
                      <w:rFonts w:hint="eastAsia" w:ascii="Times New Roman" w:hAnsi="Times New Roman" w:eastAsia="宋体" w:cs="Times New Roman"/>
                      <w:bCs/>
                      <w:color w:val="auto"/>
                      <w:sz w:val="21"/>
                      <w:lang w:val="en-US" w:eastAsia="zh-CN" w:bidi="ar-SA"/>
                    </w:rPr>
                  </w:pPr>
                  <w:r>
                    <w:rPr>
                      <w:rFonts w:hint="eastAsia"/>
                      <w:color w:val="auto"/>
                    </w:rPr>
                    <w:t>10m</w:t>
                  </w:r>
                  <w:r>
                    <w:rPr>
                      <w:rFonts w:hint="eastAsia"/>
                      <w:color w:val="auto"/>
                      <w:vertAlign w:val="superscript"/>
                    </w:rPr>
                    <w:t>3</w:t>
                  </w:r>
                </w:p>
              </w:tc>
              <w:tc>
                <w:tcPr>
                  <w:tcW w:w="862" w:type="pct"/>
                  <w:shd w:val="clear" w:color="auto" w:fill="auto"/>
                  <w:vAlign w:val="center"/>
                </w:tcPr>
                <w:p w14:paraId="27D6CC71">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3座</w:t>
                  </w:r>
                </w:p>
              </w:tc>
              <w:tc>
                <w:tcPr>
                  <w:tcW w:w="861" w:type="pct"/>
                  <w:shd w:val="clear" w:color="auto" w:fill="auto"/>
                  <w:vAlign w:val="center"/>
                </w:tcPr>
                <w:p w14:paraId="766DE4E3">
                  <w:pPr>
                    <w:pStyle w:val="65"/>
                    <w:rPr>
                      <w:rFonts w:hint="eastAsia" w:ascii="Times New Roman" w:hAnsi="Times New Roman" w:eastAsia="宋体" w:cs="Times New Roman"/>
                      <w:bCs/>
                      <w:color w:val="auto"/>
                      <w:sz w:val="21"/>
                      <w:lang w:val="en-US" w:eastAsia="zh-CN" w:bidi="ar-SA"/>
                    </w:rPr>
                  </w:pPr>
                  <w:r>
                    <w:rPr>
                      <w:rFonts w:hint="eastAsia"/>
                      <w:color w:val="auto"/>
                    </w:rPr>
                    <w:t>10m</w:t>
                  </w:r>
                  <w:r>
                    <w:rPr>
                      <w:rFonts w:hint="eastAsia"/>
                      <w:color w:val="auto"/>
                      <w:vertAlign w:val="superscript"/>
                    </w:rPr>
                    <w:t>3</w:t>
                  </w:r>
                </w:p>
              </w:tc>
              <w:tc>
                <w:tcPr>
                  <w:tcW w:w="817" w:type="pct"/>
                  <w:shd w:val="clear" w:color="auto" w:fill="auto"/>
                  <w:vAlign w:val="center"/>
                </w:tcPr>
                <w:p w14:paraId="0F27547F">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3座</w:t>
                  </w:r>
                </w:p>
              </w:tc>
              <w:tc>
                <w:tcPr>
                  <w:tcW w:w="398" w:type="pct"/>
                  <w:vAlign w:val="center"/>
                </w:tcPr>
                <w:p w14:paraId="6851389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olor w:val="auto"/>
                      <w:lang w:val="en-US" w:eastAsia="zh-CN"/>
                    </w:rPr>
                  </w:pPr>
                  <w:r>
                    <w:rPr>
                      <w:rFonts w:eastAsia="宋体"/>
                      <w:color w:val="auto"/>
                      <w:sz w:val="21"/>
                      <w:szCs w:val="21"/>
                    </w:rPr>
                    <w:t>一致</w:t>
                  </w:r>
                </w:p>
              </w:tc>
            </w:tr>
            <w:tr w14:paraId="0556B8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Align w:val="center"/>
                </w:tcPr>
                <w:p w14:paraId="591693DE">
                  <w:pPr>
                    <w:pStyle w:val="65"/>
                    <w:bidi w:val="0"/>
                    <w:rPr>
                      <w:rFonts w:hint="eastAsia"/>
                      <w:color w:val="auto"/>
                      <w:lang w:val="en-US" w:eastAsia="zh-CN"/>
                    </w:rPr>
                  </w:pPr>
                  <w:r>
                    <w:rPr>
                      <w:rFonts w:hint="eastAsia"/>
                      <w:color w:val="auto"/>
                      <w:lang w:val="en-US" w:eastAsia="zh-CN"/>
                    </w:rPr>
                    <w:t>7</w:t>
                  </w:r>
                </w:p>
              </w:tc>
              <w:tc>
                <w:tcPr>
                  <w:tcW w:w="903" w:type="pct"/>
                  <w:shd w:val="clear" w:color="auto" w:fill="auto"/>
                  <w:vAlign w:val="center"/>
                </w:tcPr>
                <w:p w14:paraId="52339C7D">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储罐</w:t>
                  </w:r>
                </w:p>
              </w:tc>
              <w:tc>
                <w:tcPr>
                  <w:tcW w:w="861" w:type="pct"/>
                  <w:shd w:val="clear" w:color="auto" w:fill="auto"/>
                  <w:vAlign w:val="center"/>
                </w:tcPr>
                <w:p w14:paraId="21075662">
                  <w:pPr>
                    <w:pStyle w:val="65"/>
                    <w:rPr>
                      <w:rFonts w:hint="eastAsia" w:ascii="Times New Roman" w:hAnsi="Times New Roman" w:eastAsia="宋体" w:cs="Times New Roman"/>
                      <w:bCs/>
                      <w:color w:val="auto"/>
                      <w:sz w:val="21"/>
                      <w:lang w:val="en-US" w:eastAsia="zh-CN" w:bidi="ar-SA"/>
                    </w:rPr>
                  </w:pPr>
                  <w:r>
                    <w:rPr>
                      <w:rFonts w:hint="eastAsia"/>
                      <w:color w:val="auto"/>
                    </w:rPr>
                    <w:t>25m</w:t>
                  </w:r>
                  <w:r>
                    <w:rPr>
                      <w:rFonts w:hint="eastAsia"/>
                      <w:color w:val="auto"/>
                      <w:vertAlign w:val="superscript"/>
                    </w:rPr>
                    <w:t>3</w:t>
                  </w:r>
                </w:p>
              </w:tc>
              <w:tc>
                <w:tcPr>
                  <w:tcW w:w="862" w:type="pct"/>
                  <w:shd w:val="clear" w:color="auto" w:fill="auto"/>
                  <w:vAlign w:val="center"/>
                </w:tcPr>
                <w:p w14:paraId="3189A174">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1座</w:t>
                  </w:r>
                </w:p>
              </w:tc>
              <w:tc>
                <w:tcPr>
                  <w:tcW w:w="861" w:type="pct"/>
                  <w:shd w:val="clear" w:color="auto" w:fill="auto"/>
                  <w:vAlign w:val="center"/>
                </w:tcPr>
                <w:p w14:paraId="0803AD4B">
                  <w:pPr>
                    <w:pStyle w:val="65"/>
                    <w:rPr>
                      <w:rFonts w:hint="eastAsia" w:ascii="Times New Roman" w:hAnsi="Times New Roman" w:eastAsia="宋体" w:cs="Times New Roman"/>
                      <w:bCs/>
                      <w:color w:val="auto"/>
                      <w:sz w:val="21"/>
                      <w:lang w:val="en-US" w:eastAsia="zh-CN" w:bidi="ar-SA"/>
                    </w:rPr>
                  </w:pPr>
                  <w:r>
                    <w:rPr>
                      <w:rFonts w:hint="eastAsia"/>
                      <w:color w:val="auto"/>
                    </w:rPr>
                    <w:t>25m</w:t>
                  </w:r>
                  <w:r>
                    <w:rPr>
                      <w:rFonts w:hint="eastAsia"/>
                      <w:color w:val="auto"/>
                      <w:vertAlign w:val="superscript"/>
                    </w:rPr>
                    <w:t>3</w:t>
                  </w:r>
                </w:p>
              </w:tc>
              <w:tc>
                <w:tcPr>
                  <w:tcW w:w="817" w:type="pct"/>
                  <w:shd w:val="clear" w:color="auto" w:fill="auto"/>
                  <w:vAlign w:val="center"/>
                </w:tcPr>
                <w:p w14:paraId="037A71AB">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1座</w:t>
                  </w:r>
                </w:p>
              </w:tc>
              <w:tc>
                <w:tcPr>
                  <w:tcW w:w="398" w:type="pct"/>
                  <w:vAlign w:val="center"/>
                </w:tcPr>
                <w:p w14:paraId="0EFE349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olor w:val="auto"/>
                      <w:lang w:val="en-US" w:eastAsia="zh-CN"/>
                    </w:rPr>
                  </w:pPr>
                  <w:r>
                    <w:rPr>
                      <w:rFonts w:eastAsia="宋体"/>
                      <w:color w:val="auto"/>
                      <w:sz w:val="21"/>
                      <w:szCs w:val="21"/>
                    </w:rPr>
                    <w:t>一致</w:t>
                  </w:r>
                </w:p>
              </w:tc>
            </w:tr>
            <w:tr w14:paraId="3AC101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95" w:type="pct"/>
                  <w:vAlign w:val="center"/>
                </w:tcPr>
                <w:p w14:paraId="1F2410E0">
                  <w:pPr>
                    <w:pStyle w:val="65"/>
                    <w:bidi w:val="0"/>
                    <w:rPr>
                      <w:rFonts w:hint="eastAsia"/>
                      <w:color w:val="auto"/>
                      <w:lang w:val="en-US" w:eastAsia="zh-CN"/>
                    </w:rPr>
                  </w:pPr>
                  <w:r>
                    <w:rPr>
                      <w:rFonts w:hint="eastAsia"/>
                      <w:color w:val="auto"/>
                      <w:lang w:val="en-US" w:eastAsia="zh-CN"/>
                    </w:rPr>
                    <w:t>8</w:t>
                  </w:r>
                </w:p>
              </w:tc>
              <w:tc>
                <w:tcPr>
                  <w:tcW w:w="903" w:type="pct"/>
                  <w:shd w:val="clear" w:color="auto" w:fill="auto"/>
                  <w:vAlign w:val="center"/>
                </w:tcPr>
                <w:p w14:paraId="45A8130D">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打包机</w:t>
                  </w:r>
                </w:p>
              </w:tc>
              <w:tc>
                <w:tcPr>
                  <w:tcW w:w="861" w:type="pct"/>
                  <w:shd w:val="clear" w:color="auto" w:fill="auto"/>
                  <w:vAlign w:val="center"/>
                </w:tcPr>
                <w:p w14:paraId="5BEFC3F8">
                  <w:pPr>
                    <w:pStyle w:val="65"/>
                    <w:rPr>
                      <w:rFonts w:hint="eastAsia" w:ascii="Times New Roman" w:hAnsi="Times New Roman" w:eastAsia="宋体" w:cs="Times New Roman"/>
                      <w:bCs/>
                      <w:color w:val="auto"/>
                      <w:sz w:val="21"/>
                      <w:lang w:val="en-US" w:eastAsia="zh-CN" w:bidi="ar-SA"/>
                    </w:rPr>
                  </w:pPr>
                  <w:r>
                    <w:rPr>
                      <w:rFonts w:hint="eastAsia"/>
                      <w:color w:val="auto"/>
                    </w:rPr>
                    <w:t>/</w:t>
                  </w:r>
                </w:p>
              </w:tc>
              <w:tc>
                <w:tcPr>
                  <w:tcW w:w="862" w:type="pct"/>
                  <w:shd w:val="clear" w:color="auto" w:fill="auto"/>
                  <w:vAlign w:val="center"/>
                </w:tcPr>
                <w:p w14:paraId="183DF0AA">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1台</w:t>
                  </w:r>
                </w:p>
              </w:tc>
              <w:tc>
                <w:tcPr>
                  <w:tcW w:w="861" w:type="pct"/>
                  <w:shd w:val="clear" w:color="auto" w:fill="auto"/>
                  <w:vAlign w:val="center"/>
                </w:tcPr>
                <w:p w14:paraId="1B466EFE">
                  <w:pPr>
                    <w:pStyle w:val="65"/>
                    <w:rPr>
                      <w:rFonts w:hint="eastAsia" w:ascii="Times New Roman" w:hAnsi="Times New Roman" w:eastAsia="宋体" w:cs="Times New Roman"/>
                      <w:bCs/>
                      <w:color w:val="auto"/>
                      <w:sz w:val="21"/>
                      <w:lang w:val="en-US" w:eastAsia="zh-CN" w:bidi="ar-SA"/>
                    </w:rPr>
                  </w:pPr>
                  <w:r>
                    <w:rPr>
                      <w:rFonts w:hint="eastAsia"/>
                      <w:color w:val="auto"/>
                    </w:rPr>
                    <w:t>/</w:t>
                  </w:r>
                </w:p>
              </w:tc>
              <w:tc>
                <w:tcPr>
                  <w:tcW w:w="817" w:type="pct"/>
                  <w:shd w:val="clear" w:color="auto" w:fill="auto"/>
                  <w:vAlign w:val="center"/>
                </w:tcPr>
                <w:p w14:paraId="7C6CBEEA">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1台</w:t>
                  </w:r>
                </w:p>
              </w:tc>
              <w:tc>
                <w:tcPr>
                  <w:tcW w:w="398" w:type="pct"/>
                  <w:vAlign w:val="center"/>
                </w:tcPr>
                <w:p w14:paraId="27E89B1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color w:val="auto"/>
                      <w:lang w:val="en-US" w:eastAsia="zh-CN"/>
                    </w:rPr>
                  </w:pPr>
                  <w:r>
                    <w:rPr>
                      <w:rFonts w:eastAsia="宋体"/>
                      <w:color w:val="auto"/>
                      <w:sz w:val="21"/>
                      <w:szCs w:val="21"/>
                    </w:rPr>
                    <w:t>一致</w:t>
                  </w:r>
                </w:p>
              </w:tc>
            </w:tr>
          </w:tbl>
          <w:p w14:paraId="1D4E3904">
            <w:pPr>
              <w:spacing w:after="0" w:line="460" w:lineRule="exact"/>
              <w:ind w:firstLine="482" w:firstLineChars="200"/>
              <w:rPr>
                <w:rFonts w:eastAsia="宋体"/>
                <w:b/>
                <w:bCs/>
                <w:color w:val="auto"/>
                <w:kern w:val="2"/>
                <w:sz w:val="24"/>
                <w:szCs w:val="20"/>
              </w:rPr>
            </w:pPr>
            <w:r>
              <w:rPr>
                <w:rFonts w:eastAsia="宋体"/>
                <w:b/>
                <w:bCs/>
                <w:color w:val="auto"/>
                <w:kern w:val="2"/>
                <w:sz w:val="24"/>
                <w:szCs w:val="20"/>
              </w:rPr>
              <w:t>5、</w:t>
            </w:r>
            <w:r>
              <w:rPr>
                <w:rFonts w:hint="eastAsia" w:eastAsia="宋体"/>
                <w:b/>
                <w:bCs/>
                <w:color w:val="auto"/>
                <w:kern w:val="2"/>
                <w:sz w:val="24"/>
                <w:szCs w:val="20"/>
              </w:rPr>
              <w:t>项目</w:t>
            </w:r>
            <w:r>
              <w:rPr>
                <w:rFonts w:eastAsia="宋体"/>
                <w:b/>
                <w:bCs/>
                <w:color w:val="auto"/>
                <w:kern w:val="2"/>
                <w:sz w:val="24"/>
                <w:szCs w:val="20"/>
              </w:rPr>
              <w:t>原辅材料消耗</w:t>
            </w:r>
            <w:r>
              <w:rPr>
                <w:rFonts w:hint="eastAsia" w:eastAsia="宋体"/>
                <w:b/>
                <w:bCs/>
                <w:color w:val="auto"/>
                <w:kern w:val="2"/>
                <w:sz w:val="24"/>
                <w:szCs w:val="20"/>
              </w:rPr>
              <w:t>量</w:t>
            </w:r>
          </w:p>
          <w:p w14:paraId="753FD4B3">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原辅材料及资（能）源消耗一览表</w:t>
            </w:r>
          </w:p>
          <w:tbl>
            <w:tblPr>
              <w:tblStyle w:val="20"/>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56"/>
              <w:gridCol w:w="2217"/>
              <w:gridCol w:w="2778"/>
              <w:gridCol w:w="2391"/>
              <w:gridCol w:w="1125"/>
            </w:tblGrid>
            <w:tr w14:paraId="22A1BBB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307" w:type="pct"/>
                  <w:vAlign w:val="center"/>
                </w:tcPr>
                <w:p w14:paraId="7EFE1639">
                  <w:pPr>
                    <w:pStyle w:val="65"/>
                    <w:bidi w:val="0"/>
                    <w:rPr>
                      <w:rFonts w:hint="eastAsia"/>
                      <w:b/>
                      <w:bCs w:val="0"/>
                      <w:color w:val="auto"/>
                      <w:lang w:val="en-US" w:eastAsia="zh-CN"/>
                    </w:rPr>
                  </w:pPr>
                  <w:r>
                    <w:rPr>
                      <w:rFonts w:hint="eastAsia"/>
                      <w:b/>
                      <w:bCs w:val="0"/>
                      <w:color w:val="auto"/>
                      <w:lang w:val="pt-BR" w:eastAsia="zh-CN"/>
                    </w:rPr>
                    <w:t>序号</w:t>
                  </w:r>
                </w:p>
              </w:tc>
              <w:tc>
                <w:tcPr>
                  <w:tcW w:w="1222" w:type="pct"/>
                  <w:vAlign w:val="center"/>
                </w:tcPr>
                <w:p w14:paraId="4EF48AD4">
                  <w:pPr>
                    <w:pStyle w:val="65"/>
                    <w:bidi w:val="0"/>
                    <w:rPr>
                      <w:rFonts w:hint="eastAsia"/>
                      <w:b/>
                      <w:bCs w:val="0"/>
                      <w:color w:val="auto"/>
                      <w:lang w:val="en-US" w:eastAsia="zh-CN"/>
                    </w:rPr>
                  </w:pPr>
                  <w:r>
                    <w:rPr>
                      <w:rFonts w:hint="eastAsia"/>
                      <w:b/>
                      <w:bCs w:val="0"/>
                      <w:color w:val="auto"/>
                      <w:lang w:val="en-US" w:eastAsia="zh-CN"/>
                    </w:rPr>
                    <w:t>原料名称</w:t>
                  </w:r>
                </w:p>
              </w:tc>
              <w:tc>
                <w:tcPr>
                  <w:tcW w:w="1531" w:type="pct"/>
                  <w:vAlign w:val="center"/>
                </w:tcPr>
                <w:p w14:paraId="2E7BA9D9">
                  <w:pPr>
                    <w:pStyle w:val="65"/>
                    <w:rPr>
                      <w:rFonts w:hint="eastAsia"/>
                      <w:b/>
                      <w:bCs w:val="0"/>
                      <w:color w:val="auto"/>
                      <w:lang w:val="en-US" w:eastAsia="zh-CN"/>
                    </w:rPr>
                  </w:pPr>
                  <w:r>
                    <w:rPr>
                      <w:rFonts w:hint="eastAsia" w:hAnsiTheme="majorEastAsia" w:eastAsiaTheme="majorEastAsia"/>
                      <w:b/>
                      <w:bCs w:val="0"/>
                      <w:color w:val="auto"/>
                      <w:kern w:val="36"/>
                      <w:sz w:val="21"/>
                      <w:szCs w:val="21"/>
                      <w:lang w:val="en-US" w:eastAsia="zh-CN"/>
                    </w:rPr>
                    <w:t>环评及批复</w:t>
                  </w:r>
                  <w:r>
                    <w:rPr>
                      <w:rFonts w:hint="eastAsia"/>
                      <w:b/>
                      <w:bCs w:val="0"/>
                      <w:color w:val="auto"/>
                      <w:lang w:val="en-US" w:eastAsia="zh-CN"/>
                    </w:rPr>
                    <w:t>年用量</w:t>
                  </w:r>
                </w:p>
              </w:tc>
              <w:tc>
                <w:tcPr>
                  <w:tcW w:w="1318" w:type="pct"/>
                  <w:vAlign w:val="center"/>
                </w:tcPr>
                <w:p w14:paraId="20A87593">
                  <w:pPr>
                    <w:pStyle w:val="65"/>
                    <w:rPr>
                      <w:rFonts w:hint="eastAsia"/>
                      <w:b/>
                      <w:bCs w:val="0"/>
                      <w:color w:val="auto"/>
                      <w:lang w:val="en-US" w:eastAsia="zh-CN"/>
                    </w:rPr>
                  </w:pPr>
                  <w:r>
                    <w:rPr>
                      <w:rFonts w:hAnsiTheme="minorEastAsia" w:eastAsiaTheme="minorEastAsia"/>
                      <w:b/>
                      <w:color w:val="auto"/>
                      <w:szCs w:val="21"/>
                    </w:rPr>
                    <w:t>实际建设</w:t>
                  </w:r>
                  <w:r>
                    <w:rPr>
                      <w:rFonts w:hint="eastAsia"/>
                      <w:b/>
                      <w:bCs w:val="0"/>
                      <w:color w:val="auto"/>
                      <w:lang w:val="en-US" w:eastAsia="zh-CN"/>
                    </w:rPr>
                    <w:t>年用量</w:t>
                  </w:r>
                </w:p>
              </w:tc>
              <w:tc>
                <w:tcPr>
                  <w:tcW w:w="620" w:type="pct"/>
                  <w:vAlign w:val="center"/>
                </w:tcPr>
                <w:p w14:paraId="4FD88A6F">
                  <w:pPr>
                    <w:pStyle w:val="65"/>
                    <w:bidi w:val="0"/>
                    <w:rPr>
                      <w:rFonts w:hint="eastAsia"/>
                      <w:b/>
                      <w:bCs w:val="0"/>
                      <w:color w:val="auto"/>
                      <w:lang w:val="en-US" w:eastAsia="zh-CN"/>
                    </w:rPr>
                  </w:pPr>
                  <w:r>
                    <w:rPr>
                      <w:rFonts w:hint="eastAsia"/>
                      <w:b/>
                      <w:bCs w:val="0"/>
                      <w:color w:val="auto"/>
                      <w:lang w:val="en-US" w:eastAsia="zh-CN"/>
                    </w:rPr>
                    <w:t>备注</w:t>
                  </w:r>
                </w:p>
              </w:tc>
            </w:tr>
            <w:tr w14:paraId="2C2B508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Align w:val="center"/>
                </w:tcPr>
                <w:p w14:paraId="60CB88AF">
                  <w:pPr>
                    <w:pStyle w:val="65"/>
                    <w:bidi w:val="0"/>
                    <w:rPr>
                      <w:rFonts w:hint="eastAsia"/>
                      <w:color w:val="auto"/>
                      <w:lang w:val="en-US" w:eastAsia="zh-CN"/>
                    </w:rPr>
                  </w:pPr>
                  <w:r>
                    <w:rPr>
                      <w:rFonts w:hint="eastAsia"/>
                      <w:color w:val="auto"/>
                      <w:lang w:val="en-US" w:eastAsia="zh-CN"/>
                    </w:rPr>
                    <w:t>1</w:t>
                  </w:r>
                </w:p>
              </w:tc>
              <w:tc>
                <w:tcPr>
                  <w:tcW w:w="1222" w:type="pct"/>
                  <w:shd w:val="clear" w:color="auto" w:fill="auto"/>
                  <w:vAlign w:val="center"/>
                </w:tcPr>
                <w:p w14:paraId="7B477C02">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危险废物</w:t>
                  </w:r>
                </w:p>
              </w:tc>
              <w:tc>
                <w:tcPr>
                  <w:tcW w:w="1531" w:type="pct"/>
                  <w:shd w:val="clear" w:color="auto" w:fill="auto"/>
                  <w:vAlign w:val="center"/>
                </w:tcPr>
                <w:p w14:paraId="006D6226">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9860t/a（年最大周转量）</w:t>
                  </w:r>
                </w:p>
              </w:tc>
              <w:tc>
                <w:tcPr>
                  <w:tcW w:w="1318" w:type="pct"/>
                  <w:shd w:val="clear" w:color="auto" w:fill="auto"/>
                  <w:vAlign w:val="center"/>
                </w:tcPr>
                <w:p w14:paraId="61C3B609">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9860t/a（年最大周转量）</w:t>
                  </w:r>
                </w:p>
              </w:tc>
              <w:tc>
                <w:tcPr>
                  <w:tcW w:w="620" w:type="pct"/>
                  <w:vAlign w:val="center"/>
                </w:tcPr>
                <w:p w14:paraId="358738C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color w:val="auto"/>
                      <w:sz w:val="21"/>
                      <w:szCs w:val="21"/>
                      <w:lang w:val="en-US" w:eastAsia="zh-CN"/>
                    </w:rPr>
                  </w:pPr>
                  <w:r>
                    <w:rPr>
                      <w:rFonts w:eastAsia="宋体"/>
                      <w:color w:val="auto"/>
                      <w:sz w:val="21"/>
                      <w:szCs w:val="21"/>
                    </w:rPr>
                    <w:t>一致</w:t>
                  </w:r>
                </w:p>
              </w:tc>
            </w:tr>
            <w:tr w14:paraId="48DAB2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Align w:val="center"/>
                </w:tcPr>
                <w:p w14:paraId="14BC71E2">
                  <w:pPr>
                    <w:pStyle w:val="65"/>
                    <w:bidi w:val="0"/>
                    <w:rPr>
                      <w:rFonts w:hint="eastAsia"/>
                      <w:color w:val="auto"/>
                      <w:lang w:val="en-US" w:eastAsia="zh-CN"/>
                    </w:rPr>
                  </w:pPr>
                  <w:r>
                    <w:rPr>
                      <w:rFonts w:hint="eastAsia"/>
                      <w:color w:val="auto"/>
                      <w:lang w:val="en-US" w:eastAsia="zh-CN"/>
                    </w:rPr>
                    <w:t>2</w:t>
                  </w:r>
                </w:p>
              </w:tc>
              <w:tc>
                <w:tcPr>
                  <w:tcW w:w="1222" w:type="pct"/>
                  <w:shd w:val="clear" w:color="auto" w:fill="auto"/>
                  <w:vAlign w:val="center"/>
                </w:tcPr>
                <w:p w14:paraId="1C6998BC">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覆膜包装袋</w:t>
                  </w:r>
                </w:p>
              </w:tc>
              <w:tc>
                <w:tcPr>
                  <w:tcW w:w="1531" w:type="pct"/>
                  <w:shd w:val="clear" w:color="auto" w:fill="auto"/>
                  <w:vAlign w:val="center"/>
                </w:tcPr>
                <w:p w14:paraId="1A152F87">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100</w:t>
                  </w:r>
                  <w:r>
                    <w:rPr>
                      <w:rFonts w:hint="eastAsia"/>
                      <w:color w:val="auto"/>
                      <w:szCs w:val="20"/>
                      <w:lang w:val="en-US" w:eastAsia="zh-CN"/>
                    </w:rPr>
                    <w:t>个</w:t>
                  </w:r>
                </w:p>
              </w:tc>
              <w:tc>
                <w:tcPr>
                  <w:tcW w:w="1318" w:type="pct"/>
                  <w:shd w:val="clear" w:color="auto" w:fill="auto"/>
                  <w:vAlign w:val="center"/>
                </w:tcPr>
                <w:p w14:paraId="0ADC84AE">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100</w:t>
                  </w:r>
                  <w:r>
                    <w:rPr>
                      <w:rFonts w:hint="eastAsia"/>
                      <w:color w:val="auto"/>
                      <w:szCs w:val="20"/>
                      <w:lang w:val="en-US" w:eastAsia="zh-CN"/>
                    </w:rPr>
                    <w:t>个</w:t>
                  </w:r>
                </w:p>
              </w:tc>
              <w:tc>
                <w:tcPr>
                  <w:tcW w:w="620" w:type="pct"/>
                  <w:vAlign w:val="center"/>
                </w:tcPr>
                <w:p w14:paraId="3E6FD2E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color w:val="auto"/>
                      <w:sz w:val="21"/>
                      <w:szCs w:val="21"/>
                      <w:lang w:val="en-US" w:eastAsia="zh-CN"/>
                    </w:rPr>
                  </w:pPr>
                  <w:r>
                    <w:rPr>
                      <w:rFonts w:eastAsia="宋体"/>
                      <w:color w:val="auto"/>
                      <w:sz w:val="21"/>
                      <w:szCs w:val="21"/>
                    </w:rPr>
                    <w:t>一致</w:t>
                  </w:r>
                </w:p>
              </w:tc>
            </w:tr>
            <w:tr w14:paraId="47B6B30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Align w:val="center"/>
                </w:tcPr>
                <w:p w14:paraId="09081152">
                  <w:pPr>
                    <w:pStyle w:val="65"/>
                    <w:bidi w:val="0"/>
                    <w:rPr>
                      <w:rFonts w:hint="eastAsia"/>
                      <w:color w:val="auto"/>
                      <w:lang w:val="en-US" w:eastAsia="zh-CN"/>
                    </w:rPr>
                  </w:pPr>
                  <w:r>
                    <w:rPr>
                      <w:rFonts w:hint="eastAsia"/>
                      <w:color w:val="auto"/>
                      <w:lang w:val="en-US" w:eastAsia="zh-CN"/>
                    </w:rPr>
                    <w:t>3</w:t>
                  </w:r>
                </w:p>
              </w:tc>
              <w:tc>
                <w:tcPr>
                  <w:tcW w:w="1222" w:type="pct"/>
                  <w:shd w:val="clear" w:color="auto" w:fill="auto"/>
                  <w:vAlign w:val="center"/>
                </w:tcPr>
                <w:p w14:paraId="158D38A7">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PE包装覆膜</w:t>
                  </w:r>
                </w:p>
              </w:tc>
              <w:tc>
                <w:tcPr>
                  <w:tcW w:w="1531" w:type="pct"/>
                  <w:shd w:val="clear" w:color="auto" w:fill="auto"/>
                  <w:vAlign w:val="center"/>
                </w:tcPr>
                <w:p w14:paraId="65C32B8B">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100</w:t>
                  </w:r>
                  <w:r>
                    <w:rPr>
                      <w:rFonts w:hint="eastAsia"/>
                      <w:color w:val="auto"/>
                      <w:szCs w:val="20"/>
                      <w:lang w:val="en-US" w:eastAsia="zh-CN"/>
                    </w:rPr>
                    <w:t>卷</w:t>
                  </w:r>
                </w:p>
              </w:tc>
              <w:tc>
                <w:tcPr>
                  <w:tcW w:w="1318" w:type="pct"/>
                  <w:shd w:val="clear" w:color="auto" w:fill="auto"/>
                  <w:vAlign w:val="center"/>
                </w:tcPr>
                <w:p w14:paraId="0A3C55DD">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100</w:t>
                  </w:r>
                  <w:r>
                    <w:rPr>
                      <w:rFonts w:hint="eastAsia"/>
                      <w:color w:val="auto"/>
                      <w:szCs w:val="20"/>
                      <w:lang w:val="en-US" w:eastAsia="zh-CN"/>
                    </w:rPr>
                    <w:t>卷</w:t>
                  </w:r>
                </w:p>
              </w:tc>
              <w:tc>
                <w:tcPr>
                  <w:tcW w:w="620" w:type="pct"/>
                  <w:vAlign w:val="center"/>
                </w:tcPr>
                <w:p w14:paraId="612A25A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color w:val="auto"/>
                      <w:sz w:val="21"/>
                      <w:szCs w:val="21"/>
                      <w:lang w:val="en-US" w:eastAsia="zh-CN"/>
                    </w:rPr>
                  </w:pPr>
                  <w:r>
                    <w:rPr>
                      <w:rFonts w:eastAsia="宋体"/>
                      <w:color w:val="auto"/>
                      <w:sz w:val="21"/>
                      <w:szCs w:val="21"/>
                    </w:rPr>
                    <w:t>一致</w:t>
                  </w:r>
                </w:p>
              </w:tc>
            </w:tr>
            <w:tr w14:paraId="4D8AFC4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Align w:val="center"/>
                </w:tcPr>
                <w:p w14:paraId="470033FF">
                  <w:pPr>
                    <w:pStyle w:val="65"/>
                    <w:bidi w:val="0"/>
                    <w:rPr>
                      <w:rFonts w:hint="eastAsia"/>
                      <w:color w:val="auto"/>
                      <w:lang w:val="en-US" w:eastAsia="zh-CN"/>
                    </w:rPr>
                  </w:pPr>
                  <w:r>
                    <w:rPr>
                      <w:rFonts w:hint="eastAsia"/>
                      <w:color w:val="auto"/>
                      <w:lang w:val="en-US" w:eastAsia="zh-CN"/>
                    </w:rPr>
                    <w:t>4</w:t>
                  </w:r>
                </w:p>
              </w:tc>
              <w:tc>
                <w:tcPr>
                  <w:tcW w:w="1222" w:type="pct"/>
                  <w:shd w:val="clear" w:color="auto" w:fill="auto"/>
                  <w:vAlign w:val="center"/>
                </w:tcPr>
                <w:p w14:paraId="6DD7868A">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电</w:t>
                  </w:r>
                </w:p>
              </w:tc>
              <w:tc>
                <w:tcPr>
                  <w:tcW w:w="1531" w:type="pct"/>
                  <w:shd w:val="clear" w:color="auto" w:fill="auto"/>
                  <w:vAlign w:val="center"/>
                </w:tcPr>
                <w:p w14:paraId="00515239">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rPr>
                    <w:t>5000kW·h</w:t>
                  </w:r>
                </w:p>
              </w:tc>
              <w:tc>
                <w:tcPr>
                  <w:tcW w:w="1318" w:type="pct"/>
                  <w:shd w:val="clear" w:color="auto" w:fill="auto"/>
                  <w:vAlign w:val="center"/>
                </w:tcPr>
                <w:p w14:paraId="11E9B32A">
                  <w:pPr>
                    <w:pStyle w:val="65"/>
                    <w:rPr>
                      <w:rFonts w:hint="eastAsia" w:ascii="Times New Roman" w:hAnsi="Times New Roman" w:eastAsia="宋体" w:cs="Times New Roman"/>
                      <w:bCs/>
                      <w:color w:val="auto"/>
                      <w:sz w:val="21"/>
                      <w:szCs w:val="20"/>
                      <w:lang w:val="en-US" w:eastAsia="zh-CN" w:bidi="ar-SA"/>
                    </w:rPr>
                  </w:pPr>
                  <w:r>
                    <w:rPr>
                      <w:rFonts w:hint="eastAsia"/>
                      <w:color w:val="auto"/>
                      <w:szCs w:val="20"/>
                      <w:lang w:val="en-US" w:eastAsia="zh-CN"/>
                    </w:rPr>
                    <w:t>4800</w:t>
                  </w:r>
                  <w:r>
                    <w:rPr>
                      <w:rFonts w:hint="eastAsia"/>
                      <w:color w:val="auto"/>
                      <w:szCs w:val="20"/>
                    </w:rPr>
                    <w:t>kW·h</w:t>
                  </w:r>
                </w:p>
              </w:tc>
              <w:tc>
                <w:tcPr>
                  <w:tcW w:w="620" w:type="pct"/>
                  <w:vAlign w:val="center"/>
                </w:tcPr>
                <w:p w14:paraId="58A4504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color w:val="auto"/>
                      <w:sz w:val="21"/>
                      <w:szCs w:val="21"/>
                      <w:lang w:val="en-US" w:eastAsia="zh-CN"/>
                    </w:rPr>
                  </w:pPr>
                  <w:r>
                    <w:rPr>
                      <w:rFonts w:hint="eastAsia" w:eastAsia="宋体"/>
                      <w:color w:val="auto"/>
                      <w:sz w:val="21"/>
                      <w:szCs w:val="21"/>
                      <w:lang w:val="en-US" w:eastAsia="zh-CN"/>
                    </w:rPr>
                    <w:t>基本</w:t>
                  </w:r>
                  <w:r>
                    <w:rPr>
                      <w:rFonts w:eastAsia="宋体"/>
                      <w:color w:val="auto"/>
                      <w:sz w:val="21"/>
                      <w:szCs w:val="21"/>
                    </w:rPr>
                    <w:t>一致</w:t>
                  </w:r>
                </w:p>
              </w:tc>
            </w:tr>
          </w:tbl>
          <w:p w14:paraId="66BF2093">
            <w:pPr>
              <w:keepNext w:val="0"/>
              <w:keepLines w:val="0"/>
              <w:pageBreakBefore w:val="0"/>
              <w:widowControl/>
              <w:kinsoku/>
              <w:wordWrap/>
              <w:overflowPunct/>
              <w:topLinePunct w:val="0"/>
              <w:autoSpaceDE/>
              <w:autoSpaceDN/>
              <w:bidi w:val="0"/>
              <w:adjustRightInd w:val="0"/>
              <w:snapToGrid w:val="0"/>
              <w:spacing w:after="0" w:line="540" w:lineRule="exact"/>
              <w:textAlignment w:val="auto"/>
              <w:rPr>
                <w:rFonts w:ascii="Times New Roman" w:hAnsi="Times New Roman" w:eastAsia="黑体"/>
                <w:bCs/>
                <w:color w:val="auto"/>
                <w:kern w:val="2"/>
                <w:sz w:val="24"/>
                <w:szCs w:val="24"/>
                <w:lang w:val="pt-BR"/>
              </w:rPr>
            </w:pPr>
          </w:p>
          <w:p w14:paraId="5F3B1E50">
            <w:pPr>
              <w:keepNext w:val="0"/>
              <w:keepLines w:val="0"/>
              <w:pageBreakBefore w:val="0"/>
              <w:widowControl/>
              <w:kinsoku/>
              <w:wordWrap/>
              <w:overflowPunct/>
              <w:topLinePunct w:val="0"/>
              <w:autoSpaceDE/>
              <w:autoSpaceDN/>
              <w:bidi w:val="0"/>
              <w:adjustRightInd w:val="0"/>
              <w:snapToGrid w:val="0"/>
              <w:spacing w:after="0" w:line="540" w:lineRule="exact"/>
              <w:ind w:firstLine="480" w:firstLineChars="200"/>
              <w:textAlignment w:val="auto"/>
              <w:rPr>
                <w:rFonts w:ascii="Times New Roman" w:hAnsi="Times New Roman" w:eastAsia="黑体"/>
                <w:bCs/>
                <w:color w:val="auto"/>
                <w:kern w:val="2"/>
                <w:sz w:val="24"/>
                <w:szCs w:val="24"/>
                <w:lang w:val="pt-BR"/>
              </w:rPr>
            </w:pPr>
          </w:p>
          <w:p w14:paraId="28B45C3C">
            <w:pPr>
              <w:widowControl w:val="0"/>
              <w:adjustRightInd/>
              <w:snapToGrid/>
              <w:spacing w:after="0" w:line="440" w:lineRule="exact"/>
              <w:jc w:val="both"/>
              <w:rPr>
                <w:rFonts w:eastAsia="宋体"/>
                <w:bCs/>
                <w:color w:val="auto"/>
                <w:sz w:val="24"/>
                <w:szCs w:val="24"/>
              </w:rPr>
            </w:pPr>
          </w:p>
        </w:tc>
      </w:tr>
    </w:tbl>
    <w:p w14:paraId="61C4DE8E">
      <w:pPr>
        <w:spacing w:line="360" w:lineRule="auto"/>
        <w:rPr>
          <w:rFonts w:eastAsia="仿宋_GB2312"/>
          <w:color w:val="auto"/>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0"/>
      </w:tblGrid>
      <w:tr w14:paraId="1FA2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27FC62CA">
            <w:pPr>
              <w:keepNext w:val="0"/>
              <w:keepLines w:val="0"/>
              <w:pageBreakBefore w:val="0"/>
              <w:widowControl/>
              <w:kinsoku/>
              <w:wordWrap/>
              <w:overflowPunct/>
              <w:topLinePunct w:val="0"/>
              <w:autoSpaceDE/>
              <w:autoSpaceDN/>
              <w:bidi w:val="0"/>
              <w:adjustRightInd w:val="0"/>
              <w:snapToGrid w:val="0"/>
              <w:spacing w:after="0" w:line="540" w:lineRule="exact"/>
              <w:ind w:firstLine="482" w:firstLineChars="200"/>
              <w:textAlignment w:val="auto"/>
              <w:rPr>
                <w:rFonts w:hint="eastAsia" w:eastAsia="宋体"/>
                <w:b/>
                <w:bCs/>
                <w:color w:val="auto"/>
                <w:kern w:val="2"/>
                <w:sz w:val="24"/>
                <w:szCs w:val="20"/>
                <w:lang w:val="en-US" w:eastAsia="zh-CN"/>
              </w:rPr>
            </w:pPr>
            <w:r>
              <w:rPr>
                <w:rFonts w:hint="eastAsia" w:eastAsia="宋体"/>
                <w:b/>
                <w:bCs/>
                <w:color w:val="auto"/>
                <w:kern w:val="2"/>
                <w:sz w:val="24"/>
                <w:szCs w:val="20"/>
                <w:lang w:val="en-US" w:eastAsia="zh-CN"/>
              </w:rPr>
              <w:t>6、储存危险废物类别及中转量</w:t>
            </w:r>
          </w:p>
          <w:p w14:paraId="4FF178AB">
            <w:pPr>
              <w:pStyle w:val="68"/>
              <w:keepNext/>
              <w:keepLines w:val="0"/>
              <w:pageBreakBefore w:val="0"/>
              <w:widowControl w:val="0"/>
              <w:kinsoku/>
              <w:wordWrap/>
              <w:overflowPunct/>
              <w:topLinePunct w:val="0"/>
              <w:autoSpaceDE/>
              <w:autoSpaceDN/>
              <w:bidi w:val="0"/>
              <w:adjustRightInd w:val="0"/>
              <w:snapToGrid w:val="0"/>
              <w:spacing w:after="200" w:line="460" w:lineRule="exact"/>
              <w:ind w:left="0" w:firstLine="480" w:firstLineChars="200"/>
              <w:textAlignment w:val="auto"/>
              <w:rPr>
                <w:rFonts w:hint="eastAsia" w:ascii="Times New Roman" w:hAnsi="Times New Roman" w:cs="宋体"/>
                <w:color w:val="auto"/>
                <w:lang w:val="pt-BR"/>
              </w:rPr>
            </w:pPr>
            <w:r>
              <w:rPr>
                <w:rFonts w:hint="eastAsia" w:ascii="Times New Roman" w:hAnsi="Times New Roman" w:cs="宋体"/>
                <w:color w:val="auto"/>
              </w:rPr>
              <w:tab/>
            </w:r>
            <w:r>
              <w:rPr>
                <w:rFonts w:hint="eastAsia" w:ascii="Times New Roman" w:hAnsi="Times New Roman" w:cs="宋体"/>
                <w:color w:val="auto"/>
              </w:rPr>
              <w:t xml:space="preserve">     </w:t>
            </w: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w:t>
            </w:r>
            <w:r>
              <w:rPr>
                <w:rFonts w:hint="eastAsia" w:ascii="Times New Roman" w:hAnsi="Times New Roman" w:cs="宋体"/>
                <w:color w:val="auto"/>
                <w:lang w:val="en-US" w:eastAsia="zh-CN"/>
              </w:rPr>
              <w:t xml:space="preserve">       </w:t>
            </w:r>
            <w:r>
              <w:rPr>
                <w:rFonts w:hint="eastAsia" w:ascii="Times New Roman" w:hAnsi="Times New Roman" w:cs="宋体"/>
                <w:color w:val="auto"/>
                <w:lang w:val="pt-BR"/>
              </w:rPr>
              <w:t>全厂储存危险废物类别及中转量</w:t>
            </w:r>
            <w:r>
              <w:rPr>
                <w:rFonts w:hint="eastAsia" w:ascii="Times New Roman" w:hAnsi="Times New Roman" w:cs="宋体"/>
                <w:color w:val="auto"/>
                <w:lang w:val="en-US" w:eastAsia="zh-CN"/>
              </w:rPr>
              <w:t>一览表</w:t>
            </w:r>
          </w:p>
          <w:tbl>
            <w:tblPr>
              <w:tblStyle w:val="20"/>
              <w:tblW w:w="4997" w:type="pct"/>
              <w:jc w:val="center"/>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71"/>
              <w:gridCol w:w="1200"/>
              <w:gridCol w:w="2700"/>
              <w:gridCol w:w="694"/>
              <w:gridCol w:w="694"/>
              <w:gridCol w:w="618"/>
              <w:gridCol w:w="1144"/>
              <w:gridCol w:w="919"/>
              <w:gridCol w:w="2569"/>
              <w:gridCol w:w="675"/>
              <w:gridCol w:w="581"/>
              <w:gridCol w:w="581"/>
              <w:gridCol w:w="425"/>
            </w:tblGrid>
            <w:tr w14:paraId="455E91AF">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2427DFDD">
                  <w:pPr>
                    <w:pStyle w:val="65"/>
                    <w:rPr>
                      <w:b/>
                      <w:color w:val="auto"/>
                      <w:lang w:val="pt-BR"/>
                    </w:rPr>
                  </w:pPr>
                  <w:r>
                    <w:rPr>
                      <w:b/>
                      <w:color w:val="auto"/>
                    </w:rPr>
                    <w:t>序号</w:t>
                  </w:r>
                </w:p>
              </w:tc>
              <w:tc>
                <w:tcPr>
                  <w:tcW w:w="2385" w:type="pct"/>
                  <w:gridSpan w:val="6"/>
                  <w:vAlign w:val="center"/>
                </w:tcPr>
                <w:p w14:paraId="38E4F422">
                  <w:pPr>
                    <w:pStyle w:val="65"/>
                    <w:rPr>
                      <w:rFonts w:hint="default"/>
                      <w:b/>
                      <w:color w:val="auto"/>
                      <w:lang w:val="en-US"/>
                    </w:rPr>
                  </w:pPr>
                  <w:r>
                    <w:rPr>
                      <w:rFonts w:hint="eastAsia"/>
                      <w:b/>
                      <w:color w:val="auto"/>
                      <w:lang w:val="en-US" w:eastAsia="zh-CN"/>
                    </w:rPr>
                    <w:t>环评及批复内容</w:t>
                  </w:r>
                </w:p>
              </w:tc>
              <w:tc>
                <w:tcPr>
                  <w:tcW w:w="2311" w:type="pct"/>
                  <w:gridSpan w:val="6"/>
                  <w:vAlign w:val="center"/>
                </w:tcPr>
                <w:p w14:paraId="1C098FD8">
                  <w:pPr>
                    <w:pStyle w:val="65"/>
                    <w:rPr>
                      <w:rFonts w:hint="default"/>
                      <w:b/>
                      <w:color w:val="auto"/>
                      <w:lang w:val="en-US" w:eastAsia="zh-CN"/>
                    </w:rPr>
                  </w:pPr>
                  <w:r>
                    <w:rPr>
                      <w:rFonts w:hint="eastAsia"/>
                      <w:b/>
                      <w:color w:val="auto"/>
                      <w:lang w:val="en-US" w:eastAsia="zh-CN"/>
                    </w:rPr>
                    <w:t>实际建设内容</w:t>
                  </w:r>
                </w:p>
              </w:tc>
              <w:tc>
                <w:tcPr>
                  <w:tcW w:w="151" w:type="pct"/>
                  <w:vMerge w:val="restart"/>
                  <w:vAlign w:val="center"/>
                </w:tcPr>
                <w:p w14:paraId="7369B8AF">
                  <w:pPr>
                    <w:pStyle w:val="65"/>
                    <w:rPr>
                      <w:rFonts w:hint="default"/>
                      <w:b/>
                      <w:color w:val="auto"/>
                      <w:lang w:val="en-US" w:eastAsia="zh-CN"/>
                    </w:rPr>
                  </w:pPr>
                  <w:r>
                    <w:rPr>
                      <w:rFonts w:hint="eastAsia"/>
                      <w:b/>
                      <w:color w:val="auto"/>
                      <w:lang w:val="en-US" w:eastAsia="zh-CN"/>
                    </w:rPr>
                    <w:t>备注</w:t>
                  </w:r>
                </w:p>
              </w:tc>
            </w:tr>
            <w:tr w14:paraId="5D24BF9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3CE68D7C">
                  <w:pPr>
                    <w:pStyle w:val="65"/>
                    <w:rPr>
                      <w:b/>
                      <w:color w:val="auto"/>
                      <w:lang w:val="pt-BR"/>
                    </w:rPr>
                  </w:pPr>
                </w:p>
              </w:tc>
              <w:tc>
                <w:tcPr>
                  <w:tcW w:w="275" w:type="pct"/>
                  <w:vAlign w:val="center"/>
                </w:tcPr>
                <w:p w14:paraId="76739E35">
                  <w:pPr>
                    <w:pStyle w:val="65"/>
                    <w:rPr>
                      <w:b/>
                      <w:color w:val="auto"/>
                      <w:lang w:val="pt-BR"/>
                    </w:rPr>
                  </w:pPr>
                  <w:r>
                    <w:rPr>
                      <w:rFonts w:hint="eastAsia"/>
                      <w:b/>
                      <w:color w:val="auto"/>
                    </w:rPr>
                    <w:t>危险废物类别</w:t>
                  </w:r>
                </w:p>
              </w:tc>
              <w:tc>
                <w:tcPr>
                  <w:tcW w:w="428" w:type="pct"/>
                  <w:vAlign w:val="center"/>
                </w:tcPr>
                <w:p w14:paraId="7214C628">
                  <w:pPr>
                    <w:pStyle w:val="65"/>
                    <w:rPr>
                      <w:b/>
                      <w:color w:val="auto"/>
                      <w:lang w:val="pt-BR"/>
                    </w:rPr>
                  </w:pPr>
                  <w:r>
                    <w:rPr>
                      <w:rFonts w:hint="eastAsia"/>
                      <w:b/>
                      <w:color w:val="auto"/>
                      <w:lang w:val="pt-BR"/>
                    </w:rPr>
                    <w:t>危险废物代码</w:t>
                  </w:r>
                </w:p>
              </w:tc>
              <w:tc>
                <w:tcPr>
                  <w:tcW w:w="964" w:type="pct"/>
                  <w:vAlign w:val="center"/>
                </w:tcPr>
                <w:p w14:paraId="2B5D31D5">
                  <w:pPr>
                    <w:pStyle w:val="65"/>
                    <w:rPr>
                      <w:b/>
                      <w:color w:val="auto"/>
                      <w:lang w:val="pt-BR"/>
                    </w:rPr>
                  </w:pPr>
                  <w:r>
                    <w:rPr>
                      <w:rFonts w:hint="eastAsia"/>
                      <w:b/>
                      <w:color w:val="auto"/>
                      <w:lang w:val="pt-BR"/>
                    </w:rPr>
                    <w:t>危险废物</w:t>
                  </w:r>
                </w:p>
              </w:tc>
              <w:tc>
                <w:tcPr>
                  <w:tcW w:w="247" w:type="pct"/>
                  <w:vAlign w:val="center"/>
                </w:tcPr>
                <w:p w14:paraId="339EBF87">
                  <w:pPr>
                    <w:pStyle w:val="65"/>
                    <w:rPr>
                      <w:b/>
                      <w:color w:val="auto"/>
                      <w:lang w:val="pt-BR"/>
                    </w:rPr>
                  </w:pPr>
                  <w:r>
                    <w:rPr>
                      <w:rFonts w:hint="eastAsia"/>
                      <w:b/>
                      <w:color w:val="auto"/>
                      <w:lang w:val="pt-BR"/>
                    </w:rPr>
                    <w:t>最大暂存量/(t/a)</w:t>
                  </w:r>
                </w:p>
              </w:tc>
              <w:tc>
                <w:tcPr>
                  <w:tcW w:w="468" w:type="pct"/>
                  <w:gridSpan w:val="2"/>
                  <w:vAlign w:val="center"/>
                </w:tcPr>
                <w:p w14:paraId="0661BA93">
                  <w:pPr>
                    <w:pStyle w:val="65"/>
                    <w:rPr>
                      <w:b/>
                      <w:color w:val="auto"/>
                      <w:lang w:val="pt-BR"/>
                    </w:rPr>
                  </w:pPr>
                  <w:r>
                    <w:rPr>
                      <w:rFonts w:hint="eastAsia"/>
                      <w:b/>
                      <w:color w:val="auto"/>
                      <w:lang w:val="pt-BR"/>
                    </w:rPr>
                    <w:t>最大周转量/(t/a)</w:t>
                  </w:r>
                </w:p>
              </w:tc>
              <w:tc>
                <w:tcPr>
                  <w:tcW w:w="408" w:type="pct"/>
                  <w:vAlign w:val="center"/>
                </w:tcPr>
                <w:p w14:paraId="7BDEF1A9">
                  <w:pPr>
                    <w:pStyle w:val="65"/>
                    <w:rPr>
                      <w:rFonts w:hint="eastAsia"/>
                      <w:b/>
                      <w:color w:val="auto"/>
                      <w:lang w:val="pt-BR"/>
                    </w:rPr>
                  </w:pPr>
                  <w:r>
                    <w:rPr>
                      <w:rFonts w:hint="eastAsia"/>
                      <w:b/>
                      <w:color w:val="auto"/>
                    </w:rPr>
                    <w:t>危险废物类别</w:t>
                  </w:r>
                </w:p>
              </w:tc>
              <w:tc>
                <w:tcPr>
                  <w:tcW w:w="328" w:type="pct"/>
                  <w:vAlign w:val="center"/>
                </w:tcPr>
                <w:p w14:paraId="549E0F49">
                  <w:pPr>
                    <w:pStyle w:val="65"/>
                    <w:rPr>
                      <w:rFonts w:hint="eastAsia"/>
                      <w:b/>
                      <w:color w:val="auto"/>
                      <w:lang w:val="pt-BR"/>
                    </w:rPr>
                  </w:pPr>
                  <w:r>
                    <w:rPr>
                      <w:rFonts w:hint="eastAsia"/>
                      <w:b/>
                      <w:color w:val="auto"/>
                      <w:lang w:val="pt-BR"/>
                    </w:rPr>
                    <w:t>危险废物代码</w:t>
                  </w:r>
                </w:p>
              </w:tc>
              <w:tc>
                <w:tcPr>
                  <w:tcW w:w="917" w:type="pct"/>
                  <w:vAlign w:val="center"/>
                </w:tcPr>
                <w:p w14:paraId="5F653868">
                  <w:pPr>
                    <w:pStyle w:val="65"/>
                    <w:rPr>
                      <w:rFonts w:hint="eastAsia"/>
                      <w:b/>
                      <w:color w:val="auto"/>
                      <w:lang w:val="pt-BR"/>
                    </w:rPr>
                  </w:pPr>
                  <w:r>
                    <w:rPr>
                      <w:rFonts w:hint="eastAsia"/>
                      <w:b/>
                      <w:color w:val="auto"/>
                      <w:lang w:val="pt-BR"/>
                    </w:rPr>
                    <w:t>危险废物</w:t>
                  </w:r>
                </w:p>
              </w:tc>
              <w:tc>
                <w:tcPr>
                  <w:tcW w:w="241" w:type="pct"/>
                  <w:vAlign w:val="center"/>
                </w:tcPr>
                <w:p w14:paraId="413D624C">
                  <w:pPr>
                    <w:pStyle w:val="65"/>
                    <w:rPr>
                      <w:rFonts w:hint="eastAsia"/>
                      <w:b/>
                      <w:color w:val="auto"/>
                      <w:lang w:val="pt-BR"/>
                    </w:rPr>
                  </w:pPr>
                  <w:r>
                    <w:rPr>
                      <w:rFonts w:hint="eastAsia"/>
                      <w:b/>
                      <w:color w:val="auto"/>
                      <w:lang w:val="pt-BR"/>
                    </w:rPr>
                    <w:t>最大暂存量/(t/a)</w:t>
                  </w:r>
                </w:p>
              </w:tc>
              <w:tc>
                <w:tcPr>
                  <w:tcW w:w="415" w:type="pct"/>
                  <w:gridSpan w:val="2"/>
                  <w:vAlign w:val="center"/>
                </w:tcPr>
                <w:p w14:paraId="594C674B">
                  <w:pPr>
                    <w:pStyle w:val="65"/>
                    <w:rPr>
                      <w:rFonts w:hint="eastAsia"/>
                      <w:b/>
                      <w:color w:val="auto"/>
                      <w:lang w:val="pt-BR"/>
                    </w:rPr>
                  </w:pPr>
                  <w:r>
                    <w:rPr>
                      <w:rFonts w:hint="eastAsia"/>
                      <w:b/>
                      <w:color w:val="auto"/>
                      <w:lang w:val="pt-BR"/>
                    </w:rPr>
                    <w:t>最大周转量/(t/a)</w:t>
                  </w:r>
                </w:p>
              </w:tc>
              <w:tc>
                <w:tcPr>
                  <w:tcW w:w="151" w:type="pct"/>
                  <w:vMerge w:val="continue"/>
                  <w:vAlign w:val="center"/>
                </w:tcPr>
                <w:p w14:paraId="2720F26E">
                  <w:pPr>
                    <w:pStyle w:val="65"/>
                    <w:rPr>
                      <w:rFonts w:hint="eastAsia"/>
                      <w:b/>
                      <w:color w:val="auto"/>
                      <w:lang w:val="pt-BR"/>
                    </w:rPr>
                  </w:pPr>
                </w:p>
              </w:tc>
            </w:tr>
            <w:tr w14:paraId="30B36CF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151" w:type="pct"/>
                  <w:vAlign w:val="center"/>
                </w:tcPr>
                <w:p w14:paraId="2DFAFBF8">
                  <w:pPr>
                    <w:pStyle w:val="66"/>
                    <w:numPr>
                      <w:ilvl w:val="0"/>
                      <w:numId w:val="3"/>
                    </w:numPr>
                    <w:rPr>
                      <w:color w:val="auto"/>
                      <w:lang w:val="pt-BR"/>
                    </w:rPr>
                  </w:pPr>
                </w:p>
              </w:tc>
              <w:tc>
                <w:tcPr>
                  <w:tcW w:w="275" w:type="pct"/>
                  <w:vAlign w:val="center"/>
                </w:tcPr>
                <w:p w14:paraId="537F7F9C">
                  <w:pPr>
                    <w:pStyle w:val="65"/>
                    <w:rPr>
                      <w:color w:val="auto"/>
                    </w:rPr>
                  </w:pPr>
                  <w:r>
                    <w:rPr>
                      <w:rFonts w:hint="eastAsia"/>
                      <w:color w:val="auto"/>
                    </w:rPr>
                    <w:t>HW03废药物、药品</w:t>
                  </w:r>
                </w:p>
              </w:tc>
              <w:tc>
                <w:tcPr>
                  <w:tcW w:w="428" w:type="pct"/>
                  <w:vAlign w:val="center"/>
                </w:tcPr>
                <w:p w14:paraId="58B138A0">
                  <w:pPr>
                    <w:pStyle w:val="65"/>
                    <w:rPr>
                      <w:color w:val="auto"/>
                    </w:rPr>
                  </w:pPr>
                  <w:r>
                    <w:rPr>
                      <w:rFonts w:hint="eastAsia"/>
                      <w:color w:val="auto"/>
                    </w:rPr>
                    <w:t>900-002-03</w:t>
                  </w:r>
                </w:p>
              </w:tc>
              <w:tc>
                <w:tcPr>
                  <w:tcW w:w="964" w:type="pct"/>
                  <w:vAlign w:val="center"/>
                </w:tcPr>
                <w:p w14:paraId="022E714E">
                  <w:pPr>
                    <w:pStyle w:val="65"/>
                    <w:rPr>
                      <w:color w:val="auto"/>
                    </w:rPr>
                  </w:pPr>
                  <w:r>
                    <w:rPr>
                      <w:rFonts w:hint="eastAsia"/>
                      <w:color w:val="auto"/>
                    </w:rPr>
                    <w:t>销售及使用过程中产生的失效、变质、不合格、淘汰、伪劣的化学药品和生物制品，以及《医疗用毒性药品管理办法》中所列的毒性中药</w:t>
                  </w:r>
                </w:p>
              </w:tc>
              <w:tc>
                <w:tcPr>
                  <w:tcW w:w="247" w:type="pct"/>
                  <w:vAlign w:val="center"/>
                </w:tcPr>
                <w:p w14:paraId="73AAC7EA">
                  <w:pPr>
                    <w:pStyle w:val="65"/>
                    <w:rPr>
                      <w:color w:val="auto"/>
                    </w:rPr>
                  </w:pPr>
                  <w:r>
                    <w:rPr>
                      <w:color w:val="auto"/>
                    </w:rPr>
                    <w:t>2</w:t>
                  </w:r>
                </w:p>
              </w:tc>
              <w:tc>
                <w:tcPr>
                  <w:tcW w:w="247" w:type="pct"/>
                  <w:vAlign w:val="center"/>
                </w:tcPr>
                <w:p w14:paraId="6EC8BDF9">
                  <w:pPr>
                    <w:pStyle w:val="65"/>
                    <w:rPr>
                      <w:color w:val="auto"/>
                    </w:rPr>
                  </w:pPr>
                  <w:r>
                    <w:rPr>
                      <w:color w:val="auto"/>
                    </w:rPr>
                    <w:t>100</w:t>
                  </w:r>
                </w:p>
              </w:tc>
              <w:tc>
                <w:tcPr>
                  <w:tcW w:w="220" w:type="pct"/>
                  <w:vAlign w:val="center"/>
                </w:tcPr>
                <w:p w14:paraId="41EB5395">
                  <w:pPr>
                    <w:pStyle w:val="65"/>
                    <w:rPr>
                      <w:color w:val="auto"/>
                    </w:rPr>
                  </w:pPr>
                  <w:r>
                    <w:rPr>
                      <w:rFonts w:hint="eastAsia"/>
                      <w:color w:val="auto"/>
                    </w:rPr>
                    <w:t>100</w:t>
                  </w:r>
                </w:p>
              </w:tc>
              <w:tc>
                <w:tcPr>
                  <w:tcW w:w="408" w:type="pct"/>
                  <w:shd w:val="clear" w:color="auto" w:fill="auto"/>
                  <w:vAlign w:val="center"/>
                </w:tcPr>
                <w:p w14:paraId="13344C21">
                  <w:pPr>
                    <w:pStyle w:val="65"/>
                    <w:rPr>
                      <w:rFonts w:hint="eastAsia" w:ascii="Times New Roman" w:hAnsi="Times New Roman" w:eastAsia="宋体" w:cs="Times New Roman"/>
                      <w:bCs/>
                      <w:color w:val="auto"/>
                      <w:sz w:val="21"/>
                      <w:lang w:val="en-US" w:eastAsia="zh-CN" w:bidi="ar-SA"/>
                    </w:rPr>
                  </w:pPr>
                  <w:r>
                    <w:rPr>
                      <w:rFonts w:hint="eastAsia"/>
                      <w:color w:val="auto"/>
                    </w:rPr>
                    <w:t>HW03废药物、药品</w:t>
                  </w:r>
                </w:p>
              </w:tc>
              <w:tc>
                <w:tcPr>
                  <w:tcW w:w="328" w:type="pct"/>
                  <w:shd w:val="clear" w:color="auto" w:fill="auto"/>
                  <w:vAlign w:val="center"/>
                </w:tcPr>
                <w:p w14:paraId="13E9D6AA">
                  <w:pPr>
                    <w:pStyle w:val="65"/>
                    <w:rPr>
                      <w:rFonts w:hint="eastAsia" w:ascii="Times New Roman" w:hAnsi="Times New Roman" w:eastAsia="宋体" w:cs="Times New Roman"/>
                      <w:bCs/>
                      <w:color w:val="auto"/>
                      <w:sz w:val="21"/>
                      <w:lang w:val="en-US" w:eastAsia="zh-CN" w:bidi="ar-SA"/>
                    </w:rPr>
                  </w:pPr>
                  <w:r>
                    <w:rPr>
                      <w:rFonts w:hint="eastAsia"/>
                      <w:color w:val="auto"/>
                    </w:rPr>
                    <w:t>900-002-03</w:t>
                  </w:r>
                </w:p>
              </w:tc>
              <w:tc>
                <w:tcPr>
                  <w:tcW w:w="917" w:type="pct"/>
                  <w:shd w:val="clear" w:color="auto" w:fill="auto"/>
                  <w:vAlign w:val="center"/>
                </w:tcPr>
                <w:p w14:paraId="0814C649">
                  <w:pPr>
                    <w:pStyle w:val="65"/>
                    <w:rPr>
                      <w:rFonts w:hint="eastAsia" w:ascii="Times New Roman" w:hAnsi="Times New Roman" w:eastAsia="宋体" w:cs="Times New Roman"/>
                      <w:bCs/>
                      <w:color w:val="auto"/>
                      <w:sz w:val="21"/>
                      <w:lang w:val="en-US" w:eastAsia="zh-CN" w:bidi="ar-SA"/>
                    </w:rPr>
                  </w:pPr>
                  <w:r>
                    <w:rPr>
                      <w:rFonts w:hint="eastAsia"/>
                      <w:color w:val="auto"/>
                    </w:rPr>
                    <w:t>销售及使用过程中产生的失效、变质、不合格、淘汰、伪劣的化学药品和生物制品，以及《医疗用毒性药品管理办法》中所列的毒性中药</w:t>
                  </w:r>
                </w:p>
              </w:tc>
              <w:tc>
                <w:tcPr>
                  <w:tcW w:w="241" w:type="pct"/>
                  <w:shd w:val="clear" w:color="auto" w:fill="auto"/>
                  <w:vAlign w:val="center"/>
                </w:tcPr>
                <w:p w14:paraId="309C6B36">
                  <w:pPr>
                    <w:pStyle w:val="65"/>
                    <w:rPr>
                      <w:rFonts w:hint="eastAsia"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5234205B">
                  <w:pPr>
                    <w:pStyle w:val="65"/>
                    <w:rPr>
                      <w:rFonts w:hint="eastAsia" w:ascii="Times New Roman" w:hAnsi="Times New Roman" w:eastAsia="宋体" w:cs="Times New Roman"/>
                      <w:bCs/>
                      <w:color w:val="auto"/>
                      <w:sz w:val="21"/>
                      <w:lang w:val="en-US" w:eastAsia="zh-CN" w:bidi="ar-SA"/>
                    </w:rPr>
                  </w:pPr>
                  <w:r>
                    <w:rPr>
                      <w:color w:val="auto"/>
                    </w:rPr>
                    <w:t>100</w:t>
                  </w:r>
                </w:p>
              </w:tc>
              <w:tc>
                <w:tcPr>
                  <w:tcW w:w="207" w:type="pct"/>
                  <w:shd w:val="clear" w:color="auto" w:fill="auto"/>
                  <w:vAlign w:val="center"/>
                </w:tcPr>
                <w:p w14:paraId="57A37AB3">
                  <w:pPr>
                    <w:pStyle w:val="65"/>
                    <w:rPr>
                      <w:rFonts w:hint="eastAsia" w:ascii="Times New Roman" w:hAnsi="Times New Roman" w:eastAsia="宋体" w:cs="Times New Roman"/>
                      <w:bCs/>
                      <w:color w:val="auto"/>
                      <w:sz w:val="21"/>
                      <w:lang w:val="en-US" w:eastAsia="zh-CN" w:bidi="ar-SA"/>
                    </w:rPr>
                  </w:pPr>
                  <w:r>
                    <w:rPr>
                      <w:rFonts w:hint="eastAsia"/>
                      <w:color w:val="auto"/>
                    </w:rPr>
                    <w:t>100</w:t>
                  </w:r>
                </w:p>
              </w:tc>
              <w:tc>
                <w:tcPr>
                  <w:tcW w:w="151" w:type="pct"/>
                  <w:vAlign w:val="center"/>
                </w:tcPr>
                <w:p w14:paraId="305ABE37">
                  <w:pPr>
                    <w:pStyle w:val="65"/>
                    <w:rPr>
                      <w:rFonts w:hint="eastAsia" w:eastAsia="宋体"/>
                      <w:color w:val="auto"/>
                      <w:lang w:val="en-US" w:eastAsia="zh-CN"/>
                    </w:rPr>
                  </w:pPr>
                  <w:r>
                    <w:rPr>
                      <w:rFonts w:hint="eastAsia"/>
                      <w:color w:val="auto"/>
                      <w:lang w:val="en-US" w:eastAsia="zh-CN"/>
                    </w:rPr>
                    <w:t>一致</w:t>
                  </w:r>
                </w:p>
              </w:tc>
            </w:tr>
            <w:tr w14:paraId="1252F9ED">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2820731D">
                  <w:pPr>
                    <w:pStyle w:val="66"/>
                    <w:numPr>
                      <w:ilvl w:val="0"/>
                      <w:numId w:val="3"/>
                    </w:numPr>
                    <w:rPr>
                      <w:color w:val="auto"/>
                      <w:lang w:val="pt-BR"/>
                    </w:rPr>
                  </w:pPr>
                </w:p>
              </w:tc>
              <w:tc>
                <w:tcPr>
                  <w:tcW w:w="275" w:type="pct"/>
                  <w:vMerge w:val="restart"/>
                  <w:vAlign w:val="center"/>
                </w:tcPr>
                <w:p w14:paraId="1FE02E18">
                  <w:pPr>
                    <w:pStyle w:val="65"/>
                    <w:rPr>
                      <w:color w:val="auto"/>
                    </w:rPr>
                  </w:pPr>
                  <w:r>
                    <w:rPr>
                      <w:rFonts w:hint="eastAsia"/>
                      <w:color w:val="auto"/>
                    </w:rPr>
                    <w:t>HW06废有机溶剂与含有机溶剂废物</w:t>
                  </w:r>
                </w:p>
              </w:tc>
              <w:tc>
                <w:tcPr>
                  <w:tcW w:w="428" w:type="pct"/>
                  <w:vAlign w:val="center"/>
                </w:tcPr>
                <w:p w14:paraId="44E9E369">
                  <w:pPr>
                    <w:pStyle w:val="65"/>
                    <w:rPr>
                      <w:color w:val="auto"/>
                    </w:rPr>
                  </w:pPr>
                  <w:r>
                    <w:rPr>
                      <w:rFonts w:hint="eastAsia"/>
                      <w:color w:val="auto"/>
                    </w:rPr>
                    <w:t>900-402-06</w:t>
                  </w:r>
                </w:p>
              </w:tc>
              <w:tc>
                <w:tcPr>
                  <w:tcW w:w="964" w:type="pct"/>
                  <w:vAlign w:val="center"/>
                </w:tcPr>
                <w:p w14:paraId="5AA9CF69">
                  <w:pPr>
                    <w:pStyle w:val="65"/>
                    <w:rPr>
                      <w:color w:val="auto"/>
                    </w:rPr>
                  </w:pPr>
                  <w:r>
                    <w:rPr>
                      <w:rFonts w:hint="eastAsia"/>
                      <w:color w:val="auto"/>
                    </w:rPr>
                    <w:t>工业生产中作为清洗剂、萃取剂、溶剂或者反应介质使用后废弃的有机溶剂，包括苯、苯乙烯、丁醇、丙酮、正己烷、甲苯、邻二甲苯、间二甲苯、对二甲苯、1,2,4-三甲苯、乙苯、乙醇、异丙醇、乙醚、丙醚、乙酸甲酯、乙酸乙酯、乙酸丁酯、丙酸丁酯、苯酚，以及在使用前混合的含有一种或者多种上述溶剂的混合/调和溶剂</w:t>
                  </w:r>
                </w:p>
              </w:tc>
              <w:tc>
                <w:tcPr>
                  <w:tcW w:w="247" w:type="pct"/>
                  <w:vAlign w:val="center"/>
                </w:tcPr>
                <w:p w14:paraId="74A015DE">
                  <w:pPr>
                    <w:pStyle w:val="65"/>
                    <w:rPr>
                      <w:color w:val="auto"/>
                    </w:rPr>
                  </w:pPr>
                  <w:r>
                    <w:rPr>
                      <w:color w:val="auto"/>
                    </w:rPr>
                    <w:t>2</w:t>
                  </w:r>
                </w:p>
              </w:tc>
              <w:tc>
                <w:tcPr>
                  <w:tcW w:w="247" w:type="pct"/>
                  <w:vAlign w:val="center"/>
                </w:tcPr>
                <w:p w14:paraId="438BBD0C">
                  <w:pPr>
                    <w:pStyle w:val="65"/>
                    <w:rPr>
                      <w:color w:val="auto"/>
                    </w:rPr>
                  </w:pPr>
                  <w:r>
                    <w:rPr>
                      <w:color w:val="auto"/>
                    </w:rPr>
                    <w:t>100</w:t>
                  </w:r>
                </w:p>
              </w:tc>
              <w:tc>
                <w:tcPr>
                  <w:tcW w:w="220" w:type="pct"/>
                  <w:vMerge w:val="restart"/>
                  <w:vAlign w:val="center"/>
                </w:tcPr>
                <w:p w14:paraId="0E8542C8">
                  <w:pPr>
                    <w:pStyle w:val="65"/>
                    <w:rPr>
                      <w:color w:val="auto"/>
                    </w:rPr>
                  </w:pPr>
                  <w:r>
                    <w:rPr>
                      <w:rFonts w:hint="eastAsia"/>
                      <w:color w:val="auto"/>
                    </w:rPr>
                    <w:t>300</w:t>
                  </w:r>
                </w:p>
              </w:tc>
              <w:tc>
                <w:tcPr>
                  <w:tcW w:w="408" w:type="pct"/>
                  <w:vMerge w:val="restart"/>
                  <w:shd w:val="clear" w:color="auto" w:fill="auto"/>
                  <w:vAlign w:val="center"/>
                </w:tcPr>
                <w:p w14:paraId="430F03A1">
                  <w:pPr>
                    <w:pStyle w:val="65"/>
                    <w:rPr>
                      <w:rFonts w:hint="eastAsia" w:ascii="Times New Roman" w:hAnsi="Times New Roman" w:eastAsia="宋体" w:cs="Times New Roman"/>
                      <w:bCs/>
                      <w:color w:val="auto"/>
                      <w:sz w:val="21"/>
                      <w:lang w:val="en-US" w:eastAsia="zh-CN" w:bidi="ar-SA"/>
                    </w:rPr>
                  </w:pPr>
                  <w:r>
                    <w:rPr>
                      <w:rFonts w:hint="eastAsia"/>
                      <w:color w:val="auto"/>
                    </w:rPr>
                    <w:t>HW06废有机溶剂与含有机溶剂废物</w:t>
                  </w:r>
                </w:p>
              </w:tc>
              <w:tc>
                <w:tcPr>
                  <w:tcW w:w="328" w:type="pct"/>
                  <w:shd w:val="clear" w:color="auto" w:fill="auto"/>
                  <w:vAlign w:val="center"/>
                </w:tcPr>
                <w:p w14:paraId="0167D868">
                  <w:pPr>
                    <w:pStyle w:val="65"/>
                    <w:rPr>
                      <w:rFonts w:hint="eastAsia" w:ascii="Times New Roman" w:hAnsi="Times New Roman" w:eastAsia="宋体" w:cs="Times New Roman"/>
                      <w:bCs/>
                      <w:color w:val="auto"/>
                      <w:sz w:val="21"/>
                      <w:lang w:val="en-US" w:eastAsia="zh-CN" w:bidi="ar-SA"/>
                    </w:rPr>
                  </w:pPr>
                  <w:r>
                    <w:rPr>
                      <w:rFonts w:hint="eastAsia"/>
                      <w:color w:val="auto"/>
                    </w:rPr>
                    <w:t>900-402-06</w:t>
                  </w:r>
                </w:p>
              </w:tc>
              <w:tc>
                <w:tcPr>
                  <w:tcW w:w="917" w:type="pct"/>
                  <w:shd w:val="clear" w:color="auto" w:fill="auto"/>
                  <w:vAlign w:val="center"/>
                </w:tcPr>
                <w:p w14:paraId="682D7F61">
                  <w:pPr>
                    <w:pStyle w:val="65"/>
                    <w:rPr>
                      <w:rFonts w:hint="eastAsia" w:ascii="Times New Roman" w:hAnsi="Times New Roman" w:eastAsia="宋体" w:cs="Times New Roman"/>
                      <w:bCs/>
                      <w:color w:val="auto"/>
                      <w:sz w:val="21"/>
                      <w:lang w:val="en-US" w:eastAsia="zh-CN" w:bidi="ar-SA"/>
                    </w:rPr>
                  </w:pPr>
                  <w:r>
                    <w:rPr>
                      <w:rFonts w:hint="eastAsia"/>
                      <w:color w:val="auto"/>
                    </w:rPr>
                    <w:t>工业生产中作为清洗剂、萃取剂、溶剂或者反应介质使用后废弃的有机溶剂，包括苯、苯乙烯、丁醇、丙酮、正己烷、甲苯、邻二甲苯、间二甲苯、对二甲苯、1,2,4-三甲苯、乙苯、乙醇、异丙醇、乙醚、丙醚、乙酸甲酯、乙酸乙酯、乙酸丁酯、丙酸丁酯、苯酚，以及在使用前混合的含有一种或者多种上述溶剂的混合/调和溶剂</w:t>
                  </w:r>
                </w:p>
              </w:tc>
              <w:tc>
                <w:tcPr>
                  <w:tcW w:w="241" w:type="pct"/>
                  <w:shd w:val="clear" w:color="auto" w:fill="auto"/>
                  <w:vAlign w:val="center"/>
                </w:tcPr>
                <w:p w14:paraId="0B8AEF96">
                  <w:pPr>
                    <w:pStyle w:val="65"/>
                    <w:rPr>
                      <w:rFonts w:hint="eastAsia"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71E7FF83">
                  <w:pPr>
                    <w:pStyle w:val="65"/>
                    <w:rPr>
                      <w:rFonts w:hint="eastAsia" w:ascii="Times New Roman" w:hAnsi="Times New Roman" w:eastAsia="宋体" w:cs="Times New Roman"/>
                      <w:bCs/>
                      <w:color w:val="auto"/>
                      <w:sz w:val="21"/>
                      <w:lang w:val="en-US" w:eastAsia="zh-CN" w:bidi="ar-SA"/>
                    </w:rPr>
                  </w:pPr>
                  <w:r>
                    <w:rPr>
                      <w:color w:val="auto"/>
                    </w:rPr>
                    <w:t>100</w:t>
                  </w:r>
                </w:p>
              </w:tc>
              <w:tc>
                <w:tcPr>
                  <w:tcW w:w="207" w:type="pct"/>
                  <w:vMerge w:val="restart"/>
                  <w:shd w:val="clear" w:color="auto" w:fill="auto"/>
                  <w:vAlign w:val="center"/>
                </w:tcPr>
                <w:p w14:paraId="527E21BC">
                  <w:pPr>
                    <w:pStyle w:val="65"/>
                    <w:rPr>
                      <w:rFonts w:hint="eastAsia" w:ascii="Times New Roman" w:hAnsi="Times New Roman" w:eastAsia="宋体" w:cs="Times New Roman"/>
                      <w:bCs/>
                      <w:color w:val="auto"/>
                      <w:sz w:val="21"/>
                      <w:lang w:val="en-US" w:eastAsia="zh-CN" w:bidi="ar-SA"/>
                    </w:rPr>
                  </w:pPr>
                  <w:r>
                    <w:rPr>
                      <w:rFonts w:hint="eastAsia"/>
                      <w:color w:val="auto"/>
                    </w:rPr>
                    <w:t>300</w:t>
                  </w:r>
                </w:p>
              </w:tc>
              <w:tc>
                <w:tcPr>
                  <w:tcW w:w="151" w:type="pct"/>
                  <w:vAlign w:val="center"/>
                </w:tcPr>
                <w:p w14:paraId="6ED233BE">
                  <w:pPr>
                    <w:pStyle w:val="65"/>
                    <w:rPr>
                      <w:rFonts w:hint="eastAsia" w:eastAsia="宋体"/>
                      <w:color w:val="auto"/>
                      <w:lang w:val="en-US" w:eastAsia="zh-CN"/>
                    </w:rPr>
                  </w:pPr>
                  <w:r>
                    <w:rPr>
                      <w:rFonts w:hint="eastAsia"/>
                      <w:color w:val="auto"/>
                      <w:lang w:val="en-US" w:eastAsia="zh-CN"/>
                    </w:rPr>
                    <w:t>一致</w:t>
                  </w:r>
                </w:p>
              </w:tc>
            </w:tr>
            <w:tr w14:paraId="084CFDE1">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28128F6C">
                  <w:pPr>
                    <w:pStyle w:val="66"/>
                    <w:rPr>
                      <w:color w:val="auto"/>
                      <w:lang w:val="pt-BR"/>
                    </w:rPr>
                  </w:pPr>
                </w:p>
              </w:tc>
              <w:tc>
                <w:tcPr>
                  <w:tcW w:w="275" w:type="pct"/>
                  <w:vMerge w:val="continue"/>
                  <w:vAlign w:val="center"/>
                </w:tcPr>
                <w:p w14:paraId="0EE980B0">
                  <w:pPr>
                    <w:pStyle w:val="65"/>
                    <w:rPr>
                      <w:color w:val="auto"/>
                    </w:rPr>
                  </w:pPr>
                </w:p>
              </w:tc>
              <w:tc>
                <w:tcPr>
                  <w:tcW w:w="428" w:type="pct"/>
                  <w:vAlign w:val="center"/>
                </w:tcPr>
                <w:p w14:paraId="23722319">
                  <w:pPr>
                    <w:pStyle w:val="65"/>
                    <w:rPr>
                      <w:color w:val="auto"/>
                    </w:rPr>
                  </w:pPr>
                  <w:r>
                    <w:rPr>
                      <w:rFonts w:hint="eastAsia"/>
                      <w:color w:val="auto"/>
                    </w:rPr>
                    <w:t>900-404-06</w:t>
                  </w:r>
                </w:p>
              </w:tc>
              <w:tc>
                <w:tcPr>
                  <w:tcW w:w="964" w:type="pct"/>
                  <w:vAlign w:val="center"/>
                </w:tcPr>
                <w:p w14:paraId="5090A691">
                  <w:pPr>
                    <w:pStyle w:val="65"/>
                    <w:rPr>
                      <w:color w:val="auto"/>
                    </w:rPr>
                  </w:pPr>
                  <w:r>
                    <w:rPr>
                      <w:rFonts w:hint="eastAsia"/>
                      <w:color w:val="auto"/>
                    </w:rPr>
                    <w:t>工业生产中作为清洗剂、萃取剂、溶剂或者反应介质使用后废弃的其他列入《危险化学品目录》的有机溶剂，以及在使用前混合的含有一种或者多种上述溶剂的混合/调和溶剂</w:t>
                  </w:r>
                </w:p>
              </w:tc>
              <w:tc>
                <w:tcPr>
                  <w:tcW w:w="247" w:type="pct"/>
                  <w:vAlign w:val="center"/>
                </w:tcPr>
                <w:p w14:paraId="72D8AEDB">
                  <w:pPr>
                    <w:pStyle w:val="65"/>
                    <w:rPr>
                      <w:color w:val="auto"/>
                    </w:rPr>
                  </w:pPr>
                  <w:r>
                    <w:rPr>
                      <w:color w:val="auto"/>
                    </w:rPr>
                    <w:t>2</w:t>
                  </w:r>
                </w:p>
              </w:tc>
              <w:tc>
                <w:tcPr>
                  <w:tcW w:w="247" w:type="pct"/>
                  <w:vAlign w:val="center"/>
                </w:tcPr>
                <w:p w14:paraId="3B7C7D84">
                  <w:pPr>
                    <w:pStyle w:val="65"/>
                    <w:rPr>
                      <w:color w:val="auto"/>
                    </w:rPr>
                  </w:pPr>
                  <w:r>
                    <w:rPr>
                      <w:color w:val="auto"/>
                    </w:rPr>
                    <w:t>100</w:t>
                  </w:r>
                </w:p>
              </w:tc>
              <w:tc>
                <w:tcPr>
                  <w:tcW w:w="220" w:type="pct"/>
                  <w:vMerge w:val="continue"/>
                  <w:vAlign w:val="center"/>
                </w:tcPr>
                <w:p w14:paraId="378A5D65">
                  <w:pPr>
                    <w:pStyle w:val="65"/>
                    <w:rPr>
                      <w:color w:val="auto"/>
                    </w:rPr>
                  </w:pPr>
                </w:p>
              </w:tc>
              <w:tc>
                <w:tcPr>
                  <w:tcW w:w="408" w:type="pct"/>
                  <w:vMerge w:val="continue"/>
                  <w:vAlign w:val="center"/>
                </w:tcPr>
                <w:p w14:paraId="79983CBC">
                  <w:pPr>
                    <w:pStyle w:val="65"/>
                    <w:rPr>
                      <w:color w:val="auto"/>
                    </w:rPr>
                  </w:pPr>
                </w:p>
              </w:tc>
              <w:tc>
                <w:tcPr>
                  <w:tcW w:w="328" w:type="pct"/>
                  <w:shd w:val="clear" w:color="auto" w:fill="auto"/>
                  <w:vAlign w:val="center"/>
                </w:tcPr>
                <w:p w14:paraId="28AADE70">
                  <w:pPr>
                    <w:pStyle w:val="65"/>
                    <w:rPr>
                      <w:rFonts w:ascii="Times New Roman" w:hAnsi="Times New Roman" w:eastAsia="宋体" w:cs="Times New Roman"/>
                      <w:bCs/>
                      <w:color w:val="auto"/>
                      <w:sz w:val="21"/>
                      <w:lang w:val="en-US" w:eastAsia="zh-CN" w:bidi="ar-SA"/>
                    </w:rPr>
                  </w:pPr>
                  <w:r>
                    <w:rPr>
                      <w:rFonts w:hint="eastAsia"/>
                      <w:color w:val="auto"/>
                    </w:rPr>
                    <w:t>900-404-06</w:t>
                  </w:r>
                </w:p>
              </w:tc>
              <w:tc>
                <w:tcPr>
                  <w:tcW w:w="917" w:type="pct"/>
                  <w:shd w:val="clear" w:color="auto" w:fill="auto"/>
                  <w:vAlign w:val="center"/>
                </w:tcPr>
                <w:p w14:paraId="3E127F68">
                  <w:pPr>
                    <w:pStyle w:val="65"/>
                    <w:rPr>
                      <w:rFonts w:ascii="Times New Roman" w:hAnsi="Times New Roman" w:eastAsia="宋体" w:cs="Times New Roman"/>
                      <w:bCs/>
                      <w:color w:val="auto"/>
                      <w:sz w:val="21"/>
                      <w:lang w:val="en-US" w:eastAsia="zh-CN" w:bidi="ar-SA"/>
                    </w:rPr>
                  </w:pPr>
                  <w:r>
                    <w:rPr>
                      <w:rFonts w:hint="eastAsia"/>
                      <w:color w:val="auto"/>
                    </w:rPr>
                    <w:t>工业生产中作为清洗剂、萃取剂、溶剂或者反应介质使用后废弃的其他列入《危险化学品目录》的有机溶剂，以及在使用前混合的含有一种或者多种上述溶剂的混合/调和溶剂</w:t>
                  </w:r>
                </w:p>
              </w:tc>
              <w:tc>
                <w:tcPr>
                  <w:tcW w:w="241" w:type="pct"/>
                  <w:shd w:val="clear" w:color="auto" w:fill="auto"/>
                  <w:vAlign w:val="center"/>
                </w:tcPr>
                <w:p w14:paraId="128A67F5">
                  <w:pPr>
                    <w:pStyle w:val="65"/>
                    <w:rPr>
                      <w:rFonts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71D12F53">
                  <w:pPr>
                    <w:pStyle w:val="65"/>
                    <w:rPr>
                      <w:rFonts w:ascii="Times New Roman" w:hAnsi="Times New Roman" w:eastAsia="宋体" w:cs="Times New Roman"/>
                      <w:bCs/>
                      <w:color w:val="auto"/>
                      <w:sz w:val="21"/>
                      <w:lang w:val="en-US" w:eastAsia="zh-CN" w:bidi="ar-SA"/>
                    </w:rPr>
                  </w:pPr>
                  <w:r>
                    <w:rPr>
                      <w:color w:val="auto"/>
                    </w:rPr>
                    <w:t>100</w:t>
                  </w:r>
                </w:p>
              </w:tc>
              <w:tc>
                <w:tcPr>
                  <w:tcW w:w="207" w:type="pct"/>
                  <w:vMerge w:val="continue"/>
                  <w:vAlign w:val="center"/>
                </w:tcPr>
                <w:p w14:paraId="55172725">
                  <w:pPr>
                    <w:pStyle w:val="65"/>
                    <w:rPr>
                      <w:color w:val="auto"/>
                    </w:rPr>
                  </w:pPr>
                </w:p>
              </w:tc>
              <w:tc>
                <w:tcPr>
                  <w:tcW w:w="151" w:type="pct"/>
                  <w:vAlign w:val="center"/>
                </w:tcPr>
                <w:p w14:paraId="16FEE8E4">
                  <w:pPr>
                    <w:pStyle w:val="65"/>
                    <w:rPr>
                      <w:color w:val="auto"/>
                    </w:rPr>
                  </w:pPr>
                  <w:r>
                    <w:rPr>
                      <w:rFonts w:hint="eastAsia"/>
                      <w:color w:val="auto"/>
                      <w:lang w:val="en-US" w:eastAsia="zh-CN"/>
                    </w:rPr>
                    <w:t>一致</w:t>
                  </w:r>
                </w:p>
              </w:tc>
            </w:tr>
            <w:tr w14:paraId="76639BA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46E5F6F2">
                  <w:pPr>
                    <w:pStyle w:val="66"/>
                    <w:rPr>
                      <w:color w:val="auto"/>
                      <w:lang w:val="pt-BR"/>
                    </w:rPr>
                  </w:pPr>
                </w:p>
              </w:tc>
              <w:tc>
                <w:tcPr>
                  <w:tcW w:w="275" w:type="pct"/>
                  <w:vMerge w:val="continue"/>
                  <w:vAlign w:val="center"/>
                </w:tcPr>
                <w:p w14:paraId="0B14A82E">
                  <w:pPr>
                    <w:pStyle w:val="65"/>
                    <w:rPr>
                      <w:color w:val="auto"/>
                    </w:rPr>
                  </w:pPr>
                </w:p>
              </w:tc>
              <w:tc>
                <w:tcPr>
                  <w:tcW w:w="428" w:type="pct"/>
                  <w:vAlign w:val="center"/>
                </w:tcPr>
                <w:p w14:paraId="4B909B64">
                  <w:pPr>
                    <w:pStyle w:val="65"/>
                    <w:rPr>
                      <w:color w:val="auto"/>
                    </w:rPr>
                  </w:pPr>
                  <w:r>
                    <w:rPr>
                      <w:rFonts w:hint="eastAsia"/>
                      <w:color w:val="auto"/>
                    </w:rPr>
                    <w:t>900-405-06</w:t>
                  </w:r>
                </w:p>
              </w:tc>
              <w:tc>
                <w:tcPr>
                  <w:tcW w:w="964" w:type="pct"/>
                  <w:vAlign w:val="center"/>
                </w:tcPr>
                <w:p w14:paraId="79C02E1A">
                  <w:pPr>
                    <w:pStyle w:val="65"/>
                    <w:rPr>
                      <w:color w:val="auto"/>
                    </w:rPr>
                  </w:pPr>
                  <w:r>
                    <w:rPr>
                      <w:rFonts w:hint="eastAsia"/>
                      <w:color w:val="auto"/>
                    </w:rPr>
                    <w:t>900-401-06、900-402-06、900-404-06中所列废有机溶剂再生处理过程中产生的废活性炭及其他过滤吸附介质</w:t>
                  </w:r>
                </w:p>
              </w:tc>
              <w:tc>
                <w:tcPr>
                  <w:tcW w:w="247" w:type="pct"/>
                  <w:vAlign w:val="center"/>
                </w:tcPr>
                <w:p w14:paraId="5D8CB0FA">
                  <w:pPr>
                    <w:pStyle w:val="65"/>
                    <w:rPr>
                      <w:color w:val="auto"/>
                    </w:rPr>
                  </w:pPr>
                  <w:r>
                    <w:rPr>
                      <w:color w:val="auto"/>
                    </w:rPr>
                    <w:t>3</w:t>
                  </w:r>
                </w:p>
              </w:tc>
              <w:tc>
                <w:tcPr>
                  <w:tcW w:w="247" w:type="pct"/>
                  <w:vAlign w:val="center"/>
                </w:tcPr>
                <w:p w14:paraId="26F0B66D">
                  <w:pPr>
                    <w:pStyle w:val="65"/>
                    <w:rPr>
                      <w:color w:val="auto"/>
                    </w:rPr>
                  </w:pPr>
                  <w:r>
                    <w:rPr>
                      <w:color w:val="auto"/>
                    </w:rPr>
                    <w:t>100</w:t>
                  </w:r>
                </w:p>
              </w:tc>
              <w:tc>
                <w:tcPr>
                  <w:tcW w:w="220" w:type="pct"/>
                  <w:vMerge w:val="continue"/>
                  <w:vAlign w:val="center"/>
                </w:tcPr>
                <w:p w14:paraId="2799C7AA">
                  <w:pPr>
                    <w:pStyle w:val="65"/>
                    <w:rPr>
                      <w:color w:val="auto"/>
                    </w:rPr>
                  </w:pPr>
                </w:p>
              </w:tc>
              <w:tc>
                <w:tcPr>
                  <w:tcW w:w="408" w:type="pct"/>
                  <w:vMerge w:val="continue"/>
                  <w:vAlign w:val="center"/>
                </w:tcPr>
                <w:p w14:paraId="7098930C">
                  <w:pPr>
                    <w:pStyle w:val="65"/>
                    <w:rPr>
                      <w:color w:val="auto"/>
                    </w:rPr>
                  </w:pPr>
                </w:p>
              </w:tc>
              <w:tc>
                <w:tcPr>
                  <w:tcW w:w="328" w:type="pct"/>
                  <w:shd w:val="clear" w:color="auto" w:fill="auto"/>
                  <w:vAlign w:val="center"/>
                </w:tcPr>
                <w:p w14:paraId="4EF60222">
                  <w:pPr>
                    <w:pStyle w:val="65"/>
                    <w:rPr>
                      <w:rFonts w:ascii="Times New Roman" w:hAnsi="Times New Roman" w:eastAsia="宋体" w:cs="Times New Roman"/>
                      <w:bCs/>
                      <w:color w:val="auto"/>
                      <w:sz w:val="21"/>
                      <w:lang w:val="en-US" w:eastAsia="zh-CN" w:bidi="ar-SA"/>
                    </w:rPr>
                  </w:pPr>
                  <w:r>
                    <w:rPr>
                      <w:rFonts w:hint="eastAsia"/>
                      <w:color w:val="auto"/>
                    </w:rPr>
                    <w:t>900-405-06</w:t>
                  </w:r>
                </w:p>
              </w:tc>
              <w:tc>
                <w:tcPr>
                  <w:tcW w:w="917" w:type="pct"/>
                  <w:shd w:val="clear" w:color="auto" w:fill="auto"/>
                  <w:vAlign w:val="center"/>
                </w:tcPr>
                <w:p w14:paraId="5A62AD88">
                  <w:pPr>
                    <w:pStyle w:val="65"/>
                    <w:rPr>
                      <w:rFonts w:ascii="Times New Roman" w:hAnsi="Times New Roman" w:eastAsia="宋体" w:cs="Times New Roman"/>
                      <w:bCs/>
                      <w:color w:val="auto"/>
                      <w:sz w:val="21"/>
                      <w:lang w:val="en-US" w:eastAsia="zh-CN" w:bidi="ar-SA"/>
                    </w:rPr>
                  </w:pPr>
                  <w:r>
                    <w:rPr>
                      <w:rFonts w:hint="eastAsia"/>
                      <w:color w:val="auto"/>
                    </w:rPr>
                    <w:t>900-401-06、900-402-06、900-404-06中所列废有机溶剂再生处理过程中产生的废活性炭及其他过滤吸附介质</w:t>
                  </w:r>
                </w:p>
              </w:tc>
              <w:tc>
                <w:tcPr>
                  <w:tcW w:w="241" w:type="pct"/>
                  <w:shd w:val="clear" w:color="auto" w:fill="auto"/>
                  <w:vAlign w:val="center"/>
                </w:tcPr>
                <w:p w14:paraId="1F4D5EB3">
                  <w:pPr>
                    <w:pStyle w:val="65"/>
                    <w:rPr>
                      <w:rFonts w:ascii="Times New Roman" w:hAnsi="Times New Roman" w:eastAsia="宋体" w:cs="Times New Roman"/>
                      <w:bCs/>
                      <w:color w:val="auto"/>
                      <w:sz w:val="21"/>
                      <w:lang w:val="en-US" w:eastAsia="zh-CN" w:bidi="ar-SA"/>
                    </w:rPr>
                  </w:pPr>
                  <w:r>
                    <w:rPr>
                      <w:color w:val="auto"/>
                    </w:rPr>
                    <w:t>3</w:t>
                  </w:r>
                </w:p>
              </w:tc>
              <w:tc>
                <w:tcPr>
                  <w:tcW w:w="207" w:type="pct"/>
                  <w:shd w:val="clear" w:color="auto" w:fill="auto"/>
                  <w:vAlign w:val="center"/>
                </w:tcPr>
                <w:p w14:paraId="3DA7F5CB">
                  <w:pPr>
                    <w:pStyle w:val="65"/>
                    <w:rPr>
                      <w:rFonts w:ascii="Times New Roman" w:hAnsi="Times New Roman" w:eastAsia="宋体" w:cs="Times New Roman"/>
                      <w:bCs/>
                      <w:color w:val="auto"/>
                      <w:sz w:val="21"/>
                      <w:lang w:val="en-US" w:eastAsia="zh-CN" w:bidi="ar-SA"/>
                    </w:rPr>
                  </w:pPr>
                  <w:r>
                    <w:rPr>
                      <w:color w:val="auto"/>
                    </w:rPr>
                    <w:t>100</w:t>
                  </w:r>
                </w:p>
              </w:tc>
              <w:tc>
                <w:tcPr>
                  <w:tcW w:w="207" w:type="pct"/>
                  <w:vMerge w:val="continue"/>
                  <w:vAlign w:val="center"/>
                </w:tcPr>
                <w:p w14:paraId="28E0FC2E">
                  <w:pPr>
                    <w:pStyle w:val="65"/>
                    <w:rPr>
                      <w:color w:val="auto"/>
                    </w:rPr>
                  </w:pPr>
                </w:p>
              </w:tc>
              <w:tc>
                <w:tcPr>
                  <w:tcW w:w="151" w:type="pct"/>
                  <w:vAlign w:val="center"/>
                </w:tcPr>
                <w:p w14:paraId="54348B8D">
                  <w:pPr>
                    <w:pStyle w:val="65"/>
                    <w:rPr>
                      <w:color w:val="auto"/>
                    </w:rPr>
                  </w:pPr>
                  <w:r>
                    <w:rPr>
                      <w:rFonts w:hint="eastAsia"/>
                      <w:color w:val="auto"/>
                      <w:lang w:val="en-US" w:eastAsia="zh-CN"/>
                    </w:rPr>
                    <w:t>一致</w:t>
                  </w:r>
                </w:p>
              </w:tc>
            </w:tr>
            <w:tr w14:paraId="736ED51B">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518287FE">
                  <w:pPr>
                    <w:pStyle w:val="66"/>
                    <w:numPr>
                      <w:ilvl w:val="0"/>
                      <w:numId w:val="3"/>
                    </w:numPr>
                    <w:rPr>
                      <w:color w:val="auto"/>
                      <w:lang w:val="pt-BR"/>
                    </w:rPr>
                  </w:pPr>
                </w:p>
              </w:tc>
              <w:tc>
                <w:tcPr>
                  <w:tcW w:w="275" w:type="pct"/>
                  <w:vMerge w:val="restart"/>
                  <w:vAlign w:val="center"/>
                </w:tcPr>
                <w:p w14:paraId="74E3016F">
                  <w:pPr>
                    <w:pStyle w:val="65"/>
                    <w:rPr>
                      <w:color w:val="auto"/>
                    </w:rPr>
                  </w:pPr>
                  <w:r>
                    <w:rPr>
                      <w:rFonts w:hint="eastAsia"/>
                      <w:color w:val="auto"/>
                    </w:rPr>
                    <w:t>HW08废矿物油与含矿物油废物</w:t>
                  </w:r>
                </w:p>
              </w:tc>
              <w:tc>
                <w:tcPr>
                  <w:tcW w:w="428" w:type="pct"/>
                  <w:vAlign w:val="center"/>
                </w:tcPr>
                <w:p w14:paraId="11F0B375">
                  <w:pPr>
                    <w:pStyle w:val="65"/>
                    <w:rPr>
                      <w:color w:val="auto"/>
                    </w:rPr>
                  </w:pPr>
                  <w:r>
                    <w:rPr>
                      <w:rFonts w:hint="eastAsia"/>
                      <w:color w:val="auto"/>
                    </w:rPr>
                    <w:t>900-203-08</w:t>
                  </w:r>
                </w:p>
              </w:tc>
              <w:tc>
                <w:tcPr>
                  <w:tcW w:w="964" w:type="pct"/>
                  <w:vAlign w:val="center"/>
                </w:tcPr>
                <w:p w14:paraId="773502A8">
                  <w:pPr>
                    <w:pStyle w:val="65"/>
                    <w:rPr>
                      <w:color w:val="auto"/>
                    </w:rPr>
                  </w:pPr>
                  <w:r>
                    <w:rPr>
                      <w:rFonts w:hint="eastAsia"/>
                      <w:color w:val="auto"/>
                    </w:rPr>
                    <w:t>使用淬火油进行表面硬化处理产生的废矿物油</w:t>
                  </w:r>
                </w:p>
              </w:tc>
              <w:tc>
                <w:tcPr>
                  <w:tcW w:w="247" w:type="pct"/>
                  <w:vAlign w:val="center"/>
                </w:tcPr>
                <w:p w14:paraId="613260EC">
                  <w:pPr>
                    <w:pStyle w:val="65"/>
                    <w:rPr>
                      <w:color w:val="auto"/>
                    </w:rPr>
                  </w:pPr>
                  <w:r>
                    <w:rPr>
                      <w:rFonts w:hint="eastAsia"/>
                      <w:color w:val="auto"/>
                    </w:rPr>
                    <w:t>0.51</w:t>
                  </w:r>
                </w:p>
              </w:tc>
              <w:tc>
                <w:tcPr>
                  <w:tcW w:w="247" w:type="pct"/>
                  <w:vAlign w:val="center"/>
                </w:tcPr>
                <w:p w14:paraId="1D5111B2">
                  <w:pPr>
                    <w:pStyle w:val="65"/>
                    <w:rPr>
                      <w:color w:val="auto"/>
                    </w:rPr>
                  </w:pPr>
                  <w:r>
                    <w:rPr>
                      <w:rFonts w:hint="eastAsia"/>
                      <w:color w:val="auto"/>
                    </w:rPr>
                    <w:t>200</w:t>
                  </w:r>
                </w:p>
              </w:tc>
              <w:tc>
                <w:tcPr>
                  <w:tcW w:w="220" w:type="pct"/>
                  <w:vMerge w:val="restart"/>
                  <w:vAlign w:val="center"/>
                </w:tcPr>
                <w:p w14:paraId="26127EB9">
                  <w:pPr>
                    <w:pStyle w:val="65"/>
                    <w:rPr>
                      <w:color w:val="auto"/>
                    </w:rPr>
                  </w:pPr>
                  <w:r>
                    <w:rPr>
                      <w:rFonts w:hint="eastAsia"/>
                      <w:color w:val="auto"/>
                    </w:rPr>
                    <w:t>2200</w:t>
                  </w:r>
                </w:p>
              </w:tc>
              <w:tc>
                <w:tcPr>
                  <w:tcW w:w="408" w:type="pct"/>
                  <w:vMerge w:val="restart"/>
                  <w:vAlign w:val="center"/>
                </w:tcPr>
                <w:p w14:paraId="1BB6FDCD">
                  <w:pPr>
                    <w:pStyle w:val="65"/>
                    <w:rPr>
                      <w:rFonts w:hint="eastAsia"/>
                      <w:color w:val="auto"/>
                    </w:rPr>
                  </w:pPr>
                  <w:r>
                    <w:rPr>
                      <w:rFonts w:hint="eastAsia"/>
                      <w:color w:val="auto"/>
                    </w:rPr>
                    <w:t>HW08废矿物油与含矿物油废物</w:t>
                  </w:r>
                </w:p>
              </w:tc>
              <w:tc>
                <w:tcPr>
                  <w:tcW w:w="328" w:type="pct"/>
                  <w:shd w:val="clear" w:color="auto" w:fill="auto"/>
                  <w:vAlign w:val="center"/>
                </w:tcPr>
                <w:p w14:paraId="43723037">
                  <w:pPr>
                    <w:pStyle w:val="65"/>
                    <w:rPr>
                      <w:rFonts w:hint="eastAsia" w:ascii="Times New Roman" w:hAnsi="Times New Roman" w:eastAsia="宋体" w:cs="Times New Roman"/>
                      <w:bCs/>
                      <w:color w:val="auto"/>
                      <w:sz w:val="21"/>
                      <w:lang w:val="en-US" w:eastAsia="zh-CN" w:bidi="ar-SA"/>
                    </w:rPr>
                  </w:pPr>
                  <w:r>
                    <w:rPr>
                      <w:rFonts w:hint="eastAsia"/>
                      <w:color w:val="auto"/>
                    </w:rPr>
                    <w:t>900-203-08</w:t>
                  </w:r>
                </w:p>
              </w:tc>
              <w:tc>
                <w:tcPr>
                  <w:tcW w:w="917" w:type="pct"/>
                  <w:shd w:val="clear" w:color="auto" w:fill="auto"/>
                  <w:vAlign w:val="center"/>
                </w:tcPr>
                <w:p w14:paraId="193585A7">
                  <w:pPr>
                    <w:pStyle w:val="65"/>
                    <w:rPr>
                      <w:rFonts w:hint="eastAsia" w:ascii="Times New Roman" w:hAnsi="Times New Roman" w:eastAsia="宋体" w:cs="Times New Roman"/>
                      <w:bCs/>
                      <w:color w:val="auto"/>
                      <w:sz w:val="21"/>
                      <w:lang w:val="en-US" w:eastAsia="zh-CN" w:bidi="ar-SA"/>
                    </w:rPr>
                  </w:pPr>
                  <w:r>
                    <w:rPr>
                      <w:rFonts w:hint="eastAsia"/>
                      <w:color w:val="auto"/>
                    </w:rPr>
                    <w:t>使用淬火油进行表面硬化处理产生的废矿物油</w:t>
                  </w:r>
                </w:p>
              </w:tc>
              <w:tc>
                <w:tcPr>
                  <w:tcW w:w="241" w:type="pct"/>
                  <w:shd w:val="clear" w:color="auto" w:fill="auto"/>
                  <w:vAlign w:val="center"/>
                </w:tcPr>
                <w:p w14:paraId="32014D8A">
                  <w:pPr>
                    <w:pStyle w:val="65"/>
                    <w:rPr>
                      <w:rFonts w:hint="eastAsia" w:ascii="Times New Roman" w:hAnsi="Times New Roman" w:eastAsia="宋体" w:cs="Times New Roman"/>
                      <w:bCs/>
                      <w:color w:val="auto"/>
                      <w:sz w:val="21"/>
                      <w:lang w:val="en-US" w:eastAsia="zh-CN" w:bidi="ar-SA"/>
                    </w:rPr>
                  </w:pPr>
                  <w:r>
                    <w:rPr>
                      <w:rFonts w:hint="eastAsia"/>
                      <w:color w:val="auto"/>
                    </w:rPr>
                    <w:t>0.51</w:t>
                  </w:r>
                </w:p>
              </w:tc>
              <w:tc>
                <w:tcPr>
                  <w:tcW w:w="207" w:type="pct"/>
                  <w:shd w:val="clear" w:color="auto" w:fill="auto"/>
                  <w:vAlign w:val="center"/>
                </w:tcPr>
                <w:p w14:paraId="741D2972">
                  <w:pPr>
                    <w:pStyle w:val="65"/>
                    <w:rPr>
                      <w:rFonts w:hint="eastAsia" w:ascii="Times New Roman" w:hAnsi="Times New Roman" w:eastAsia="宋体" w:cs="Times New Roman"/>
                      <w:bCs/>
                      <w:color w:val="auto"/>
                      <w:sz w:val="21"/>
                      <w:lang w:val="en-US" w:eastAsia="zh-CN" w:bidi="ar-SA"/>
                    </w:rPr>
                  </w:pPr>
                  <w:r>
                    <w:rPr>
                      <w:rFonts w:hint="eastAsia"/>
                      <w:color w:val="auto"/>
                    </w:rPr>
                    <w:t>200</w:t>
                  </w:r>
                </w:p>
              </w:tc>
              <w:tc>
                <w:tcPr>
                  <w:tcW w:w="207" w:type="pct"/>
                  <w:vMerge w:val="restart"/>
                  <w:shd w:val="clear" w:color="auto" w:fill="auto"/>
                  <w:vAlign w:val="center"/>
                </w:tcPr>
                <w:p w14:paraId="5DBE7259">
                  <w:pPr>
                    <w:pStyle w:val="65"/>
                    <w:rPr>
                      <w:rFonts w:hint="eastAsia" w:ascii="Times New Roman" w:hAnsi="Times New Roman" w:eastAsia="宋体" w:cs="Times New Roman"/>
                      <w:bCs/>
                      <w:color w:val="auto"/>
                      <w:sz w:val="21"/>
                      <w:lang w:val="en-US" w:eastAsia="zh-CN" w:bidi="ar-SA"/>
                    </w:rPr>
                  </w:pPr>
                  <w:r>
                    <w:rPr>
                      <w:rFonts w:hint="eastAsia"/>
                      <w:color w:val="auto"/>
                    </w:rPr>
                    <w:t>2200</w:t>
                  </w:r>
                </w:p>
              </w:tc>
              <w:tc>
                <w:tcPr>
                  <w:tcW w:w="151" w:type="pct"/>
                  <w:vAlign w:val="center"/>
                </w:tcPr>
                <w:p w14:paraId="34175F5D">
                  <w:pPr>
                    <w:pStyle w:val="65"/>
                    <w:rPr>
                      <w:rFonts w:hint="eastAsia"/>
                      <w:color w:val="auto"/>
                    </w:rPr>
                  </w:pPr>
                  <w:r>
                    <w:rPr>
                      <w:rFonts w:hint="eastAsia"/>
                      <w:color w:val="auto"/>
                      <w:lang w:val="en-US" w:eastAsia="zh-CN"/>
                    </w:rPr>
                    <w:t>一致</w:t>
                  </w:r>
                </w:p>
              </w:tc>
            </w:tr>
            <w:tr w14:paraId="41848F9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4D11A53F">
                  <w:pPr>
                    <w:pStyle w:val="66"/>
                    <w:rPr>
                      <w:color w:val="auto"/>
                      <w:lang w:val="pt-BR"/>
                    </w:rPr>
                  </w:pPr>
                </w:p>
              </w:tc>
              <w:tc>
                <w:tcPr>
                  <w:tcW w:w="275" w:type="pct"/>
                  <w:vMerge w:val="continue"/>
                  <w:vAlign w:val="center"/>
                </w:tcPr>
                <w:p w14:paraId="574E2D33">
                  <w:pPr>
                    <w:pStyle w:val="65"/>
                    <w:rPr>
                      <w:color w:val="auto"/>
                    </w:rPr>
                  </w:pPr>
                </w:p>
              </w:tc>
              <w:tc>
                <w:tcPr>
                  <w:tcW w:w="428" w:type="pct"/>
                  <w:vAlign w:val="center"/>
                </w:tcPr>
                <w:p w14:paraId="41B53144">
                  <w:pPr>
                    <w:pStyle w:val="65"/>
                    <w:rPr>
                      <w:color w:val="auto"/>
                    </w:rPr>
                  </w:pPr>
                  <w:r>
                    <w:rPr>
                      <w:rFonts w:hint="eastAsia"/>
                      <w:color w:val="auto"/>
                    </w:rPr>
                    <w:t>900-214-08</w:t>
                  </w:r>
                </w:p>
              </w:tc>
              <w:tc>
                <w:tcPr>
                  <w:tcW w:w="964" w:type="pct"/>
                  <w:vAlign w:val="center"/>
                </w:tcPr>
                <w:p w14:paraId="1C156077">
                  <w:pPr>
                    <w:pStyle w:val="65"/>
                    <w:rPr>
                      <w:color w:val="auto"/>
                    </w:rPr>
                  </w:pPr>
                  <w:r>
                    <w:rPr>
                      <w:rFonts w:hint="eastAsia"/>
                      <w:color w:val="auto"/>
                    </w:rPr>
                    <w:t>车辆、轮船及其它机械维修过程中产生的废发动机油、制动器油、自动变速器油、齿轮油等废润滑油</w:t>
                  </w:r>
                </w:p>
              </w:tc>
              <w:tc>
                <w:tcPr>
                  <w:tcW w:w="247" w:type="pct"/>
                  <w:vAlign w:val="center"/>
                </w:tcPr>
                <w:p w14:paraId="7A6A852D">
                  <w:pPr>
                    <w:pStyle w:val="65"/>
                    <w:rPr>
                      <w:color w:val="auto"/>
                    </w:rPr>
                  </w:pPr>
                  <w:r>
                    <w:rPr>
                      <w:rFonts w:hint="eastAsia"/>
                      <w:color w:val="auto"/>
                    </w:rPr>
                    <w:t>7.36</w:t>
                  </w:r>
                </w:p>
              </w:tc>
              <w:tc>
                <w:tcPr>
                  <w:tcW w:w="247" w:type="pct"/>
                  <w:vAlign w:val="center"/>
                </w:tcPr>
                <w:p w14:paraId="26AE0CA1">
                  <w:pPr>
                    <w:pStyle w:val="65"/>
                    <w:rPr>
                      <w:color w:val="auto"/>
                    </w:rPr>
                  </w:pPr>
                  <w:r>
                    <w:rPr>
                      <w:rFonts w:hint="eastAsia"/>
                      <w:color w:val="auto"/>
                    </w:rPr>
                    <w:t>500</w:t>
                  </w:r>
                </w:p>
              </w:tc>
              <w:tc>
                <w:tcPr>
                  <w:tcW w:w="220" w:type="pct"/>
                  <w:vMerge w:val="continue"/>
                  <w:vAlign w:val="center"/>
                </w:tcPr>
                <w:p w14:paraId="034F6D3E">
                  <w:pPr>
                    <w:pStyle w:val="65"/>
                    <w:rPr>
                      <w:color w:val="auto"/>
                    </w:rPr>
                  </w:pPr>
                </w:p>
              </w:tc>
              <w:tc>
                <w:tcPr>
                  <w:tcW w:w="408" w:type="pct"/>
                  <w:vMerge w:val="continue"/>
                  <w:vAlign w:val="center"/>
                </w:tcPr>
                <w:p w14:paraId="595E33EF">
                  <w:pPr>
                    <w:pStyle w:val="65"/>
                    <w:rPr>
                      <w:color w:val="auto"/>
                    </w:rPr>
                  </w:pPr>
                </w:p>
              </w:tc>
              <w:tc>
                <w:tcPr>
                  <w:tcW w:w="328" w:type="pct"/>
                  <w:shd w:val="clear" w:color="auto" w:fill="auto"/>
                  <w:vAlign w:val="center"/>
                </w:tcPr>
                <w:p w14:paraId="6D107022">
                  <w:pPr>
                    <w:pStyle w:val="65"/>
                    <w:rPr>
                      <w:rFonts w:ascii="Times New Roman" w:hAnsi="Times New Roman" w:eastAsia="宋体" w:cs="Times New Roman"/>
                      <w:bCs/>
                      <w:color w:val="auto"/>
                      <w:sz w:val="21"/>
                      <w:lang w:val="en-US" w:eastAsia="zh-CN" w:bidi="ar-SA"/>
                    </w:rPr>
                  </w:pPr>
                  <w:r>
                    <w:rPr>
                      <w:rFonts w:hint="eastAsia"/>
                      <w:color w:val="auto"/>
                    </w:rPr>
                    <w:t>900-214-08</w:t>
                  </w:r>
                </w:p>
              </w:tc>
              <w:tc>
                <w:tcPr>
                  <w:tcW w:w="917" w:type="pct"/>
                  <w:shd w:val="clear" w:color="auto" w:fill="auto"/>
                  <w:vAlign w:val="center"/>
                </w:tcPr>
                <w:p w14:paraId="04EF8745">
                  <w:pPr>
                    <w:pStyle w:val="65"/>
                    <w:rPr>
                      <w:rFonts w:ascii="Times New Roman" w:hAnsi="Times New Roman" w:eastAsia="宋体" w:cs="Times New Roman"/>
                      <w:bCs/>
                      <w:color w:val="auto"/>
                      <w:sz w:val="21"/>
                      <w:lang w:val="en-US" w:eastAsia="zh-CN" w:bidi="ar-SA"/>
                    </w:rPr>
                  </w:pPr>
                  <w:r>
                    <w:rPr>
                      <w:rFonts w:hint="eastAsia"/>
                      <w:color w:val="auto"/>
                    </w:rPr>
                    <w:t>车辆、轮船及其它机械维修过程中产生的废发动机油、制动器油、自动变速器油、齿轮油等废润滑油</w:t>
                  </w:r>
                </w:p>
              </w:tc>
              <w:tc>
                <w:tcPr>
                  <w:tcW w:w="241" w:type="pct"/>
                  <w:shd w:val="clear" w:color="auto" w:fill="auto"/>
                  <w:vAlign w:val="center"/>
                </w:tcPr>
                <w:p w14:paraId="09AE64D9">
                  <w:pPr>
                    <w:pStyle w:val="65"/>
                    <w:rPr>
                      <w:rFonts w:ascii="Times New Roman" w:hAnsi="Times New Roman" w:eastAsia="宋体" w:cs="Times New Roman"/>
                      <w:bCs/>
                      <w:color w:val="auto"/>
                      <w:sz w:val="21"/>
                      <w:lang w:val="en-US" w:eastAsia="zh-CN" w:bidi="ar-SA"/>
                    </w:rPr>
                  </w:pPr>
                  <w:r>
                    <w:rPr>
                      <w:rFonts w:hint="eastAsia"/>
                      <w:color w:val="auto"/>
                    </w:rPr>
                    <w:t>7.36</w:t>
                  </w:r>
                </w:p>
              </w:tc>
              <w:tc>
                <w:tcPr>
                  <w:tcW w:w="207" w:type="pct"/>
                  <w:shd w:val="clear" w:color="auto" w:fill="auto"/>
                  <w:vAlign w:val="center"/>
                </w:tcPr>
                <w:p w14:paraId="11C9E2C8">
                  <w:pPr>
                    <w:pStyle w:val="65"/>
                    <w:rPr>
                      <w:rFonts w:ascii="Times New Roman" w:hAnsi="Times New Roman" w:eastAsia="宋体" w:cs="Times New Roman"/>
                      <w:bCs/>
                      <w:color w:val="auto"/>
                      <w:sz w:val="21"/>
                      <w:lang w:val="en-US" w:eastAsia="zh-CN" w:bidi="ar-SA"/>
                    </w:rPr>
                  </w:pPr>
                  <w:r>
                    <w:rPr>
                      <w:rFonts w:hint="eastAsia"/>
                      <w:color w:val="auto"/>
                    </w:rPr>
                    <w:t>500</w:t>
                  </w:r>
                </w:p>
              </w:tc>
              <w:tc>
                <w:tcPr>
                  <w:tcW w:w="207" w:type="pct"/>
                  <w:vMerge w:val="continue"/>
                  <w:vAlign w:val="center"/>
                </w:tcPr>
                <w:p w14:paraId="7322DB8E">
                  <w:pPr>
                    <w:pStyle w:val="65"/>
                    <w:rPr>
                      <w:color w:val="auto"/>
                    </w:rPr>
                  </w:pPr>
                </w:p>
              </w:tc>
              <w:tc>
                <w:tcPr>
                  <w:tcW w:w="151" w:type="pct"/>
                  <w:vAlign w:val="center"/>
                </w:tcPr>
                <w:p w14:paraId="17C36344">
                  <w:pPr>
                    <w:pStyle w:val="65"/>
                    <w:rPr>
                      <w:color w:val="auto"/>
                    </w:rPr>
                  </w:pPr>
                  <w:r>
                    <w:rPr>
                      <w:rFonts w:hint="eastAsia"/>
                      <w:color w:val="auto"/>
                      <w:lang w:val="en-US" w:eastAsia="zh-CN"/>
                    </w:rPr>
                    <w:t>一致</w:t>
                  </w:r>
                </w:p>
              </w:tc>
            </w:tr>
            <w:tr w14:paraId="0AB8F67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0EDCA690">
                  <w:pPr>
                    <w:pStyle w:val="66"/>
                    <w:rPr>
                      <w:color w:val="auto"/>
                      <w:lang w:val="pt-BR"/>
                    </w:rPr>
                  </w:pPr>
                </w:p>
              </w:tc>
              <w:tc>
                <w:tcPr>
                  <w:tcW w:w="275" w:type="pct"/>
                  <w:vMerge w:val="continue"/>
                  <w:vAlign w:val="center"/>
                </w:tcPr>
                <w:p w14:paraId="71AB0F8D">
                  <w:pPr>
                    <w:pStyle w:val="65"/>
                    <w:rPr>
                      <w:color w:val="auto"/>
                    </w:rPr>
                  </w:pPr>
                </w:p>
              </w:tc>
              <w:tc>
                <w:tcPr>
                  <w:tcW w:w="428" w:type="pct"/>
                  <w:vAlign w:val="center"/>
                </w:tcPr>
                <w:p w14:paraId="719C5B15">
                  <w:pPr>
                    <w:pStyle w:val="65"/>
                    <w:rPr>
                      <w:color w:val="auto"/>
                    </w:rPr>
                  </w:pPr>
                  <w:r>
                    <w:rPr>
                      <w:rFonts w:hint="eastAsia"/>
                      <w:color w:val="auto"/>
                    </w:rPr>
                    <w:t>900-217-08</w:t>
                  </w:r>
                </w:p>
              </w:tc>
              <w:tc>
                <w:tcPr>
                  <w:tcW w:w="964" w:type="pct"/>
                  <w:vAlign w:val="center"/>
                </w:tcPr>
                <w:p w14:paraId="56B1C0D3">
                  <w:pPr>
                    <w:pStyle w:val="65"/>
                    <w:rPr>
                      <w:color w:val="auto"/>
                    </w:rPr>
                  </w:pPr>
                  <w:r>
                    <w:rPr>
                      <w:rFonts w:hint="eastAsia"/>
                      <w:color w:val="auto"/>
                    </w:rPr>
                    <w:t>使用工业齿轮油进行机械设备润滑过程中产生的废润滑油</w:t>
                  </w:r>
                </w:p>
              </w:tc>
              <w:tc>
                <w:tcPr>
                  <w:tcW w:w="247" w:type="pct"/>
                  <w:vAlign w:val="center"/>
                </w:tcPr>
                <w:p w14:paraId="47F38B23">
                  <w:pPr>
                    <w:pStyle w:val="65"/>
                    <w:rPr>
                      <w:color w:val="auto"/>
                    </w:rPr>
                  </w:pPr>
                  <w:r>
                    <w:rPr>
                      <w:rFonts w:hint="eastAsia"/>
                      <w:color w:val="auto"/>
                    </w:rPr>
                    <w:t>7.36</w:t>
                  </w:r>
                </w:p>
              </w:tc>
              <w:tc>
                <w:tcPr>
                  <w:tcW w:w="247" w:type="pct"/>
                  <w:vAlign w:val="center"/>
                </w:tcPr>
                <w:p w14:paraId="784768A5">
                  <w:pPr>
                    <w:pStyle w:val="65"/>
                    <w:rPr>
                      <w:color w:val="auto"/>
                    </w:rPr>
                  </w:pPr>
                  <w:r>
                    <w:rPr>
                      <w:rFonts w:hint="eastAsia"/>
                      <w:color w:val="auto"/>
                    </w:rPr>
                    <w:t>300</w:t>
                  </w:r>
                </w:p>
              </w:tc>
              <w:tc>
                <w:tcPr>
                  <w:tcW w:w="220" w:type="pct"/>
                  <w:vMerge w:val="continue"/>
                  <w:vAlign w:val="center"/>
                </w:tcPr>
                <w:p w14:paraId="2EF6CEFF">
                  <w:pPr>
                    <w:pStyle w:val="65"/>
                    <w:rPr>
                      <w:color w:val="auto"/>
                    </w:rPr>
                  </w:pPr>
                </w:p>
              </w:tc>
              <w:tc>
                <w:tcPr>
                  <w:tcW w:w="408" w:type="pct"/>
                  <w:vMerge w:val="continue"/>
                  <w:vAlign w:val="center"/>
                </w:tcPr>
                <w:p w14:paraId="3AC2395B">
                  <w:pPr>
                    <w:pStyle w:val="65"/>
                    <w:rPr>
                      <w:color w:val="auto"/>
                    </w:rPr>
                  </w:pPr>
                </w:p>
              </w:tc>
              <w:tc>
                <w:tcPr>
                  <w:tcW w:w="328" w:type="pct"/>
                  <w:shd w:val="clear" w:color="auto" w:fill="auto"/>
                  <w:vAlign w:val="center"/>
                </w:tcPr>
                <w:p w14:paraId="38AF5B8B">
                  <w:pPr>
                    <w:pStyle w:val="65"/>
                    <w:rPr>
                      <w:rFonts w:ascii="Times New Roman" w:hAnsi="Times New Roman" w:eastAsia="宋体" w:cs="Times New Roman"/>
                      <w:bCs/>
                      <w:color w:val="auto"/>
                      <w:sz w:val="21"/>
                      <w:lang w:val="en-US" w:eastAsia="zh-CN" w:bidi="ar-SA"/>
                    </w:rPr>
                  </w:pPr>
                  <w:r>
                    <w:rPr>
                      <w:rFonts w:hint="eastAsia"/>
                      <w:color w:val="auto"/>
                    </w:rPr>
                    <w:t>900-217-08</w:t>
                  </w:r>
                </w:p>
              </w:tc>
              <w:tc>
                <w:tcPr>
                  <w:tcW w:w="917" w:type="pct"/>
                  <w:shd w:val="clear" w:color="auto" w:fill="auto"/>
                  <w:vAlign w:val="center"/>
                </w:tcPr>
                <w:p w14:paraId="3ACCBBC5">
                  <w:pPr>
                    <w:pStyle w:val="65"/>
                    <w:rPr>
                      <w:rFonts w:ascii="Times New Roman" w:hAnsi="Times New Roman" w:eastAsia="宋体" w:cs="Times New Roman"/>
                      <w:bCs/>
                      <w:color w:val="auto"/>
                      <w:sz w:val="21"/>
                      <w:lang w:val="en-US" w:eastAsia="zh-CN" w:bidi="ar-SA"/>
                    </w:rPr>
                  </w:pPr>
                  <w:r>
                    <w:rPr>
                      <w:rFonts w:hint="eastAsia"/>
                      <w:color w:val="auto"/>
                    </w:rPr>
                    <w:t>使用工业齿轮油进行机械设备润滑过程中产生的废润滑油</w:t>
                  </w:r>
                </w:p>
              </w:tc>
              <w:tc>
                <w:tcPr>
                  <w:tcW w:w="241" w:type="pct"/>
                  <w:shd w:val="clear" w:color="auto" w:fill="auto"/>
                  <w:vAlign w:val="center"/>
                </w:tcPr>
                <w:p w14:paraId="608E568E">
                  <w:pPr>
                    <w:pStyle w:val="65"/>
                    <w:rPr>
                      <w:rFonts w:ascii="Times New Roman" w:hAnsi="Times New Roman" w:eastAsia="宋体" w:cs="Times New Roman"/>
                      <w:bCs/>
                      <w:color w:val="auto"/>
                      <w:sz w:val="21"/>
                      <w:lang w:val="en-US" w:eastAsia="zh-CN" w:bidi="ar-SA"/>
                    </w:rPr>
                  </w:pPr>
                  <w:r>
                    <w:rPr>
                      <w:rFonts w:hint="eastAsia"/>
                      <w:color w:val="auto"/>
                    </w:rPr>
                    <w:t>7.36</w:t>
                  </w:r>
                </w:p>
              </w:tc>
              <w:tc>
                <w:tcPr>
                  <w:tcW w:w="207" w:type="pct"/>
                  <w:shd w:val="clear" w:color="auto" w:fill="auto"/>
                  <w:vAlign w:val="center"/>
                </w:tcPr>
                <w:p w14:paraId="41FE1295">
                  <w:pPr>
                    <w:pStyle w:val="65"/>
                    <w:rPr>
                      <w:rFonts w:ascii="Times New Roman" w:hAnsi="Times New Roman" w:eastAsia="宋体" w:cs="Times New Roman"/>
                      <w:bCs/>
                      <w:color w:val="auto"/>
                      <w:sz w:val="21"/>
                      <w:lang w:val="en-US" w:eastAsia="zh-CN" w:bidi="ar-SA"/>
                    </w:rPr>
                  </w:pPr>
                  <w:r>
                    <w:rPr>
                      <w:rFonts w:hint="eastAsia"/>
                      <w:color w:val="auto"/>
                    </w:rPr>
                    <w:t>300</w:t>
                  </w:r>
                </w:p>
              </w:tc>
              <w:tc>
                <w:tcPr>
                  <w:tcW w:w="207" w:type="pct"/>
                  <w:vMerge w:val="continue"/>
                  <w:vAlign w:val="center"/>
                </w:tcPr>
                <w:p w14:paraId="3A66908E">
                  <w:pPr>
                    <w:pStyle w:val="65"/>
                    <w:rPr>
                      <w:color w:val="auto"/>
                    </w:rPr>
                  </w:pPr>
                </w:p>
              </w:tc>
              <w:tc>
                <w:tcPr>
                  <w:tcW w:w="151" w:type="pct"/>
                  <w:vAlign w:val="center"/>
                </w:tcPr>
                <w:p w14:paraId="692F0865">
                  <w:pPr>
                    <w:pStyle w:val="65"/>
                    <w:rPr>
                      <w:color w:val="auto"/>
                    </w:rPr>
                  </w:pPr>
                  <w:r>
                    <w:rPr>
                      <w:rFonts w:hint="eastAsia"/>
                      <w:color w:val="auto"/>
                      <w:lang w:val="en-US" w:eastAsia="zh-CN"/>
                    </w:rPr>
                    <w:t>一致</w:t>
                  </w:r>
                </w:p>
              </w:tc>
            </w:tr>
            <w:tr w14:paraId="4D915F86">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51" w:type="pct"/>
                  <w:vMerge w:val="continue"/>
                  <w:vAlign w:val="center"/>
                </w:tcPr>
                <w:p w14:paraId="18EBC9BD">
                  <w:pPr>
                    <w:pStyle w:val="66"/>
                    <w:rPr>
                      <w:color w:val="auto"/>
                      <w:lang w:val="pt-BR"/>
                    </w:rPr>
                  </w:pPr>
                </w:p>
              </w:tc>
              <w:tc>
                <w:tcPr>
                  <w:tcW w:w="275" w:type="pct"/>
                  <w:vMerge w:val="continue"/>
                  <w:vAlign w:val="center"/>
                </w:tcPr>
                <w:p w14:paraId="3E985D17">
                  <w:pPr>
                    <w:pStyle w:val="65"/>
                    <w:rPr>
                      <w:color w:val="auto"/>
                    </w:rPr>
                  </w:pPr>
                </w:p>
              </w:tc>
              <w:tc>
                <w:tcPr>
                  <w:tcW w:w="428" w:type="pct"/>
                  <w:vAlign w:val="center"/>
                </w:tcPr>
                <w:p w14:paraId="101A5335">
                  <w:pPr>
                    <w:pStyle w:val="65"/>
                    <w:rPr>
                      <w:color w:val="auto"/>
                    </w:rPr>
                  </w:pPr>
                  <w:r>
                    <w:rPr>
                      <w:rFonts w:hint="eastAsia"/>
                      <w:color w:val="auto"/>
                    </w:rPr>
                    <w:t>900-218-08</w:t>
                  </w:r>
                </w:p>
              </w:tc>
              <w:tc>
                <w:tcPr>
                  <w:tcW w:w="964" w:type="pct"/>
                  <w:vAlign w:val="center"/>
                </w:tcPr>
                <w:p w14:paraId="429B0146">
                  <w:pPr>
                    <w:pStyle w:val="65"/>
                    <w:rPr>
                      <w:color w:val="auto"/>
                    </w:rPr>
                  </w:pPr>
                  <w:r>
                    <w:rPr>
                      <w:rFonts w:hint="eastAsia"/>
                      <w:color w:val="auto"/>
                    </w:rPr>
                    <w:t>液压设备维护、更换和拆解过程中产生的废液压油</w:t>
                  </w:r>
                </w:p>
              </w:tc>
              <w:tc>
                <w:tcPr>
                  <w:tcW w:w="247" w:type="pct"/>
                  <w:vAlign w:val="center"/>
                </w:tcPr>
                <w:p w14:paraId="216106A3">
                  <w:pPr>
                    <w:pStyle w:val="65"/>
                    <w:rPr>
                      <w:color w:val="auto"/>
                    </w:rPr>
                  </w:pPr>
                  <w:r>
                    <w:rPr>
                      <w:rFonts w:hint="eastAsia"/>
                      <w:color w:val="auto"/>
                    </w:rPr>
                    <w:t>7.36</w:t>
                  </w:r>
                </w:p>
              </w:tc>
              <w:tc>
                <w:tcPr>
                  <w:tcW w:w="247" w:type="pct"/>
                  <w:vAlign w:val="center"/>
                </w:tcPr>
                <w:p w14:paraId="73B01C9F">
                  <w:pPr>
                    <w:pStyle w:val="65"/>
                    <w:rPr>
                      <w:color w:val="auto"/>
                    </w:rPr>
                  </w:pPr>
                  <w:r>
                    <w:rPr>
                      <w:rFonts w:hint="eastAsia"/>
                      <w:color w:val="auto"/>
                    </w:rPr>
                    <w:t>300</w:t>
                  </w:r>
                </w:p>
              </w:tc>
              <w:tc>
                <w:tcPr>
                  <w:tcW w:w="220" w:type="pct"/>
                  <w:vMerge w:val="continue"/>
                  <w:vAlign w:val="center"/>
                </w:tcPr>
                <w:p w14:paraId="308E11B7">
                  <w:pPr>
                    <w:pStyle w:val="65"/>
                    <w:rPr>
                      <w:color w:val="auto"/>
                    </w:rPr>
                  </w:pPr>
                </w:p>
              </w:tc>
              <w:tc>
                <w:tcPr>
                  <w:tcW w:w="408" w:type="pct"/>
                  <w:vMerge w:val="continue"/>
                  <w:vAlign w:val="center"/>
                </w:tcPr>
                <w:p w14:paraId="7FD07D05">
                  <w:pPr>
                    <w:pStyle w:val="65"/>
                    <w:rPr>
                      <w:color w:val="auto"/>
                    </w:rPr>
                  </w:pPr>
                </w:p>
              </w:tc>
              <w:tc>
                <w:tcPr>
                  <w:tcW w:w="328" w:type="pct"/>
                  <w:shd w:val="clear" w:color="auto" w:fill="auto"/>
                  <w:vAlign w:val="center"/>
                </w:tcPr>
                <w:p w14:paraId="56515BC8">
                  <w:pPr>
                    <w:pStyle w:val="65"/>
                    <w:rPr>
                      <w:rFonts w:ascii="Times New Roman" w:hAnsi="Times New Roman" w:eastAsia="宋体" w:cs="Times New Roman"/>
                      <w:bCs/>
                      <w:color w:val="auto"/>
                      <w:sz w:val="21"/>
                      <w:lang w:val="en-US" w:eastAsia="zh-CN" w:bidi="ar-SA"/>
                    </w:rPr>
                  </w:pPr>
                  <w:r>
                    <w:rPr>
                      <w:rFonts w:hint="eastAsia"/>
                      <w:color w:val="auto"/>
                    </w:rPr>
                    <w:t>900-218-08</w:t>
                  </w:r>
                </w:p>
              </w:tc>
              <w:tc>
                <w:tcPr>
                  <w:tcW w:w="917" w:type="pct"/>
                  <w:shd w:val="clear" w:color="auto" w:fill="auto"/>
                  <w:vAlign w:val="center"/>
                </w:tcPr>
                <w:p w14:paraId="1B036E71">
                  <w:pPr>
                    <w:pStyle w:val="65"/>
                    <w:rPr>
                      <w:rFonts w:ascii="Times New Roman" w:hAnsi="Times New Roman" w:eastAsia="宋体" w:cs="Times New Roman"/>
                      <w:bCs/>
                      <w:color w:val="auto"/>
                      <w:sz w:val="21"/>
                      <w:lang w:val="en-US" w:eastAsia="zh-CN" w:bidi="ar-SA"/>
                    </w:rPr>
                  </w:pPr>
                  <w:r>
                    <w:rPr>
                      <w:rFonts w:hint="eastAsia"/>
                      <w:color w:val="auto"/>
                    </w:rPr>
                    <w:t>液压设备维护、更换和拆解过程中产生的废液压油</w:t>
                  </w:r>
                </w:p>
              </w:tc>
              <w:tc>
                <w:tcPr>
                  <w:tcW w:w="241" w:type="pct"/>
                  <w:shd w:val="clear" w:color="auto" w:fill="auto"/>
                  <w:vAlign w:val="center"/>
                </w:tcPr>
                <w:p w14:paraId="4353DF28">
                  <w:pPr>
                    <w:pStyle w:val="65"/>
                    <w:rPr>
                      <w:rFonts w:ascii="Times New Roman" w:hAnsi="Times New Roman" w:eastAsia="宋体" w:cs="Times New Roman"/>
                      <w:bCs/>
                      <w:color w:val="auto"/>
                      <w:sz w:val="21"/>
                      <w:lang w:val="en-US" w:eastAsia="zh-CN" w:bidi="ar-SA"/>
                    </w:rPr>
                  </w:pPr>
                  <w:r>
                    <w:rPr>
                      <w:rFonts w:hint="eastAsia"/>
                      <w:color w:val="auto"/>
                    </w:rPr>
                    <w:t>7.36</w:t>
                  </w:r>
                </w:p>
              </w:tc>
              <w:tc>
                <w:tcPr>
                  <w:tcW w:w="207" w:type="pct"/>
                  <w:shd w:val="clear" w:color="auto" w:fill="auto"/>
                  <w:vAlign w:val="center"/>
                </w:tcPr>
                <w:p w14:paraId="61F35D26">
                  <w:pPr>
                    <w:pStyle w:val="65"/>
                    <w:rPr>
                      <w:rFonts w:ascii="Times New Roman" w:hAnsi="Times New Roman" w:eastAsia="宋体" w:cs="Times New Roman"/>
                      <w:bCs/>
                      <w:color w:val="auto"/>
                      <w:sz w:val="21"/>
                      <w:lang w:val="en-US" w:eastAsia="zh-CN" w:bidi="ar-SA"/>
                    </w:rPr>
                  </w:pPr>
                  <w:r>
                    <w:rPr>
                      <w:rFonts w:hint="eastAsia"/>
                      <w:color w:val="auto"/>
                    </w:rPr>
                    <w:t>300</w:t>
                  </w:r>
                </w:p>
              </w:tc>
              <w:tc>
                <w:tcPr>
                  <w:tcW w:w="207" w:type="pct"/>
                  <w:vMerge w:val="continue"/>
                  <w:vAlign w:val="center"/>
                </w:tcPr>
                <w:p w14:paraId="1F383E8E">
                  <w:pPr>
                    <w:pStyle w:val="65"/>
                    <w:rPr>
                      <w:color w:val="auto"/>
                    </w:rPr>
                  </w:pPr>
                </w:p>
              </w:tc>
              <w:tc>
                <w:tcPr>
                  <w:tcW w:w="151" w:type="pct"/>
                  <w:vAlign w:val="center"/>
                </w:tcPr>
                <w:p w14:paraId="4A1EC6F6">
                  <w:pPr>
                    <w:pStyle w:val="65"/>
                    <w:rPr>
                      <w:color w:val="auto"/>
                    </w:rPr>
                  </w:pPr>
                  <w:r>
                    <w:rPr>
                      <w:rFonts w:hint="eastAsia"/>
                      <w:color w:val="auto"/>
                      <w:lang w:val="en-US" w:eastAsia="zh-CN"/>
                    </w:rPr>
                    <w:t>一致</w:t>
                  </w:r>
                </w:p>
              </w:tc>
            </w:tr>
            <w:tr w14:paraId="1718372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2D1B7623">
                  <w:pPr>
                    <w:pStyle w:val="66"/>
                    <w:rPr>
                      <w:color w:val="auto"/>
                      <w:lang w:val="pt-BR"/>
                    </w:rPr>
                  </w:pPr>
                </w:p>
              </w:tc>
              <w:tc>
                <w:tcPr>
                  <w:tcW w:w="275" w:type="pct"/>
                  <w:vMerge w:val="continue"/>
                  <w:vAlign w:val="center"/>
                </w:tcPr>
                <w:p w14:paraId="6FBE78EE">
                  <w:pPr>
                    <w:pStyle w:val="65"/>
                    <w:rPr>
                      <w:color w:val="auto"/>
                    </w:rPr>
                  </w:pPr>
                </w:p>
              </w:tc>
              <w:tc>
                <w:tcPr>
                  <w:tcW w:w="428" w:type="pct"/>
                  <w:vAlign w:val="center"/>
                </w:tcPr>
                <w:p w14:paraId="4A8B8F9E">
                  <w:pPr>
                    <w:pStyle w:val="65"/>
                    <w:rPr>
                      <w:color w:val="auto"/>
                    </w:rPr>
                  </w:pPr>
                  <w:r>
                    <w:rPr>
                      <w:rFonts w:hint="eastAsia"/>
                      <w:color w:val="auto"/>
                    </w:rPr>
                    <w:t>900-219-08</w:t>
                  </w:r>
                </w:p>
              </w:tc>
              <w:tc>
                <w:tcPr>
                  <w:tcW w:w="964" w:type="pct"/>
                  <w:vAlign w:val="center"/>
                </w:tcPr>
                <w:p w14:paraId="11285900">
                  <w:pPr>
                    <w:pStyle w:val="65"/>
                    <w:rPr>
                      <w:color w:val="auto"/>
                    </w:rPr>
                  </w:pPr>
                  <w:r>
                    <w:rPr>
                      <w:rFonts w:hint="eastAsia"/>
                      <w:color w:val="auto"/>
                    </w:rPr>
                    <w:t>冷冻压缩设备维护、更换和拆解过程中产生的废冷冻机油</w:t>
                  </w:r>
                </w:p>
              </w:tc>
              <w:tc>
                <w:tcPr>
                  <w:tcW w:w="247" w:type="pct"/>
                  <w:vAlign w:val="center"/>
                </w:tcPr>
                <w:p w14:paraId="4B4531F0">
                  <w:pPr>
                    <w:pStyle w:val="65"/>
                    <w:rPr>
                      <w:color w:val="auto"/>
                    </w:rPr>
                  </w:pPr>
                  <w:r>
                    <w:rPr>
                      <w:rFonts w:hint="eastAsia"/>
                      <w:color w:val="auto"/>
                    </w:rPr>
                    <w:t>0.51</w:t>
                  </w:r>
                </w:p>
              </w:tc>
              <w:tc>
                <w:tcPr>
                  <w:tcW w:w="247" w:type="pct"/>
                  <w:vAlign w:val="center"/>
                </w:tcPr>
                <w:p w14:paraId="10CF0E91">
                  <w:pPr>
                    <w:pStyle w:val="65"/>
                    <w:rPr>
                      <w:color w:val="auto"/>
                    </w:rPr>
                  </w:pPr>
                  <w:r>
                    <w:rPr>
                      <w:rFonts w:hint="eastAsia"/>
                      <w:color w:val="auto"/>
                    </w:rPr>
                    <w:t>300</w:t>
                  </w:r>
                </w:p>
              </w:tc>
              <w:tc>
                <w:tcPr>
                  <w:tcW w:w="220" w:type="pct"/>
                  <w:vMerge w:val="continue"/>
                  <w:vAlign w:val="center"/>
                </w:tcPr>
                <w:p w14:paraId="301D60B0">
                  <w:pPr>
                    <w:pStyle w:val="65"/>
                    <w:rPr>
                      <w:color w:val="auto"/>
                    </w:rPr>
                  </w:pPr>
                </w:p>
              </w:tc>
              <w:tc>
                <w:tcPr>
                  <w:tcW w:w="408" w:type="pct"/>
                  <w:vMerge w:val="continue"/>
                  <w:vAlign w:val="center"/>
                </w:tcPr>
                <w:p w14:paraId="531F8DD3">
                  <w:pPr>
                    <w:pStyle w:val="65"/>
                    <w:rPr>
                      <w:color w:val="auto"/>
                    </w:rPr>
                  </w:pPr>
                </w:p>
              </w:tc>
              <w:tc>
                <w:tcPr>
                  <w:tcW w:w="328" w:type="pct"/>
                  <w:shd w:val="clear" w:color="auto" w:fill="auto"/>
                  <w:vAlign w:val="center"/>
                </w:tcPr>
                <w:p w14:paraId="417AF084">
                  <w:pPr>
                    <w:pStyle w:val="65"/>
                    <w:rPr>
                      <w:rFonts w:ascii="Times New Roman" w:hAnsi="Times New Roman" w:eastAsia="宋体" w:cs="Times New Roman"/>
                      <w:bCs/>
                      <w:color w:val="auto"/>
                      <w:sz w:val="21"/>
                      <w:lang w:val="en-US" w:eastAsia="zh-CN" w:bidi="ar-SA"/>
                    </w:rPr>
                  </w:pPr>
                  <w:r>
                    <w:rPr>
                      <w:rFonts w:hint="eastAsia"/>
                      <w:color w:val="auto"/>
                    </w:rPr>
                    <w:t>900-219-08</w:t>
                  </w:r>
                </w:p>
              </w:tc>
              <w:tc>
                <w:tcPr>
                  <w:tcW w:w="917" w:type="pct"/>
                  <w:shd w:val="clear" w:color="auto" w:fill="auto"/>
                  <w:vAlign w:val="center"/>
                </w:tcPr>
                <w:p w14:paraId="46D2C0DA">
                  <w:pPr>
                    <w:pStyle w:val="65"/>
                    <w:rPr>
                      <w:rFonts w:ascii="Times New Roman" w:hAnsi="Times New Roman" w:eastAsia="宋体" w:cs="Times New Roman"/>
                      <w:bCs/>
                      <w:color w:val="auto"/>
                      <w:sz w:val="21"/>
                      <w:lang w:val="en-US" w:eastAsia="zh-CN" w:bidi="ar-SA"/>
                    </w:rPr>
                  </w:pPr>
                  <w:r>
                    <w:rPr>
                      <w:rFonts w:hint="eastAsia"/>
                      <w:color w:val="auto"/>
                    </w:rPr>
                    <w:t>冷冻压缩设备维护、更换和拆解过程中产生的废冷冻机油</w:t>
                  </w:r>
                </w:p>
              </w:tc>
              <w:tc>
                <w:tcPr>
                  <w:tcW w:w="241" w:type="pct"/>
                  <w:shd w:val="clear" w:color="auto" w:fill="auto"/>
                  <w:vAlign w:val="center"/>
                </w:tcPr>
                <w:p w14:paraId="78CEC8BD">
                  <w:pPr>
                    <w:pStyle w:val="65"/>
                    <w:rPr>
                      <w:rFonts w:ascii="Times New Roman" w:hAnsi="Times New Roman" w:eastAsia="宋体" w:cs="Times New Roman"/>
                      <w:bCs/>
                      <w:color w:val="auto"/>
                      <w:sz w:val="21"/>
                      <w:lang w:val="en-US" w:eastAsia="zh-CN" w:bidi="ar-SA"/>
                    </w:rPr>
                  </w:pPr>
                  <w:r>
                    <w:rPr>
                      <w:rFonts w:hint="eastAsia"/>
                      <w:color w:val="auto"/>
                    </w:rPr>
                    <w:t>0.51</w:t>
                  </w:r>
                </w:p>
              </w:tc>
              <w:tc>
                <w:tcPr>
                  <w:tcW w:w="207" w:type="pct"/>
                  <w:shd w:val="clear" w:color="auto" w:fill="auto"/>
                  <w:vAlign w:val="center"/>
                </w:tcPr>
                <w:p w14:paraId="5EC253EE">
                  <w:pPr>
                    <w:pStyle w:val="65"/>
                    <w:rPr>
                      <w:rFonts w:ascii="Times New Roman" w:hAnsi="Times New Roman" w:eastAsia="宋体" w:cs="Times New Roman"/>
                      <w:bCs/>
                      <w:color w:val="auto"/>
                      <w:sz w:val="21"/>
                      <w:lang w:val="en-US" w:eastAsia="zh-CN" w:bidi="ar-SA"/>
                    </w:rPr>
                  </w:pPr>
                  <w:r>
                    <w:rPr>
                      <w:rFonts w:hint="eastAsia"/>
                      <w:color w:val="auto"/>
                    </w:rPr>
                    <w:t>300</w:t>
                  </w:r>
                </w:p>
              </w:tc>
              <w:tc>
                <w:tcPr>
                  <w:tcW w:w="207" w:type="pct"/>
                  <w:vMerge w:val="continue"/>
                  <w:vAlign w:val="center"/>
                </w:tcPr>
                <w:p w14:paraId="6C7FD3E2">
                  <w:pPr>
                    <w:pStyle w:val="65"/>
                    <w:rPr>
                      <w:color w:val="auto"/>
                    </w:rPr>
                  </w:pPr>
                </w:p>
              </w:tc>
              <w:tc>
                <w:tcPr>
                  <w:tcW w:w="151" w:type="pct"/>
                  <w:vAlign w:val="center"/>
                </w:tcPr>
                <w:p w14:paraId="0241BADB">
                  <w:pPr>
                    <w:pStyle w:val="65"/>
                    <w:rPr>
                      <w:color w:val="auto"/>
                    </w:rPr>
                  </w:pPr>
                  <w:r>
                    <w:rPr>
                      <w:rFonts w:hint="eastAsia"/>
                      <w:color w:val="auto"/>
                      <w:lang w:val="en-US" w:eastAsia="zh-CN"/>
                    </w:rPr>
                    <w:t>一致</w:t>
                  </w:r>
                </w:p>
              </w:tc>
            </w:tr>
            <w:tr w14:paraId="19CC0CA1">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5FD864DB">
                  <w:pPr>
                    <w:pStyle w:val="66"/>
                    <w:rPr>
                      <w:color w:val="auto"/>
                      <w:lang w:val="pt-BR"/>
                    </w:rPr>
                  </w:pPr>
                </w:p>
              </w:tc>
              <w:tc>
                <w:tcPr>
                  <w:tcW w:w="275" w:type="pct"/>
                  <w:vMerge w:val="continue"/>
                  <w:vAlign w:val="center"/>
                </w:tcPr>
                <w:p w14:paraId="02AE286A">
                  <w:pPr>
                    <w:pStyle w:val="65"/>
                    <w:rPr>
                      <w:color w:val="auto"/>
                    </w:rPr>
                  </w:pPr>
                </w:p>
              </w:tc>
              <w:tc>
                <w:tcPr>
                  <w:tcW w:w="428" w:type="pct"/>
                  <w:vAlign w:val="center"/>
                </w:tcPr>
                <w:p w14:paraId="73C2B0D1">
                  <w:pPr>
                    <w:pStyle w:val="65"/>
                    <w:rPr>
                      <w:color w:val="auto"/>
                    </w:rPr>
                  </w:pPr>
                  <w:r>
                    <w:rPr>
                      <w:rFonts w:hint="eastAsia"/>
                      <w:color w:val="auto"/>
                    </w:rPr>
                    <w:t>900-249-08</w:t>
                  </w:r>
                </w:p>
              </w:tc>
              <w:tc>
                <w:tcPr>
                  <w:tcW w:w="964" w:type="pct"/>
                  <w:vAlign w:val="center"/>
                </w:tcPr>
                <w:p w14:paraId="06B442D2">
                  <w:pPr>
                    <w:pStyle w:val="65"/>
                    <w:rPr>
                      <w:color w:val="auto"/>
                    </w:rPr>
                  </w:pPr>
                  <w:r>
                    <w:rPr>
                      <w:rFonts w:hint="eastAsia"/>
                      <w:color w:val="auto"/>
                    </w:rPr>
                    <w:t>其他生产、销售、使用过程中产生的废矿物油及沾染矿物油的废弃包装物</w:t>
                  </w:r>
                </w:p>
              </w:tc>
              <w:tc>
                <w:tcPr>
                  <w:tcW w:w="247" w:type="pct"/>
                  <w:vAlign w:val="center"/>
                </w:tcPr>
                <w:p w14:paraId="62C59B71">
                  <w:pPr>
                    <w:pStyle w:val="65"/>
                    <w:rPr>
                      <w:color w:val="auto"/>
                      <w:highlight w:val="yellow"/>
                    </w:rPr>
                  </w:pPr>
                  <w:r>
                    <w:rPr>
                      <w:rFonts w:hint="eastAsia"/>
                      <w:color w:val="auto"/>
                    </w:rPr>
                    <w:t>18.4</w:t>
                  </w:r>
                </w:p>
              </w:tc>
              <w:tc>
                <w:tcPr>
                  <w:tcW w:w="247" w:type="pct"/>
                  <w:vAlign w:val="center"/>
                </w:tcPr>
                <w:p w14:paraId="773A5BBE">
                  <w:pPr>
                    <w:pStyle w:val="65"/>
                    <w:rPr>
                      <w:color w:val="auto"/>
                    </w:rPr>
                  </w:pPr>
                  <w:r>
                    <w:rPr>
                      <w:rFonts w:hint="eastAsia"/>
                      <w:color w:val="auto"/>
                    </w:rPr>
                    <w:t>600</w:t>
                  </w:r>
                </w:p>
              </w:tc>
              <w:tc>
                <w:tcPr>
                  <w:tcW w:w="220" w:type="pct"/>
                  <w:vMerge w:val="continue"/>
                  <w:vAlign w:val="center"/>
                </w:tcPr>
                <w:p w14:paraId="47A272CE">
                  <w:pPr>
                    <w:pStyle w:val="65"/>
                    <w:rPr>
                      <w:color w:val="auto"/>
                    </w:rPr>
                  </w:pPr>
                </w:p>
              </w:tc>
              <w:tc>
                <w:tcPr>
                  <w:tcW w:w="408" w:type="pct"/>
                  <w:vMerge w:val="continue"/>
                  <w:vAlign w:val="center"/>
                </w:tcPr>
                <w:p w14:paraId="6C57BD51">
                  <w:pPr>
                    <w:pStyle w:val="65"/>
                    <w:rPr>
                      <w:color w:val="auto"/>
                    </w:rPr>
                  </w:pPr>
                </w:p>
              </w:tc>
              <w:tc>
                <w:tcPr>
                  <w:tcW w:w="328" w:type="pct"/>
                  <w:shd w:val="clear" w:color="auto" w:fill="auto"/>
                  <w:vAlign w:val="center"/>
                </w:tcPr>
                <w:p w14:paraId="09950DEF">
                  <w:pPr>
                    <w:pStyle w:val="65"/>
                    <w:rPr>
                      <w:rFonts w:ascii="Times New Roman" w:hAnsi="Times New Roman" w:eastAsia="宋体" w:cs="Times New Roman"/>
                      <w:bCs/>
                      <w:color w:val="auto"/>
                      <w:sz w:val="21"/>
                      <w:lang w:val="en-US" w:eastAsia="zh-CN" w:bidi="ar-SA"/>
                    </w:rPr>
                  </w:pPr>
                  <w:r>
                    <w:rPr>
                      <w:rFonts w:hint="eastAsia"/>
                      <w:color w:val="auto"/>
                    </w:rPr>
                    <w:t>900-249-08</w:t>
                  </w:r>
                </w:p>
              </w:tc>
              <w:tc>
                <w:tcPr>
                  <w:tcW w:w="917" w:type="pct"/>
                  <w:shd w:val="clear" w:color="auto" w:fill="auto"/>
                  <w:vAlign w:val="center"/>
                </w:tcPr>
                <w:p w14:paraId="2EBF4DD1">
                  <w:pPr>
                    <w:pStyle w:val="65"/>
                    <w:rPr>
                      <w:rFonts w:ascii="Times New Roman" w:hAnsi="Times New Roman" w:eastAsia="宋体" w:cs="Times New Roman"/>
                      <w:bCs/>
                      <w:color w:val="auto"/>
                      <w:sz w:val="21"/>
                      <w:lang w:val="en-US" w:eastAsia="zh-CN" w:bidi="ar-SA"/>
                    </w:rPr>
                  </w:pPr>
                  <w:r>
                    <w:rPr>
                      <w:rFonts w:hint="eastAsia"/>
                      <w:color w:val="auto"/>
                    </w:rPr>
                    <w:t>其他生产、销售、使用过程中产生的废矿物油及沾染矿物油的废弃包装物</w:t>
                  </w:r>
                </w:p>
              </w:tc>
              <w:tc>
                <w:tcPr>
                  <w:tcW w:w="241" w:type="pct"/>
                  <w:shd w:val="clear" w:color="auto" w:fill="auto"/>
                  <w:vAlign w:val="center"/>
                </w:tcPr>
                <w:p w14:paraId="532E586C">
                  <w:pPr>
                    <w:pStyle w:val="65"/>
                    <w:rPr>
                      <w:rFonts w:ascii="Times New Roman" w:hAnsi="Times New Roman" w:eastAsia="宋体" w:cs="Times New Roman"/>
                      <w:bCs/>
                      <w:color w:val="auto"/>
                      <w:sz w:val="21"/>
                      <w:highlight w:val="yellow"/>
                      <w:lang w:val="en-US" w:eastAsia="zh-CN" w:bidi="ar-SA"/>
                    </w:rPr>
                  </w:pPr>
                  <w:r>
                    <w:rPr>
                      <w:rFonts w:hint="eastAsia"/>
                      <w:color w:val="auto"/>
                    </w:rPr>
                    <w:t>18.4</w:t>
                  </w:r>
                </w:p>
              </w:tc>
              <w:tc>
                <w:tcPr>
                  <w:tcW w:w="207" w:type="pct"/>
                  <w:shd w:val="clear" w:color="auto" w:fill="auto"/>
                  <w:vAlign w:val="center"/>
                </w:tcPr>
                <w:p w14:paraId="614F32DB">
                  <w:pPr>
                    <w:pStyle w:val="65"/>
                    <w:rPr>
                      <w:rFonts w:ascii="Times New Roman" w:hAnsi="Times New Roman" w:eastAsia="宋体" w:cs="Times New Roman"/>
                      <w:bCs/>
                      <w:color w:val="auto"/>
                      <w:sz w:val="21"/>
                      <w:lang w:val="en-US" w:eastAsia="zh-CN" w:bidi="ar-SA"/>
                    </w:rPr>
                  </w:pPr>
                  <w:r>
                    <w:rPr>
                      <w:rFonts w:hint="eastAsia"/>
                      <w:color w:val="auto"/>
                    </w:rPr>
                    <w:t>600</w:t>
                  </w:r>
                </w:p>
              </w:tc>
              <w:tc>
                <w:tcPr>
                  <w:tcW w:w="207" w:type="pct"/>
                  <w:vMerge w:val="continue"/>
                  <w:vAlign w:val="center"/>
                </w:tcPr>
                <w:p w14:paraId="3D0D6A65">
                  <w:pPr>
                    <w:pStyle w:val="65"/>
                    <w:rPr>
                      <w:color w:val="auto"/>
                    </w:rPr>
                  </w:pPr>
                </w:p>
              </w:tc>
              <w:tc>
                <w:tcPr>
                  <w:tcW w:w="151" w:type="pct"/>
                  <w:vAlign w:val="center"/>
                </w:tcPr>
                <w:p w14:paraId="43927A65">
                  <w:pPr>
                    <w:pStyle w:val="65"/>
                    <w:rPr>
                      <w:color w:val="auto"/>
                    </w:rPr>
                  </w:pPr>
                  <w:r>
                    <w:rPr>
                      <w:rFonts w:hint="eastAsia"/>
                      <w:color w:val="auto"/>
                      <w:lang w:val="en-US" w:eastAsia="zh-CN"/>
                    </w:rPr>
                    <w:t>一致</w:t>
                  </w:r>
                </w:p>
              </w:tc>
            </w:tr>
            <w:tr w14:paraId="2620D995">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796B4FFC">
                  <w:pPr>
                    <w:pStyle w:val="66"/>
                    <w:numPr>
                      <w:ilvl w:val="0"/>
                      <w:numId w:val="3"/>
                    </w:numPr>
                    <w:rPr>
                      <w:color w:val="auto"/>
                      <w:lang w:val="pt-BR"/>
                    </w:rPr>
                  </w:pPr>
                </w:p>
              </w:tc>
              <w:tc>
                <w:tcPr>
                  <w:tcW w:w="275" w:type="pct"/>
                  <w:vMerge w:val="restart"/>
                  <w:vAlign w:val="center"/>
                </w:tcPr>
                <w:p w14:paraId="49602535">
                  <w:pPr>
                    <w:pStyle w:val="65"/>
                    <w:rPr>
                      <w:color w:val="auto"/>
                    </w:rPr>
                  </w:pPr>
                  <w:r>
                    <w:rPr>
                      <w:rFonts w:hint="eastAsia"/>
                      <w:color w:val="auto"/>
                    </w:rPr>
                    <w:t>HW09油/水、烃/水混合物或乳化液</w:t>
                  </w:r>
                </w:p>
              </w:tc>
              <w:tc>
                <w:tcPr>
                  <w:tcW w:w="428" w:type="pct"/>
                  <w:vAlign w:val="center"/>
                </w:tcPr>
                <w:p w14:paraId="48CE8683">
                  <w:pPr>
                    <w:pStyle w:val="65"/>
                    <w:rPr>
                      <w:color w:val="auto"/>
                    </w:rPr>
                  </w:pPr>
                  <w:r>
                    <w:rPr>
                      <w:rFonts w:hint="eastAsia"/>
                      <w:color w:val="auto"/>
                    </w:rPr>
                    <w:t>900-005-09</w:t>
                  </w:r>
                </w:p>
              </w:tc>
              <w:tc>
                <w:tcPr>
                  <w:tcW w:w="964" w:type="pct"/>
                  <w:vAlign w:val="center"/>
                </w:tcPr>
                <w:p w14:paraId="3E88D308">
                  <w:pPr>
                    <w:pStyle w:val="65"/>
                    <w:rPr>
                      <w:color w:val="auto"/>
                    </w:rPr>
                  </w:pPr>
                  <w:r>
                    <w:rPr>
                      <w:rFonts w:hint="eastAsia"/>
                      <w:color w:val="auto"/>
                    </w:rPr>
                    <w:t>水压机维护、更换和拆解过程中产生的油/水、烃/水混合物或者乳化液</w:t>
                  </w:r>
                </w:p>
              </w:tc>
              <w:tc>
                <w:tcPr>
                  <w:tcW w:w="247" w:type="pct"/>
                  <w:vAlign w:val="center"/>
                </w:tcPr>
                <w:p w14:paraId="10FBAC1F">
                  <w:pPr>
                    <w:pStyle w:val="65"/>
                    <w:rPr>
                      <w:color w:val="auto"/>
                    </w:rPr>
                  </w:pPr>
                  <w:r>
                    <w:rPr>
                      <w:color w:val="auto"/>
                    </w:rPr>
                    <w:t>2</w:t>
                  </w:r>
                </w:p>
              </w:tc>
              <w:tc>
                <w:tcPr>
                  <w:tcW w:w="247" w:type="pct"/>
                  <w:vAlign w:val="center"/>
                </w:tcPr>
                <w:p w14:paraId="34DA33B4">
                  <w:pPr>
                    <w:pStyle w:val="65"/>
                    <w:rPr>
                      <w:color w:val="auto"/>
                    </w:rPr>
                  </w:pPr>
                  <w:r>
                    <w:rPr>
                      <w:color w:val="auto"/>
                    </w:rPr>
                    <w:t>100</w:t>
                  </w:r>
                </w:p>
              </w:tc>
              <w:tc>
                <w:tcPr>
                  <w:tcW w:w="220" w:type="pct"/>
                  <w:vMerge w:val="restart"/>
                  <w:vAlign w:val="center"/>
                </w:tcPr>
                <w:p w14:paraId="12ADAF4F">
                  <w:pPr>
                    <w:pStyle w:val="65"/>
                    <w:rPr>
                      <w:color w:val="auto"/>
                    </w:rPr>
                  </w:pPr>
                  <w:r>
                    <w:rPr>
                      <w:rFonts w:hint="eastAsia"/>
                      <w:color w:val="auto"/>
                    </w:rPr>
                    <w:t>300</w:t>
                  </w:r>
                </w:p>
              </w:tc>
              <w:tc>
                <w:tcPr>
                  <w:tcW w:w="408" w:type="pct"/>
                  <w:vMerge w:val="restart"/>
                  <w:shd w:val="clear" w:color="auto" w:fill="auto"/>
                  <w:vAlign w:val="center"/>
                </w:tcPr>
                <w:p w14:paraId="20BD81B2">
                  <w:pPr>
                    <w:pStyle w:val="65"/>
                    <w:rPr>
                      <w:rFonts w:hint="eastAsia" w:ascii="Times New Roman" w:hAnsi="Times New Roman" w:eastAsia="宋体" w:cs="Times New Roman"/>
                      <w:bCs/>
                      <w:color w:val="auto"/>
                      <w:sz w:val="21"/>
                      <w:lang w:val="en-US" w:eastAsia="zh-CN" w:bidi="ar-SA"/>
                    </w:rPr>
                  </w:pPr>
                  <w:r>
                    <w:rPr>
                      <w:rFonts w:hint="eastAsia"/>
                      <w:color w:val="auto"/>
                    </w:rPr>
                    <w:t>HW09油/水、烃/水混合物或乳化液</w:t>
                  </w:r>
                </w:p>
              </w:tc>
              <w:tc>
                <w:tcPr>
                  <w:tcW w:w="328" w:type="pct"/>
                  <w:shd w:val="clear" w:color="auto" w:fill="auto"/>
                  <w:vAlign w:val="center"/>
                </w:tcPr>
                <w:p w14:paraId="16107CF9">
                  <w:pPr>
                    <w:pStyle w:val="65"/>
                    <w:rPr>
                      <w:rFonts w:hint="eastAsia" w:ascii="Times New Roman" w:hAnsi="Times New Roman" w:eastAsia="宋体" w:cs="Times New Roman"/>
                      <w:bCs/>
                      <w:color w:val="auto"/>
                      <w:sz w:val="21"/>
                      <w:lang w:val="en-US" w:eastAsia="zh-CN" w:bidi="ar-SA"/>
                    </w:rPr>
                  </w:pPr>
                  <w:r>
                    <w:rPr>
                      <w:rFonts w:hint="eastAsia"/>
                      <w:color w:val="auto"/>
                    </w:rPr>
                    <w:t>900-005-09</w:t>
                  </w:r>
                </w:p>
              </w:tc>
              <w:tc>
                <w:tcPr>
                  <w:tcW w:w="917" w:type="pct"/>
                  <w:shd w:val="clear" w:color="auto" w:fill="auto"/>
                  <w:vAlign w:val="center"/>
                </w:tcPr>
                <w:p w14:paraId="7F241783">
                  <w:pPr>
                    <w:pStyle w:val="65"/>
                    <w:rPr>
                      <w:rFonts w:hint="eastAsia" w:ascii="Times New Roman" w:hAnsi="Times New Roman" w:eastAsia="宋体" w:cs="Times New Roman"/>
                      <w:bCs/>
                      <w:color w:val="auto"/>
                      <w:sz w:val="21"/>
                      <w:lang w:val="en-US" w:eastAsia="zh-CN" w:bidi="ar-SA"/>
                    </w:rPr>
                  </w:pPr>
                  <w:r>
                    <w:rPr>
                      <w:rFonts w:hint="eastAsia"/>
                      <w:color w:val="auto"/>
                    </w:rPr>
                    <w:t>水压机维护、更换和拆解过程中产生的油/水、烃/水混合物或者乳化液</w:t>
                  </w:r>
                </w:p>
              </w:tc>
              <w:tc>
                <w:tcPr>
                  <w:tcW w:w="241" w:type="pct"/>
                  <w:shd w:val="clear" w:color="auto" w:fill="auto"/>
                  <w:vAlign w:val="center"/>
                </w:tcPr>
                <w:p w14:paraId="246BB199">
                  <w:pPr>
                    <w:pStyle w:val="65"/>
                    <w:rPr>
                      <w:rFonts w:hint="eastAsia"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06B7D57E">
                  <w:pPr>
                    <w:pStyle w:val="65"/>
                    <w:rPr>
                      <w:rFonts w:hint="eastAsia" w:ascii="Times New Roman" w:hAnsi="Times New Roman" w:eastAsia="宋体" w:cs="Times New Roman"/>
                      <w:bCs/>
                      <w:color w:val="auto"/>
                      <w:sz w:val="21"/>
                      <w:lang w:val="en-US" w:eastAsia="zh-CN" w:bidi="ar-SA"/>
                    </w:rPr>
                  </w:pPr>
                  <w:r>
                    <w:rPr>
                      <w:color w:val="auto"/>
                    </w:rPr>
                    <w:t>100</w:t>
                  </w:r>
                </w:p>
              </w:tc>
              <w:tc>
                <w:tcPr>
                  <w:tcW w:w="207" w:type="pct"/>
                  <w:vMerge w:val="restart"/>
                  <w:vAlign w:val="center"/>
                </w:tcPr>
                <w:p w14:paraId="41016592">
                  <w:pPr>
                    <w:pStyle w:val="65"/>
                    <w:rPr>
                      <w:rFonts w:hint="default" w:eastAsia="宋体"/>
                      <w:color w:val="auto"/>
                      <w:lang w:val="en-US" w:eastAsia="zh-CN"/>
                    </w:rPr>
                  </w:pPr>
                  <w:r>
                    <w:rPr>
                      <w:rFonts w:hint="eastAsia"/>
                      <w:color w:val="auto"/>
                      <w:lang w:val="en-US" w:eastAsia="zh-CN"/>
                    </w:rPr>
                    <w:t>300</w:t>
                  </w:r>
                </w:p>
              </w:tc>
              <w:tc>
                <w:tcPr>
                  <w:tcW w:w="151" w:type="pct"/>
                  <w:shd w:val="clear" w:color="auto" w:fill="auto"/>
                  <w:vAlign w:val="center"/>
                </w:tcPr>
                <w:p w14:paraId="25F749BD">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09E59BFA">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394FB431">
                  <w:pPr>
                    <w:pStyle w:val="66"/>
                    <w:rPr>
                      <w:color w:val="auto"/>
                      <w:lang w:val="pt-BR"/>
                    </w:rPr>
                  </w:pPr>
                </w:p>
              </w:tc>
              <w:tc>
                <w:tcPr>
                  <w:tcW w:w="275" w:type="pct"/>
                  <w:vMerge w:val="continue"/>
                  <w:vAlign w:val="center"/>
                </w:tcPr>
                <w:p w14:paraId="0C8675D2">
                  <w:pPr>
                    <w:pStyle w:val="65"/>
                    <w:rPr>
                      <w:color w:val="auto"/>
                    </w:rPr>
                  </w:pPr>
                </w:p>
              </w:tc>
              <w:tc>
                <w:tcPr>
                  <w:tcW w:w="428" w:type="pct"/>
                  <w:vAlign w:val="center"/>
                </w:tcPr>
                <w:p w14:paraId="25137237">
                  <w:pPr>
                    <w:pStyle w:val="65"/>
                    <w:rPr>
                      <w:color w:val="auto"/>
                    </w:rPr>
                  </w:pPr>
                  <w:r>
                    <w:rPr>
                      <w:rFonts w:hint="eastAsia"/>
                      <w:color w:val="auto"/>
                    </w:rPr>
                    <w:t>900-006-09</w:t>
                  </w:r>
                </w:p>
              </w:tc>
              <w:tc>
                <w:tcPr>
                  <w:tcW w:w="964" w:type="pct"/>
                  <w:vAlign w:val="center"/>
                </w:tcPr>
                <w:p w14:paraId="25BE7170">
                  <w:pPr>
                    <w:pStyle w:val="65"/>
                    <w:rPr>
                      <w:color w:val="auto"/>
                    </w:rPr>
                  </w:pPr>
                  <w:r>
                    <w:rPr>
                      <w:rFonts w:hint="eastAsia"/>
                      <w:color w:val="auto"/>
                    </w:rPr>
                    <w:t>使用切削油或者切削液进行机械加工过程中产生的油/水、烃/水混合物或者乳化液</w:t>
                  </w:r>
                </w:p>
              </w:tc>
              <w:tc>
                <w:tcPr>
                  <w:tcW w:w="247" w:type="pct"/>
                  <w:vAlign w:val="center"/>
                </w:tcPr>
                <w:p w14:paraId="3DC3506A">
                  <w:pPr>
                    <w:pStyle w:val="65"/>
                    <w:rPr>
                      <w:color w:val="auto"/>
                    </w:rPr>
                  </w:pPr>
                  <w:r>
                    <w:rPr>
                      <w:color w:val="auto"/>
                    </w:rPr>
                    <w:t>2</w:t>
                  </w:r>
                </w:p>
              </w:tc>
              <w:tc>
                <w:tcPr>
                  <w:tcW w:w="247" w:type="pct"/>
                  <w:vAlign w:val="center"/>
                </w:tcPr>
                <w:p w14:paraId="69BF46C6">
                  <w:pPr>
                    <w:pStyle w:val="65"/>
                    <w:rPr>
                      <w:color w:val="auto"/>
                    </w:rPr>
                  </w:pPr>
                  <w:r>
                    <w:rPr>
                      <w:color w:val="auto"/>
                    </w:rPr>
                    <w:t>100</w:t>
                  </w:r>
                </w:p>
              </w:tc>
              <w:tc>
                <w:tcPr>
                  <w:tcW w:w="220" w:type="pct"/>
                  <w:vMerge w:val="continue"/>
                  <w:vAlign w:val="center"/>
                </w:tcPr>
                <w:p w14:paraId="4A0F764C">
                  <w:pPr>
                    <w:pStyle w:val="65"/>
                    <w:rPr>
                      <w:color w:val="auto"/>
                    </w:rPr>
                  </w:pPr>
                </w:p>
              </w:tc>
              <w:tc>
                <w:tcPr>
                  <w:tcW w:w="408" w:type="pct"/>
                  <w:vMerge w:val="continue"/>
                  <w:vAlign w:val="center"/>
                </w:tcPr>
                <w:p w14:paraId="0F422DF9">
                  <w:pPr>
                    <w:pStyle w:val="65"/>
                    <w:rPr>
                      <w:color w:val="auto"/>
                    </w:rPr>
                  </w:pPr>
                </w:p>
              </w:tc>
              <w:tc>
                <w:tcPr>
                  <w:tcW w:w="328" w:type="pct"/>
                  <w:shd w:val="clear" w:color="auto" w:fill="auto"/>
                  <w:vAlign w:val="center"/>
                </w:tcPr>
                <w:p w14:paraId="2FCD0C53">
                  <w:pPr>
                    <w:pStyle w:val="65"/>
                    <w:rPr>
                      <w:rFonts w:ascii="Times New Roman" w:hAnsi="Times New Roman" w:eastAsia="宋体" w:cs="Times New Roman"/>
                      <w:bCs/>
                      <w:color w:val="auto"/>
                      <w:sz w:val="21"/>
                      <w:lang w:val="en-US" w:eastAsia="zh-CN" w:bidi="ar-SA"/>
                    </w:rPr>
                  </w:pPr>
                  <w:r>
                    <w:rPr>
                      <w:rFonts w:hint="eastAsia"/>
                      <w:color w:val="auto"/>
                    </w:rPr>
                    <w:t>900-006-09</w:t>
                  </w:r>
                </w:p>
              </w:tc>
              <w:tc>
                <w:tcPr>
                  <w:tcW w:w="917" w:type="pct"/>
                  <w:shd w:val="clear" w:color="auto" w:fill="auto"/>
                  <w:vAlign w:val="center"/>
                </w:tcPr>
                <w:p w14:paraId="4A50FCF4">
                  <w:pPr>
                    <w:pStyle w:val="65"/>
                    <w:rPr>
                      <w:rFonts w:ascii="Times New Roman" w:hAnsi="Times New Roman" w:eastAsia="宋体" w:cs="Times New Roman"/>
                      <w:bCs/>
                      <w:color w:val="auto"/>
                      <w:sz w:val="21"/>
                      <w:lang w:val="en-US" w:eastAsia="zh-CN" w:bidi="ar-SA"/>
                    </w:rPr>
                  </w:pPr>
                  <w:r>
                    <w:rPr>
                      <w:rFonts w:hint="eastAsia"/>
                      <w:color w:val="auto"/>
                    </w:rPr>
                    <w:t>使用切削油或者切削液进行机械加工过程中产生的油/水、烃/水混合物或者乳化液</w:t>
                  </w:r>
                </w:p>
              </w:tc>
              <w:tc>
                <w:tcPr>
                  <w:tcW w:w="241" w:type="pct"/>
                  <w:shd w:val="clear" w:color="auto" w:fill="auto"/>
                  <w:vAlign w:val="center"/>
                </w:tcPr>
                <w:p w14:paraId="01678148">
                  <w:pPr>
                    <w:pStyle w:val="65"/>
                    <w:rPr>
                      <w:rFonts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589497B3">
                  <w:pPr>
                    <w:pStyle w:val="65"/>
                    <w:rPr>
                      <w:rFonts w:ascii="Times New Roman" w:hAnsi="Times New Roman" w:eastAsia="宋体" w:cs="Times New Roman"/>
                      <w:bCs/>
                      <w:color w:val="auto"/>
                      <w:sz w:val="21"/>
                      <w:lang w:val="en-US" w:eastAsia="zh-CN" w:bidi="ar-SA"/>
                    </w:rPr>
                  </w:pPr>
                  <w:r>
                    <w:rPr>
                      <w:color w:val="auto"/>
                    </w:rPr>
                    <w:t>100</w:t>
                  </w:r>
                </w:p>
              </w:tc>
              <w:tc>
                <w:tcPr>
                  <w:tcW w:w="207" w:type="pct"/>
                  <w:vMerge w:val="continue"/>
                  <w:vAlign w:val="center"/>
                </w:tcPr>
                <w:p w14:paraId="6DA7114E">
                  <w:pPr>
                    <w:pStyle w:val="65"/>
                    <w:rPr>
                      <w:color w:val="auto"/>
                    </w:rPr>
                  </w:pPr>
                </w:p>
              </w:tc>
              <w:tc>
                <w:tcPr>
                  <w:tcW w:w="151" w:type="pct"/>
                  <w:shd w:val="clear" w:color="auto" w:fill="auto"/>
                  <w:vAlign w:val="center"/>
                </w:tcPr>
                <w:p w14:paraId="17E7B129">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42C1E19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4696BD79">
                  <w:pPr>
                    <w:pStyle w:val="66"/>
                    <w:rPr>
                      <w:color w:val="auto"/>
                      <w:lang w:val="pt-BR"/>
                    </w:rPr>
                  </w:pPr>
                </w:p>
              </w:tc>
              <w:tc>
                <w:tcPr>
                  <w:tcW w:w="275" w:type="pct"/>
                  <w:vMerge w:val="continue"/>
                  <w:vAlign w:val="center"/>
                </w:tcPr>
                <w:p w14:paraId="2612A120">
                  <w:pPr>
                    <w:pStyle w:val="65"/>
                    <w:rPr>
                      <w:color w:val="auto"/>
                    </w:rPr>
                  </w:pPr>
                </w:p>
              </w:tc>
              <w:tc>
                <w:tcPr>
                  <w:tcW w:w="428" w:type="pct"/>
                  <w:vAlign w:val="center"/>
                </w:tcPr>
                <w:p w14:paraId="30C54B28">
                  <w:pPr>
                    <w:pStyle w:val="65"/>
                    <w:rPr>
                      <w:color w:val="auto"/>
                    </w:rPr>
                  </w:pPr>
                  <w:r>
                    <w:rPr>
                      <w:rFonts w:hint="eastAsia"/>
                      <w:color w:val="auto"/>
                    </w:rPr>
                    <w:t>900-007-09</w:t>
                  </w:r>
                </w:p>
              </w:tc>
              <w:tc>
                <w:tcPr>
                  <w:tcW w:w="964" w:type="pct"/>
                  <w:vAlign w:val="center"/>
                </w:tcPr>
                <w:p w14:paraId="30A1BDC1">
                  <w:pPr>
                    <w:pStyle w:val="65"/>
                    <w:rPr>
                      <w:color w:val="auto"/>
                    </w:rPr>
                  </w:pPr>
                  <w:r>
                    <w:rPr>
                      <w:rFonts w:hint="eastAsia"/>
                      <w:color w:val="auto"/>
                    </w:rPr>
                    <w:t>其他工艺过程中产生的废弃的油/水、烃/水混合物或者乳化液</w:t>
                  </w:r>
                </w:p>
              </w:tc>
              <w:tc>
                <w:tcPr>
                  <w:tcW w:w="247" w:type="pct"/>
                  <w:vAlign w:val="center"/>
                </w:tcPr>
                <w:p w14:paraId="5280D71C">
                  <w:pPr>
                    <w:pStyle w:val="65"/>
                    <w:rPr>
                      <w:color w:val="auto"/>
                    </w:rPr>
                  </w:pPr>
                  <w:r>
                    <w:rPr>
                      <w:color w:val="auto"/>
                    </w:rPr>
                    <w:t>2</w:t>
                  </w:r>
                </w:p>
              </w:tc>
              <w:tc>
                <w:tcPr>
                  <w:tcW w:w="247" w:type="pct"/>
                  <w:vAlign w:val="center"/>
                </w:tcPr>
                <w:p w14:paraId="3B46CAB8">
                  <w:pPr>
                    <w:pStyle w:val="65"/>
                    <w:rPr>
                      <w:color w:val="auto"/>
                    </w:rPr>
                  </w:pPr>
                  <w:r>
                    <w:rPr>
                      <w:color w:val="auto"/>
                    </w:rPr>
                    <w:t>100</w:t>
                  </w:r>
                </w:p>
              </w:tc>
              <w:tc>
                <w:tcPr>
                  <w:tcW w:w="220" w:type="pct"/>
                  <w:vMerge w:val="continue"/>
                  <w:vAlign w:val="center"/>
                </w:tcPr>
                <w:p w14:paraId="0988B606">
                  <w:pPr>
                    <w:pStyle w:val="65"/>
                    <w:rPr>
                      <w:color w:val="auto"/>
                    </w:rPr>
                  </w:pPr>
                </w:p>
              </w:tc>
              <w:tc>
                <w:tcPr>
                  <w:tcW w:w="408" w:type="pct"/>
                  <w:vMerge w:val="continue"/>
                  <w:vAlign w:val="center"/>
                </w:tcPr>
                <w:p w14:paraId="42FC21D1">
                  <w:pPr>
                    <w:pStyle w:val="65"/>
                    <w:rPr>
                      <w:color w:val="auto"/>
                    </w:rPr>
                  </w:pPr>
                </w:p>
              </w:tc>
              <w:tc>
                <w:tcPr>
                  <w:tcW w:w="328" w:type="pct"/>
                  <w:shd w:val="clear" w:color="auto" w:fill="auto"/>
                  <w:vAlign w:val="center"/>
                </w:tcPr>
                <w:p w14:paraId="124CD332">
                  <w:pPr>
                    <w:pStyle w:val="65"/>
                    <w:rPr>
                      <w:rFonts w:ascii="Times New Roman" w:hAnsi="Times New Roman" w:eastAsia="宋体" w:cs="Times New Roman"/>
                      <w:bCs/>
                      <w:color w:val="auto"/>
                      <w:sz w:val="21"/>
                      <w:lang w:val="en-US" w:eastAsia="zh-CN" w:bidi="ar-SA"/>
                    </w:rPr>
                  </w:pPr>
                  <w:r>
                    <w:rPr>
                      <w:rFonts w:hint="eastAsia"/>
                      <w:color w:val="auto"/>
                    </w:rPr>
                    <w:t>900-007-09</w:t>
                  </w:r>
                </w:p>
              </w:tc>
              <w:tc>
                <w:tcPr>
                  <w:tcW w:w="917" w:type="pct"/>
                  <w:shd w:val="clear" w:color="auto" w:fill="auto"/>
                  <w:vAlign w:val="center"/>
                </w:tcPr>
                <w:p w14:paraId="6E75FD1C">
                  <w:pPr>
                    <w:pStyle w:val="65"/>
                    <w:rPr>
                      <w:rFonts w:ascii="Times New Roman" w:hAnsi="Times New Roman" w:eastAsia="宋体" w:cs="Times New Roman"/>
                      <w:bCs/>
                      <w:color w:val="auto"/>
                      <w:sz w:val="21"/>
                      <w:lang w:val="en-US" w:eastAsia="zh-CN" w:bidi="ar-SA"/>
                    </w:rPr>
                  </w:pPr>
                  <w:r>
                    <w:rPr>
                      <w:rFonts w:hint="eastAsia"/>
                      <w:color w:val="auto"/>
                    </w:rPr>
                    <w:t>其他工艺过程中产生的废弃的油/水、烃/水混合物或者乳化液</w:t>
                  </w:r>
                </w:p>
              </w:tc>
              <w:tc>
                <w:tcPr>
                  <w:tcW w:w="241" w:type="pct"/>
                  <w:shd w:val="clear" w:color="auto" w:fill="auto"/>
                  <w:vAlign w:val="center"/>
                </w:tcPr>
                <w:p w14:paraId="514020B3">
                  <w:pPr>
                    <w:pStyle w:val="65"/>
                    <w:rPr>
                      <w:rFonts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51561D34">
                  <w:pPr>
                    <w:pStyle w:val="65"/>
                    <w:rPr>
                      <w:rFonts w:ascii="Times New Roman" w:hAnsi="Times New Roman" w:eastAsia="宋体" w:cs="Times New Roman"/>
                      <w:bCs/>
                      <w:color w:val="auto"/>
                      <w:sz w:val="21"/>
                      <w:lang w:val="en-US" w:eastAsia="zh-CN" w:bidi="ar-SA"/>
                    </w:rPr>
                  </w:pPr>
                  <w:r>
                    <w:rPr>
                      <w:color w:val="auto"/>
                    </w:rPr>
                    <w:t>100</w:t>
                  </w:r>
                </w:p>
              </w:tc>
              <w:tc>
                <w:tcPr>
                  <w:tcW w:w="207" w:type="pct"/>
                  <w:vMerge w:val="continue"/>
                  <w:vAlign w:val="center"/>
                </w:tcPr>
                <w:p w14:paraId="03E66FA1">
                  <w:pPr>
                    <w:pStyle w:val="65"/>
                    <w:rPr>
                      <w:color w:val="auto"/>
                    </w:rPr>
                  </w:pPr>
                </w:p>
              </w:tc>
              <w:tc>
                <w:tcPr>
                  <w:tcW w:w="151" w:type="pct"/>
                  <w:vAlign w:val="center"/>
                </w:tcPr>
                <w:p w14:paraId="65F886BD">
                  <w:pPr>
                    <w:pStyle w:val="65"/>
                    <w:rPr>
                      <w:color w:val="auto"/>
                    </w:rPr>
                  </w:pPr>
                </w:p>
              </w:tc>
            </w:tr>
            <w:tr w14:paraId="5AFF016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7E313BE0">
                  <w:pPr>
                    <w:pStyle w:val="66"/>
                    <w:numPr>
                      <w:ilvl w:val="0"/>
                      <w:numId w:val="3"/>
                    </w:numPr>
                    <w:rPr>
                      <w:color w:val="auto"/>
                      <w:lang w:val="pt-BR"/>
                    </w:rPr>
                  </w:pPr>
                </w:p>
              </w:tc>
              <w:tc>
                <w:tcPr>
                  <w:tcW w:w="275" w:type="pct"/>
                  <w:vMerge w:val="restart"/>
                  <w:vAlign w:val="center"/>
                </w:tcPr>
                <w:p w14:paraId="0E8F45A3">
                  <w:pPr>
                    <w:pStyle w:val="65"/>
                    <w:rPr>
                      <w:color w:val="auto"/>
                    </w:rPr>
                  </w:pPr>
                  <w:r>
                    <w:rPr>
                      <w:rFonts w:hint="eastAsia"/>
                      <w:color w:val="auto"/>
                    </w:rPr>
                    <w:t>HW12染料、涂料废物</w:t>
                  </w:r>
                </w:p>
              </w:tc>
              <w:tc>
                <w:tcPr>
                  <w:tcW w:w="428" w:type="pct"/>
                  <w:vAlign w:val="center"/>
                </w:tcPr>
                <w:p w14:paraId="30F8511F">
                  <w:pPr>
                    <w:pStyle w:val="65"/>
                    <w:rPr>
                      <w:color w:val="auto"/>
                    </w:rPr>
                  </w:pPr>
                  <w:r>
                    <w:rPr>
                      <w:rFonts w:hint="eastAsia"/>
                      <w:color w:val="auto"/>
                    </w:rPr>
                    <w:t>264-011-12</w:t>
                  </w:r>
                </w:p>
              </w:tc>
              <w:tc>
                <w:tcPr>
                  <w:tcW w:w="964" w:type="pct"/>
                  <w:vAlign w:val="center"/>
                </w:tcPr>
                <w:p w14:paraId="4810173E">
                  <w:pPr>
                    <w:pStyle w:val="65"/>
                    <w:rPr>
                      <w:color w:val="auto"/>
                    </w:rPr>
                  </w:pPr>
                  <w:r>
                    <w:rPr>
                      <w:rFonts w:hint="eastAsia"/>
                      <w:color w:val="auto"/>
                    </w:rPr>
                    <w:t>染料、颜料及中间体生产过程中产生的废母液、残渣、废吸附剂和中间体</w:t>
                  </w:r>
                </w:p>
              </w:tc>
              <w:tc>
                <w:tcPr>
                  <w:tcW w:w="247" w:type="pct"/>
                  <w:vAlign w:val="center"/>
                </w:tcPr>
                <w:p w14:paraId="79D876A0">
                  <w:pPr>
                    <w:pStyle w:val="65"/>
                    <w:rPr>
                      <w:color w:val="auto"/>
                    </w:rPr>
                  </w:pPr>
                  <w:r>
                    <w:rPr>
                      <w:color w:val="auto"/>
                    </w:rPr>
                    <w:t>2</w:t>
                  </w:r>
                </w:p>
              </w:tc>
              <w:tc>
                <w:tcPr>
                  <w:tcW w:w="247" w:type="pct"/>
                  <w:vAlign w:val="center"/>
                </w:tcPr>
                <w:p w14:paraId="74B1AF9C">
                  <w:pPr>
                    <w:pStyle w:val="65"/>
                    <w:rPr>
                      <w:color w:val="auto"/>
                    </w:rPr>
                  </w:pPr>
                  <w:r>
                    <w:rPr>
                      <w:color w:val="auto"/>
                    </w:rPr>
                    <w:t>100</w:t>
                  </w:r>
                </w:p>
              </w:tc>
              <w:tc>
                <w:tcPr>
                  <w:tcW w:w="220" w:type="pct"/>
                  <w:vMerge w:val="restart"/>
                  <w:vAlign w:val="center"/>
                </w:tcPr>
                <w:p w14:paraId="07F27954">
                  <w:pPr>
                    <w:pStyle w:val="65"/>
                    <w:rPr>
                      <w:color w:val="auto"/>
                    </w:rPr>
                  </w:pPr>
                  <w:r>
                    <w:rPr>
                      <w:rFonts w:hint="eastAsia"/>
                      <w:color w:val="auto"/>
                    </w:rPr>
                    <w:t>960</w:t>
                  </w:r>
                </w:p>
              </w:tc>
              <w:tc>
                <w:tcPr>
                  <w:tcW w:w="408" w:type="pct"/>
                  <w:vMerge w:val="restart"/>
                  <w:shd w:val="clear" w:color="auto" w:fill="auto"/>
                  <w:vAlign w:val="center"/>
                </w:tcPr>
                <w:p w14:paraId="4556BAB4">
                  <w:pPr>
                    <w:pStyle w:val="65"/>
                    <w:rPr>
                      <w:rFonts w:hint="eastAsia" w:ascii="Times New Roman" w:hAnsi="Times New Roman" w:eastAsia="宋体" w:cs="Times New Roman"/>
                      <w:bCs/>
                      <w:color w:val="auto"/>
                      <w:sz w:val="21"/>
                      <w:lang w:val="en-US" w:eastAsia="zh-CN" w:bidi="ar-SA"/>
                    </w:rPr>
                  </w:pPr>
                  <w:r>
                    <w:rPr>
                      <w:rFonts w:hint="eastAsia"/>
                      <w:color w:val="auto"/>
                    </w:rPr>
                    <w:t>HW12染料、涂料废物</w:t>
                  </w:r>
                </w:p>
              </w:tc>
              <w:tc>
                <w:tcPr>
                  <w:tcW w:w="328" w:type="pct"/>
                  <w:shd w:val="clear" w:color="auto" w:fill="auto"/>
                  <w:vAlign w:val="center"/>
                </w:tcPr>
                <w:p w14:paraId="4FAEB542">
                  <w:pPr>
                    <w:pStyle w:val="65"/>
                    <w:rPr>
                      <w:rFonts w:hint="eastAsia" w:ascii="Times New Roman" w:hAnsi="Times New Roman" w:eastAsia="宋体" w:cs="Times New Roman"/>
                      <w:bCs/>
                      <w:color w:val="auto"/>
                      <w:sz w:val="21"/>
                      <w:lang w:val="en-US" w:eastAsia="zh-CN" w:bidi="ar-SA"/>
                    </w:rPr>
                  </w:pPr>
                  <w:r>
                    <w:rPr>
                      <w:rFonts w:hint="eastAsia"/>
                      <w:color w:val="auto"/>
                    </w:rPr>
                    <w:t>264-011-12</w:t>
                  </w:r>
                </w:p>
              </w:tc>
              <w:tc>
                <w:tcPr>
                  <w:tcW w:w="917" w:type="pct"/>
                  <w:shd w:val="clear" w:color="auto" w:fill="auto"/>
                  <w:vAlign w:val="center"/>
                </w:tcPr>
                <w:p w14:paraId="7B895572">
                  <w:pPr>
                    <w:pStyle w:val="65"/>
                    <w:rPr>
                      <w:rFonts w:hint="eastAsia" w:ascii="Times New Roman" w:hAnsi="Times New Roman" w:eastAsia="宋体" w:cs="Times New Roman"/>
                      <w:bCs/>
                      <w:color w:val="auto"/>
                      <w:sz w:val="21"/>
                      <w:lang w:val="en-US" w:eastAsia="zh-CN" w:bidi="ar-SA"/>
                    </w:rPr>
                  </w:pPr>
                  <w:r>
                    <w:rPr>
                      <w:rFonts w:hint="eastAsia"/>
                      <w:color w:val="auto"/>
                    </w:rPr>
                    <w:t>染料、颜料及中间体生产过程中产生的废母液、残渣、废吸附剂和中间体</w:t>
                  </w:r>
                </w:p>
              </w:tc>
              <w:tc>
                <w:tcPr>
                  <w:tcW w:w="241" w:type="pct"/>
                  <w:shd w:val="clear" w:color="auto" w:fill="auto"/>
                  <w:vAlign w:val="center"/>
                </w:tcPr>
                <w:p w14:paraId="3B4CD182">
                  <w:pPr>
                    <w:pStyle w:val="65"/>
                    <w:rPr>
                      <w:rFonts w:hint="eastAsia"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4BEBD207">
                  <w:pPr>
                    <w:pStyle w:val="65"/>
                    <w:rPr>
                      <w:rFonts w:hint="eastAsia" w:ascii="Times New Roman" w:hAnsi="Times New Roman" w:eastAsia="宋体" w:cs="Times New Roman"/>
                      <w:bCs/>
                      <w:color w:val="auto"/>
                      <w:sz w:val="21"/>
                      <w:lang w:val="en-US" w:eastAsia="zh-CN" w:bidi="ar-SA"/>
                    </w:rPr>
                  </w:pPr>
                  <w:r>
                    <w:rPr>
                      <w:color w:val="auto"/>
                    </w:rPr>
                    <w:t>100</w:t>
                  </w:r>
                </w:p>
              </w:tc>
              <w:tc>
                <w:tcPr>
                  <w:tcW w:w="207" w:type="pct"/>
                  <w:vMerge w:val="restart"/>
                  <w:vAlign w:val="center"/>
                </w:tcPr>
                <w:p w14:paraId="0DB3B1B8">
                  <w:pPr>
                    <w:pStyle w:val="65"/>
                    <w:rPr>
                      <w:rFonts w:hint="eastAsia"/>
                      <w:color w:val="auto"/>
                    </w:rPr>
                  </w:pPr>
                  <w:r>
                    <w:rPr>
                      <w:rFonts w:hint="eastAsia"/>
                      <w:color w:val="auto"/>
                    </w:rPr>
                    <w:t>960</w:t>
                  </w:r>
                </w:p>
              </w:tc>
              <w:tc>
                <w:tcPr>
                  <w:tcW w:w="151" w:type="pct"/>
                  <w:shd w:val="clear" w:color="auto" w:fill="auto"/>
                  <w:vAlign w:val="center"/>
                </w:tcPr>
                <w:p w14:paraId="2032682C">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73A22F07">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34683ABC">
                  <w:pPr>
                    <w:pStyle w:val="66"/>
                    <w:rPr>
                      <w:color w:val="auto"/>
                      <w:lang w:val="pt-BR"/>
                    </w:rPr>
                  </w:pPr>
                </w:p>
              </w:tc>
              <w:tc>
                <w:tcPr>
                  <w:tcW w:w="275" w:type="pct"/>
                  <w:vMerge w:val="continue"/>
                  <w:vAlign w:val="center"/>
                </w:tcPr>
                <w:p w14:paraId="5EA76A0E">
                  <w:pPr>
                    <w:pStyle w:val="65"/>
                    <w:rPr>
                      <w:color w:val="auto"/>
                    </w:rPr>
                  </w:pPr>
                </w:p>
              </w:tc>
              <w:tc>
                <w:tcPr>
                  <w:tcW w:w="428" w:type="pct"/>
                  <w:vAlign w:val="center"/>
                </w:tcPr>
                <w:p w14:paraId="49620EA9">
                  <w:pPr>
                    <w:pStyle w:val="65"/>
                    <w:rPr>
                      <w:color w:val="auto"/>
                    </w:rPr>
                  </w:pPr>
                  <w:r>
                    <w:rPr>
                      <w:rFonts w:hint="eastAsia"/>
                      <w:color w:val="auto"/>
                    </w:rPr>
                    <w:t>900-250-12</w:t>
                  </w:r>
                </w:p>
              </w:tc>
              <w:tc>
                <w:tcPr>
                  <w:tcW w:w="964" w:type="pct"/>
                  <w:vAlign w:val="center"/>
                </w:tcPr>
                <w:p w14:paraId="201C0F67">
                  <w:pPr>
                    <w:pStyle w:val="65"/>
                    <w:rPr>
                      <w:color w:val="auto"/>
                    </w:rPr>
                  </w:pPr>
                  <w:r>
                    <w:rPr>
                      <w:rFonts w:hint="eastAsia"/>
                      <w:color w:val="auto"/>
                    </w:rPr>
                    <w:t>使用有机溶剂、光漆进行光漆涂布、喷漆工艺过程中产生的废物</w:t>
                  </w:r>
                </w:p>
              </w:tc>
              <w:tc>
                <w:tcPr>
                  <w:tcW w:w="247" w:type="pct"/>
                  <w:vAlign w:val="center"/>
                </w:tcPr>
                <w:p w14:paraId="2F902E36">
                  <w:pPr>
                    <w:pStyle w:val="65"/>
                    <w:rPr>
                      <w:color w:val="auto"/>
                    </w:rPr>
                  </w:pPr>
                  <w:r>
                    <w:rPr>
                      <w:color w:val="auto"/>
                    </w:rPr>
                    <w:t>2</w:t>
                  </w:r>
                </w:p>
              </w:tc>
              <w:tc>
                <w:tcPr>
                  <w:tcW w:w="247" w:type="pct"/>
                  <w:vAlign w:val="center"/>
                </w:tcPr>
                <w:p w14:paraId="7C926BC3">
                  <w:pPr>
                    <w:pStyle w:val="65"/>
                    <w:rPr>
                      <w:color w:val="auto"/>
                    </w:rPr>
                  </w:pPr>
                  <w:r>
                    <w:rPr>
                      <w:color w:val="auto"/>
                    </w:rPr>
                    <w:t>100</w:t>
                  </w:r>
                </w:p>
              </w:tc>
              <w:tc>
                <w:tcPr>
                  <w:tcW w:w="220" w:type="pct"/>
                  <w:vMerge w:val="continue"/>
                  <w:vAlign w:val="center"/>
                </w:tcPr>
                <w:p w14:paraId="45CD4A5F">
                  <w:pPr>
                    <w:pStyle w:val="65"/>
                    <w:rPr>
                      <w:color w:val="auto"/>
                    </w:rPr>
                  </w:pPr>
                </w:p>
              </w:tc>
              <w:tc>
                <w:tcPr>
                  <w:tcW w:w="408" w:type="pct"/>
                  <w:vMerge w:val="continue"/>
                  <w:vAlign w:val="center"/>
                </w:tcPr>
                <w:p w14:paraId="0C01C484">
                  <w:pPr>
                    <w:pStyle w:val="65"/>
                    <w:rPr>
                      <w:color w:val="auto"/>
                    </w:rPr>
                  </w:pPr>
                </w:p>
              </w:tc>
              <w:tc>
                <w:tcPr>
                  <w:tcW w:w="328" w:type="pct"/>
                  <w:shd w:val="clear" w:color="auto" w:fill="auto"/>
                  <w:vAlign w:val="center"/>
                </w:tcPr>
                <w:p w14:paraId="775887EB">
                  <w:pPr>
                    <w:pStyle w:val="65"/>
                    <w:rPr>
                      <w:rFonts w:ascii="Times New Roman" w:hAnsi="Times New Roman" w:eastAsia="宋体" w:cs="Times New Roman"/>
                      <w:bCs/>
                      <w:color w:val="auto"/>
                      <w:sz w:val="21"/>
                      <w:lang w:val="en-US" w:eastAsia="zh-CN" w:bidi="ar-SA"/>
                    </w:rPr>
                  </w:pPr>
                  <w:r>
                    <w:rPr>
                      <w:rFonts w:hint="eastAsia"/>
                      <w:color w:val="auto"/>
                    </w:rPr>
                    <w:t>900-250-12</w:t>
                  </w:r>
                </w:p>
              </w:tc>
              <w:tc>
                <w:tcPr>
                  <w:tcW w:w="917" w:type="pct"/>
                  <w:shd w:val="clear" w:color="auto" w:fill="auto"/>
                  <w:vAlign w:val="center"/>
                </w:tcPr>
                <w:p w14:paraId="2D75C268">
                  <w:pPr>
                    <w:pStyle w:val="65"/>
                    <w:rPr>
                      <w:rFonts w:ascii="Times New Roman" w:hAnsi="Times New Roman" w:eastAsia="宋体" w:cs="Times New Roman"/>
                      <w:bCs/>
                      <w:color w:val="auto"/>
                      <w:sz w:val="21"/>
                      <w:lang w:val="en-US" w:eastAsia="zh-CN" w:bidi="ar-SA"/>
                    </w:rPr>
                  </w:pPr>
                  <w:r>
                    <w:rPr>
                      <w:rFonts w:hint="eastAsia"/>
                      <w:color w:val="auto"/>
                    </w:rPr>
                    <w:t>使用有机溶剂、光漆进行光漆涂布、喷漆工艺过程中产生的废物</w:t>
                  </w:r>
                </w:p>
              </w:tc>
              <w:tc>
                <w:tcPr>
                  <w:tcW w:w="241" w:type="pct"/>
                  <w:shd w:val="clear" w:color="auto" w:fill="auto"/>
                  <w:vAlign w:val="center"/>
                </w:tcPr>
                <w:p w14:paraId="400E8AB6">
                  <w:pPr>
                    <w:pStyle w:val="65"/>
                    <w:rPr>
                      <w:rFonts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03CA4814">
                  <w:pPr>
                    <w:pStyle w:val="65"/>
                    <w:rPr>
                      <w:rFonts w:ascii="Times New Roman" w:hAnsi="Times New Roman" w:eastAsia="宋体" w:cs="Times New Roman"/>
                      <w:bCs/>
                      <w:color w:val="auto"/>
                      <w:sz w:val="21"/>
                      <w:lang w:val="en-US" w:eastAsia="zh-CN" w:bidi="ar-SA"/>
                    </w:rPr>
                  </w:pPr>
                  <w:r>
                    <w:rPr>
                      <w:color w:val="auto"/>
                    </w:rPr>
                    <w:t>100</w:t>
                  </w:r>
                </w:p>
              </w:tc>
              <w:tc>
                <w:tcPr>
                  <w:tcW w:w="207" w:type="pct"/>
                  <w:vMerge w:val="continue"/>
                  <w:vAlign w:val="center"/>
                </w:tcPr>
                <w:p w14:paraId="20D06B5B">
                  <w:pPr>
                    <w:pStyle w:val="65"/>
                    <w:rPr>
                      <w:color w:val="auto"/>
                    </w:rPr>
                  </w:pPr>
                </w:p>
              </w:tc>
              <w:tc>
                <w:tcPr>
                  <w:tcW w:w="151" w:type="pct"/>
                  <w:shd w:val="clear" w:color="auto" w:fill="auto"/>
                  <w:vAlign w:val="center"/>
                </w:tcPr>
                <w:p w14:paraId="2D5F7487">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1505988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52D7DBE0">
                  <w:pPr>
                    <w:pStyle w:val="66"/>
                    <w:rPr>
                      <w:color w:val="auto"/>
                      <w:lang w:val="pt-BR"/>
                    </w:rPr>
                  </w:pPr>
                </w:p>
              </w:tc>
              <w:tc>
                <w:tcPr>
                  <w:tcW w:w="275" w:type="pct"/>
                  <w:vMerge w:val="continue"/>
                  <w:vAlign w:val="center"/>
                </w:tcPr>
                <w:p w14:paraId="70817D93">
                  <w:pPr>
                    <w:pStyle w:val="65"/>
                    <w:rPr>
                      <w:color w:val="auto"/>
                    </w:rPr>
                  </w:pPr>
                </w:p>
              </w:tc>
              <w:tc>
                <w:tcPr>
                  <w:tcW w:w="428" w:type="pct"/>
                  <w:vAlign w:val="center"/>
                </w:tcPr>
                <w:p w14:paraId="70E2C17F">
                  <w:pPr>
                    <w:pStyle w:val="65"/>
                    <w:rPr>
                      <w:color w:val="auto"/>
                    </w:rPr>
                  </w:pPr>
                  <w:r>
                    <w:rPr>
                      <w:rFonts w:hint="eastAsia"/>
                      <w:color w:val="auto"/>
                    </w:rPr>
                    <w:t>900-251-12</w:t>
                  </w:r>
                </w:p>
              </w:tc>
              <w:tc>
                <w:tcPr>
                  <w:tcW w:w="964" w:type="pct"/>
                  <w:vAlign w:val="center"/>
                </w:tcPr>
                <w:p w14:paraId="6CAD90D3">
                  <w:pPr>
                    <w:pStyle w:val="65"/>
                    <w:rPr>
                      <w:color w:val="auto"/>
                    </w:rPr>
                  </w:pPr>
                  <w:r>
                    <w:rPr>
                      <w:rFonts w:hint="eastAsia"/>
                      <w:color w:val="auto"/>
                    </w:rPr>
                    <w:t>使用油漆（不包括水性漆）、有机溶剂进行阻挡层涂敷过程中产生的废物</w:t>
                  </w:r>
                </w:p>
              </w:tc>
              <w:tc>
                <w:tcPr>
                  <w:tcW w:w="247" w:type="pct"/>
                  <w:vAlign w:val="center"/>
                </w:tcPr>
                <w:p w14:paraId="6B967843">
                  <w:pPr>
                    <w:pStyle w:val="65"/>
                    <w:rPr>
                      <w:color w:val="auto"/>
                    </w:rPr>
                  </w:pPr>
                  <w:r>
                    <w:rPr>
                      <w:color w:val="auto"/>
                    </w:rPr>
                    <w:t>2</w:t>
                  </w:r>
                </w:p>
              </w:tc>
              <w:tc>
                <w:tcPr>
                  <w:tcW w:w="247" w:type="pct"/>
                  <w:vAlign w:val="center"/>
                </w:tcPr>
                <w:p w14:paraId="24AD12CB">
                  <w:pPr>
                    <w:pStyle w:val="65"/>
                    <w:rPr>
                      <w:color w:val="auto"/>
                    </w:rPr>
                  </w:pPr>
                  <w:r>
                    <w:rPr>
                      <w:color w:val="auto"/>
                    </w:rPr>
                    <w:t>80</w:t>
                  </w:r>
                </w:p>
              </w:tc>
              <w:tc>
                <w:tcPr>
                  <w:tcW w:w="220" w:type="pct"/>
                  <w:vMerge w:val="continue"/>
                  <w:vAlign w:val="center"/>
                </w:tcPr>
                <w:p w14:paraId="0B87CF7B">
                  <w:pPr>
                    <w:pStyle w:val="65"/>
                    <w:rPr>
                      <w:color w:val="auto"/>
                    </w:rPr>
                  </w:pPr>
                </w:p>
              </w:tc>
              <w:tc>
                <w:tcPr>
                  <w:tcW w:w="408" w:type="pct"/>
                  <w:vMerge w:val="continue"/>
                  <w:vAlign w:val="center"/>
                </w:tcPr>
                <w:p w14:paraId="229DA685">
                  <w:pPr>
                    <w:pStyle w:val="65"/>
                    <w:rPr>
                      <w:color w:val="auto"/>
                    </w:rPr>
                  </w:pPr>
                </w:p>
              </w:tc>
              <w:tc>
                <w:tcPr>
                  <w:tcW w:w="328" w:type="pct"/>
                  <w:shd w:val="clear" w:color="auto" w:fill="auto"/>
                  <w:vAlign w:val="center"/>
                </w:tcPr>
                <w:p w14:paraId="411102D5">
                  <w:pPr>
                    <w:pStyle w:val="65"/>
                    <w:rPr>
                      <w:rFonts w:ascii="Times New Roman" w:hAnsi="Times New Roman" w:eastAsia="宋体" w:cs="Times New Roman"/>
                      <w:bCs/>
                      <w:color w:val="auto"/>
                      <w:sz w:val="21"/>
                      <w:lang w:val="en-US" w:eastAsia="zh-CN" w:bidi="ar-SA"/>
                    </w:rPr>
                  </w:pPr>
                  <w:r>
                    <w:rPr>
                      <w:rFonts w:hint="eastAsia"/>
                      <w:color w:val="auto"/>
                    </w:rPr>
                    <w:t>900-251-12</w:t>
                  </w:r>
                </w:p>
              </w:tc>
              <w:tc>
                <w:tcPr>
                  <w:tcW w:w="917" w:type="pct"/>
                  <w:shd w:val="clear" w:color="auto" w:fill="auto"/>
                  <w:vAlign w:val="center"/>
                </w:tcPr>
                <w:p w14:paraId="39BCC1B2">
                  <w:pPr>
                    <w:pStyle w:val="65"/>
                    <w:rPr>
                      <w:rFonts w:ascii="Times New Roman" w:hAnsi="Times New Roman" w:eastAsia="宋体" w:cs="Times New Roman"/>
                      <w:bCs/>
                      <w:color w:val="auto"/>
                      <w:sz w:val="21"/>
                      <w:lang w:val="en-US" w:eastAsia="zh-CN" w:bidi="ar-SA"/>
                    </w:rPr>
                  </w:pPr>
                  <w:r>
                    <w:rPr>
                      <w:rFonts w:hint="eastAsia"/>
                      <w:color w:val="auto"/>
                    </w:rPr>
                    <w:t>使用油漆（不包括水性漆）、有机溶剂进行阻挡层涂敷过程中产生的废物</w:t>
                  </w:r>
                </w:p>
              </w:tc>
              <w:tc>
                <w:tcPr>
                  <w:tcW w:w="241" w:type="pct"/>
                  <w:shd w:val="clear" w:color="auto" w:fill="auto"/>
                  <w:vAlign w:val="center"/>
                </w:tcPr>
                <w:p w14:paraId="3873E6B1">
                  <w:pPr>
                    <w:pStyle w:val="65"/>
                    <w:rPr>
                      <w:rFonts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0EAB7884">
                  <w:pPr>
                    <w:pStyle w:val="65"/>
                    <w:rPr>
                      <w:rFonts w:ascii="Times New Roman" w:hAnsi="Times New Roman" w:eastAsia="宋体" w:cs="Times New Roman"/>
                      <w:bCs/>
                      <w:color w:val="auto"/>
                      <w:sz w:val="21"/>
                      <w:lang w:val="en-US" w:eastAsia="zh-CN" w:bidi="ar-SA"/>
                    </w:rPr>
                  </w:pPr>
                  <w:r>
                    <w:rPr>
                      <w:color w:val="auto"/>
                    </w:rPr>
                    <w:t>80</w:t>
                  </w:r>
                </w:p>
              </w:tc>
              <w:tc>
                <w:tcPr>
                  <w:tcW w:w="207" w:type="pct"/>
                  <w:vMerge w:val="continue"/>
                  <w:vAlign w:val="center"/>
                </w:tcPr>
                <w:p w14:paraId="6C1C4978">
                  <w:pPr>
                    <w:pStyle w:val="65"/>
                    <w:rPr>
                      <w:color w:val="auto"/>
                    </w:rPr>
                  </w:pPr>
                </w:p>
              </w:tc>
              <w:tc>
                <w:tcPr>
                  <w:tcW w:w="151" w:type="pct"/>
                  <w:shd w:val="clear" w:color="auto" w:fill="auto"/>
                  <w:vAlign w:val="center"/>
                </w:tcPr>
                <w:p w14:paraId="78BBB032">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7D40CF74">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57C8B132">
                  <w:pPr>
                    <w:pStyle w:val="66"/>
                    <w:rPr>
                      <w:color w:val="auto"/>
                      <w:lang w:val="pt-BR"/>
                    </w:rPr>
                  </w:pPr>
                </w:p>
              </w:tc>
              <w:tc>
                <w:tcPr>
                  <w:tcW w:w="275" w:type="pct"/>
                  <w:vMerge w:val="continue"/>
                  <w:vAlign w:val="center"/>
                </w:tcPr>
                <w:p w14:paraId="3B7A2187">
                  <w:pPr>
                    <w:pStyle w:val="65"/>
                    <w:rPr>
                      <w:color w:val="auto"/>
                    </w:rPr>
                  </w:pPr>
                </w:p>
              </w:tc>
              <w:tc>
                <w:tcPr>
                  <w:tcW w:w="428" w:type="pct"/>
                  <w:vAlign w:val="center"/>
                </w:tcPr>
                <w:p w14:paraId="72A758A9">
                  <w:pPr>
                    <w:pStyle w:val="65"/>
                    <w:rPr>
                      <w:color w:val="auto"/>
                    </w:rPr>
                  </w:pPr>
                  <w:r>
                    <w:rPr>
                      <w:rFonts w:hint="eastAsia"/>
                      <w:color w:val="auto"/>
                    </w:rPr>
                    <w:t>900-252-12</w:t>
                  </w:r>
                </w:p>
              </w:tc>
              <w:tc>
                <w:tcPr>
                  <w:tcW w:w="964" w:type="pct"/>
                  <w:vAlign w:val="center"/>
                </w:tcPr>
                <w:p w14:paraId="00A30034">
                  <w:pPr>
                    <w:pStyle w:val="65"/>
                    <w:rPr>
                      <w:color w:val="auto"/>
                    </w:rPr>
                  </w:pPr>
                  <w:r>
                    <w:rPr>
                      <w:rFonts w:hint="eastAsia"/>
                      <w:color w:val="auto"/>
                    </w:rPr>
                    <w:t>使用油漆（不包括水性漆）、有机溶剂进行喷漆、上漆过程中过喷漆雾湿法捕集产生的漆渣、以及喷涂工位和管道清理过程产生的落地漆渣</w:t>
                  </w:r>
                </w:p>
              </w:tc>
              <w:tc>
                <w:tcPr>
                  <w:tcW w:w="247" w:type="pct"/>
                  <w:vAlign w:val="center"/>
                </w:tcPr>
                <w:p w14:paraId="11B8E2BA">
                  <w:pPr>
                    <w:pStyle w:val="65"/>
                    <w:rPr>
                      <w:color w:val="auto"/>
                    </w:rPr>
                  </w:pPr>
                  <w:r>
                    <w:rPr>
                      <w:color w:val="auto"/>
                    </w:rPr>
                    <w:t>10</w:t>
                  </w:r>
                </w:p>
              </w:tc>
              <w:tc>
                <w:tcPr>
                  <w:tcW w:w="247" w:type="pct"/>
                  <w:vAlign w:val="center"/>
                </w:tcPr>
                <w:p w14:paraId="6427D33C">
                  <w:pPr>
                    <w:pStyle w:val="65"/>
                    <w:rPr>
                      <w:color w:val="auto"/>
                    </w:rPr>
                  </w:pPr>
                  <w:r>
                    <w:rPr>
                      <w:color w:val="auto"/>
                    </w:rPr>
                    <w:t>500</w:t>
                  </w:r>
                </w:p>
              </w:tc>
              <w:tc>
                <w:tcPr>
                  <w:tcW w:w="220" w:type="pct"/>
                  <w:vMerge w:val="continue"/>
                  <w:vAlign w:val="center"/>
                </w:tcPr>
                <w:p w14:paraId="3431D974">
                  <w:pPr>
                    <w:pStyle w:val="65"/>
                    <w:rPr>
                      <w:color w:val="auto"/>
                    </w:rPr>
                  </w:pPr>
                </w:p>
              </w:tc>
              <w:tc>
                <w:tcPr>
                  <w:tcW w:w="408" w:type="pct"/>
                  <w:vMerge w:val="continue"/>
                  <w:vAlign w:val="center"/>
                </w:tcPr>
                <w:p w14:paraId="28EAC6C7">
                  <w:pPr>
                    <w:pStyle w:val="65"/>
                    <w:rPr>
                      <w:color w:val="auto"/>
                    </w:rPr>
                  </w:pPr>
                </w:p>
              </w:tc>
              <w:tc>
                <w:tcPr>
                  <w:tcW w:w="328" w:type="pct"/>
                  <w:shd w:val="clear" w:color="auto" w:fill="auto"/>
                  <w:vAlign w:val="center"/>
                </w:tcPr>
                <w:p w14:paraId="45C5A3B6">
                  <w:pPr>
                    <w:pStyle w:val="65"/>
                    <w:rPr>
                      <w:rFonts w:ascii="Times New Roman" w:hAnsi="Times New Roman" w:eastAsia="宋体" w:cs="Times New Roman"/>
                      <w:bCs/>
                      <w:color w:val="auto"/>
                      <w:sz w:val="21"/>
                      <w:lang w:val="en-US" w:eastAsia="zh-CN" w:bidi="ar-SA"/>
                    </w:rPr>
                  </w:pPr>
                  <w:r>
                    <w:rPr>
                      <w:rFonts w:hint="eastAsia"/>
                      <w:color w:val="auto"/>
                    </w:rPr>
                    <w:t>900-252-12</w:t>
                  </w:r>
                </w:p>
              </w:tc>
              <w:tc>
                <w:tcPr>
                  <w:tcW w:w="917" w:type="pct"/>
                  <w:shd w:val="clear" w:color="auto" w:fill="auto"/>
                  <w:vAlign w:val="center"/>
                </w:tcPr>
                <w:p w14:paraId="40041391">
                  <w:pPr>
                    <w:pStyle w:val="65"/>
                    <w:rPr>
                      <w:rFonts w:ascii="Times New Roman" w:hAnsi="Times New Roman" w:eastAsia="宋体" w:cs="Times New Roman"/>
                      <w:bCs/>
                      <w:color w:val="auto"/>
                      <w:sz w:val="21"/>
                      <w:lang w:val="en-US" w:eastAsia="zh-CN" w:bidi="ar-SA"/>
                    </w:rPr>
                  </w:pPr>
                  <w:r>
                    <w:rPr>
                      <w:rFonts w:hint="eastAsia"/>
                      <w:color w:val="auto"/>
                    </w:rPr>
                    <w:t>使用油漆（不包括水性漆）、有机溶剂进行喷漆、上漆过程中过喷漆雾湿法捕集产生的漆渣、以及喷涂工位和管道清理过程产生的落地漆渣</w:t>
                  </w:r>
                </w:p>
              </w:tc>
              <w:tc>
                <w:tcPr>
                  <w:tcW w:w="241" w:type="pct"/>
                  <w:shd w:val="clear" w:color="auto" w:fill="auto"/>
                  <w:vAlign w:val="center"/>
                </w:tcPr>
                <w:p w14:paraId="6522F43E">
                  <w:pPr>
                    <w:pStyle w:val="65"/>
                    <w:rPr>
                      <w:rFonts w:ascii="Times New Roman" w:hAnsi="Times New Roman" w:eastAsia="宋体" w:cs="Times New Roman"/>
                      <w:bCs/>
                      <w:color w:val="auto"/>
                      <w:sz w:val="21"/>
                      <w:lang w:val="en-US" w:eastAsia="zh-CN" w:bidi="ar-SA"/>
                    </w:rPr>
                  </w:pPr>
                  <w:r>
                    <w:rPr>
                      <w:color w:val="auto"/>
                    </w:rPr>
                    <w:t>10</w:t>
                  </w:r>
                </w:p>
              </w:tc>
              <w:tc>
                <w:tcPr>
                  <w:tcW w:w="207" w:type="pct"/>
                  <w:shd w:val="clear" w:color="auto" w:fill="auto"/>
                  <w:vAlign w:val="center"/>
                </w:tcPr>
                <w:p w14:paraId="1454F228">
                  <w:pPr>
                    <w:pStyle w:val="65"/>
                    <w:rPr>
                      <w:rFonts w:ascii="Times New Roman" w:hAnsi="Times New Roman" w:eastAsia="宋体" w:cs="Times New Roman"/>
                      <w:bCs/>
                      <w:color w:val="auto"/>
                      <w:sz w:val="21"/>
                      <w:lang w:val="en-US" w:eastAsia="zh-CN" w:bidi="ar-SA"/>
                    </w:rPr>
                  </w:pPr>
                  <w:r>
                    <w:rPr>
                      <w:color w:val="auto"/>
                    </w:rPr>
                    <w:t>500</w:t>
                  </w:r>
                </w:p>
              </w:tc>
              <w:tc>
                <w:tcPr>
                  <w:tcW w:w="207" w:type="pct"/>
                  <w:vMerge w:val="continue"/>
                  <w:vAlign w:val="center"/>
                </w:tcPr>
                <w:p w14:paraId="31DA1A84">
                  <w:pPr>
                    <w:pStyle w:val="65"/>
                    <w:rPr>
                      <w:color w:val="auto"/>
                    </w:rPr>
                  </w:pPr>
                </w:p>
              </w:tc>
              <w:tc>
                <w:tcPr>
                  <w:tcW w:w="151" w:type="pct"/>
                  <w:shd w:val="clear" w:color="auto" w:fill="auto"/>
                  <w:vAlign w:val="center"/>
                </w:tcPr>
                <w:p w14:paraId="107203F6">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2D6A6C8F">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71D621D8">
                  <w:pPr>
                    <w:pStyle w:val="66"/>
                    <w:rPr>
                      <w:color w:val="auto"/>
                      <w:lang w:val="pt-BR"/>
                    </w:rPr>
                  </w:pPr>
                </w:p>
              </w:tc>
              <w:tc>
                <w:tcPr>
                  <w:tcW w:w="275" w:type="pct"/>
                  <w:vMerge w:val="continue"/>
                  <w:vAlign w:val="center"/>
                </w:tcPr>
                <w:p w14:paraId="2DB329E0">
                  <w:pPr>
                    <w:pStyle w:val="65"/>
                    <w:rPr>
                      <w:color w:val="auto"/>
                    </w:rPr>
                  </w:pPr>
                </w:p>
              </w:tc>
              <w:tc>
                <w:tcPr>
                  <w:tcW w:w="428" w:type="pct"/>
                  <w:vAlign w:val="center"/>
                </w:tcPr>
                <w:p w14:paraId="5E7B0EE1">
                  <w:pPr>
                    <w:pStyle w:val="65"/>
                    <w:rPr>
                      <w:color w:val="auto"/>
                    </w:rPr>
                  </w:pPr>
                  <w:r>
                    <w:rPr>
                      <w:rFonts w:hint="eastAsia"/>
                      <w:color w:val="auto"/>
                    </w:rPr>
                    <w:t>900-255-12</w:t>
                  </w:r>
                </w:p>
              </w:tc>
              <w:tc>
                <w:tcPr>
                  <w:tcW w:w="964" w:type="pct"/>
                  <w:vAlign w:val="center"/>
                </w:tcPr>
                <w:p w14:paraId="5630D7C3">
                  <w:pPr>
                    <w:pStyle w:val="65"/>
                    <w:rPr>
                      <w:color w:val="auto"/>
                    </w:rPr>
                  </w:pPr>
                  <w:r>
                    <w:rPr>
                      <w:rFonts w:hint="eastAsia"/>
                      <w:color w:val="auto"/>
                    </w:rPr>
                    <w:t>使用各种颜料进行着色过程中产生的废颜料</w:t>
                  </w:r>
                </w:p>
              </w:tc>
              <w:tc>
                <w:tcPr>
                  <w:tcW w:w="247" w:type="pct"/>
                  <w:vAlign w:val="center"/>
                </w:tcPr>
                <w:p w14:paraId="1071DB9B">
                  <w:pPr>
                    <w:pStyle w:val="65"/>
                    <w:rPr>
                      <w:color w:val="auto"/>
                    </w:rPr>
                  </w:pPr>
                  <w:r>
                    <w:rPr>
                      <w:color w:val="auto"/>
                    </w:rPr>
                    <w:t>2</w:t>
                  </w:r>
                </w:p>
              </w:tc>
              <w:tc>
                <w:tcPr>
                  <w:tcW w:w="247" w:type="pct"/>
                  <w:vAlign w:val="center"/>
                </w:tcPr>
                <w:p w14:paraId="40248780">
                  <w:pPr>
                    <w:pStyle w:val="65"/>
                    <w:rPr>
                      <w:color w:val="auto"/>
                    </w:rPr>
                  </w:pPr>
                  <w:r>
                    <w:rPr>
                      <w:color w:val="auto"/>
                    </w:rPr>
                    <w:t>80</w:t>
                  </w:r>
                </w:p>
              </w:tc>
              <w:tc>
                <w:tcPr>
                  <w:tcW w:w="220" w:type="pct"/>
                  <w:vMerge w:val="continue"/>
                  <w:vAlign w:val="center"/>
                </w:tcPr>
                <w:p w14:paraId="63ACF462">
                  <w:pPr>
                    <w:pStyle w:val="65"/>
                    <w:rPr>
                      <w:color w:val="auto"/>
                    </w:rPr>
                  </w:pPr>
                </w:p>
              </w:tc>
              <w:tc>
                <w:tcPr>
                  <w:tcW w:w="408" w:type="pct"/>
                  <w:vMerge w:val="continue"/>
                  <w:vAlign w:val="center"/>
                </w:tcPr>
                <w:p w14:paraId="62C9B7AC">
                  <w:pPr>
                    <w:pStyle w:val="65"/>
                    <w:rPr>
                      <w:color w:val="auto"/>
                    </w:rPr>
                  </w:pPr>
                </w:p>
              </w:tc>
              <w:tc>
                <w:tcPr>
                  <w:tcW w:w="328" w:type="pct"/>
                  <w:shd w:val="clear" w:color="auto" w:fill="auto"/>
                  <w:vAlign w:val="center"/>
                </w:tcPr>
                <w:p w14:paraId="1024B751">
                  <w:pPr>
                    <w:pStyle w:val="65"/>
                    <w:rPr>
                      <w:rFonts w:ascii="Times New Roman" w:hAnsi="Times New Roman" w:eastAsia="宋体" w:cs="Times New Roman"/>
                      <w:bCs/>
                      <w:color w:val="auto"/>
                      <w:sz w:val="21"/>
                      <w:lang w:val="en-US" w:eastAsia="zh-CN" w:bidi="ar-SA"/>
                    </w:rPr>
                  </w:pPr>
                  <w:r>
                    <w:rPr>
                      <w:rFonts w:hint="eastAsia"/>
                      <w:color w:val="auto"/>
                    </w:rPr>
                    <w:t>900-255-12</w:t>
                  </w:r>
                </w:p>
              </w:tc>
              <w:tc>
                <w:tcPr>
                  <w:tcW w:w="917" w:type="pct"/>
                  <w:shd w:val="clear" w:color="auto" w:fill="auto"/>
                  <w:vAlign w:val="center"/>
                </w:tcPr>
                <w:p w14:paraId="7D784F09">
                  <w:pPr>
                    <w:pStyle w:val="65"/>
                    <w:rPr>
                      <w:rFonts w:ascii="Times New Roman" w:hAnsi="Times New Roman" w:eastAsia="宋体" w:cs="Times New Roman"/>
                      <w:bCs/>
                      <w:color w:val="auto"/>
                      <w:sz w:val="21"/>
                      <w:lang w:val="en-US" w:eastAsia="zh-CN" w:bidi="ar-SA"/>
                    </w:rPr>
                  </w:pPr>
                  <w:r>
                    <w:rPr>
                      <w:rFonts w:hint="eastAsia"/>
                      <w:color w:val="auto"/>
                    </w:rPr>
                    <w:t>使用各种颜料进行着色过程中产生的废颜料</w:t>
                  </w:r>
                </w:p>
              </w:tc>
              <w:tc>
                <w:tcPr>
                  <w:tcW w:w="241" w:type="pct"/>
                  <w:shd w:val="clear" w:color="auto" w:fill="auto"/>
                  <w:vAlign w:val="center"/>
                </w:tcPr>
                <w:p w14:paraId="77EA2899">
                  <w:pPr>
                    <w:pStyle w:val="65"/>
                    <w:rPr>
                      <w:rFonts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7A6164A5">
                  <w:pPr>
                    <w:pStyle w:val="65"/>
                    <w:rPr>
                      <w:rFonts w:ascii="Times New Roman" w:hAnsi="Times New Roman" w:eastAsia="宋体" w:cs="Times New Roman"/>
                      <w:bCs/>
                      <w:color w:val="auto"/>
                      <w:sz w:val="21"/>
                      <w:lang w:val="en-US" w:eastAsia="zh-CN" w:bidi="ar-SA"/>
                    </w:rPr>
                  </w:pPr>
                  <w:r>
                    <w:rPr>
                      <w:color w:val="auto"/>
                    </w:rPr>
                    <w:t>80</w:t>
                  </w:r>
                </w:p>
              </w:tc>
              <w:tc>
                <w:tcPr>
                  <w:tcW w:w="207" w:type="pct"/>
                  <w:vMerge w:val="continue"/>
                  <w:vAlign w:val="center"/>
                </w:tcPr>
                <w:p w14:paraId="2AC811AD">
                  <w:pPr>
                    <w:pStyle w:val="65"/>
                    <w:rPr>
                      <w:color w:val="auto"/>
                    </w:rPr>
                  </w:pPr>
                </w:p>
              </w:tc>
              <w:tc>
                <w:tcPr>
                  <w:tcW w:w="151" w:type="pct"/>
                  <w:shd w:val="clear" w:color="auto" w:fill="auto"/>
                  <w:vAlign w:val="center"/>
                </w:tcPr>
                <w:p w14:paraId="3D7E955C">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29FB2CCE">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17EF9CC8">
                  <w:pPr>
                    <w:pStyle w:val="66"/>
                    <w:rPr>
                      <w:color w:val="auto"/>
                      <w:lang w:val="pt-BR"/>
                    </w:rPr>
                  </w:pPr>
                </w:p>
              </w:tc>
              <w:tc>
                <w:tcPr>
                  <w:tcW w:w="275" w:type="pct"/>
                  <w:vMerge w:val="continue"/>
                  <w:vAlign w:val="center"/>
                </w:tcPr>
                <w:p w14:paraId="6717D8DE">
                  <w:pPr>
                    <w:pStyle w:val="65"/>
                    <w:rPr>
                      <w:color w:val="auto"/>
                    </w:rPr>
                  </w:pPr>
                </w:p>
              </w:tc>
              <w:tc>
                <w:tcPr>
                  <w:tcW w:w="428" w:type="pct"/>
                  <w:vAlign w:val="center"/>
                </w:tcPr>
                <w:p w14:paraId="3776A618">
                  <w:pPr>
                    <w:pStyle w:val="65"/>
                    <w:rPr>
                      <w:color w:val="auto"/>
                    </w:rPr>
                  </w:pPr>
                  <w:r>
                    <w:rPr>
                      <w:rFonts w:hint="eastAsia"/>
                      <w:color w:val="auto"/>
                    </w:rPr>
                    <w:t>900-299-12</w:t>
                  </w:r>
                </w:p>
              </w:tc>
              <w:tc>
                <w:tcPr>
                  <w:tcW w:w="964" w:type="pct"/>
                  <w:vAlign w:val="center"/>
                </w:tcPr>
                <w:p w14:paraId="7CBBCAAF">
                  <w:pPr>
                    <w:pStyle w:val="65"/>
                    <w:rPr>
                      <w:color w:val="auto"/>
                    </w:rPr>
                  </w:pPr>
                  <w:r>
                    <w:rPr>
                      <w:rFonts w:hint="eastAsia"/>
                      <w:color w:val="auto"/>
                    </w:rPr>
                    <w:t>生产、销售及使用过程中产生的失效、变质、不合格、淘汰、伪劣的油墨、染料、颜料、油漆（不包括水性漆）</w:t>
                  </w:r>
                </w:p>
              </w:tc>
              <w:tc>
                <w:tcPr>
                  <w:tcW w:w="247" w:type="pct"/>
                  <w:vAlign w:val="center"/>
                </w:tcPr>
                <w:p w14:paraId="7777E99B">
                  <w:pPr>
                    <w:pStyle w:val="65"/>
                    <w:rPr>
                      <w:color w:val="auto"/>
                    </w:rPr>
                  </w:pPr>
                  <w:r>
                    <w:rPr>
                      <w:color w:val="auto"/>
                    </w:rPr>
                    <w:t>2</w:t>
                  </w:r>
                </w:p>
              </w:tc>
              <w:tc>
                <w:tcPr>
                  <w:tcW w:w="247" w:type="pct"/>
                  <w:vAlign w:val="center"/>
                </w:tcPr>
                <w:p w14:paraId="30CE84B0">
                  <w:pPr>
                    <w:pStyle w:val="65"/>
                    <w:rPr>
                      <w:color w:val="auto"/>
                    </w:rPr>
                  </w:pPr>
                  <w:r>
                    <w:rPr>
                      <w:color w:val="auto"/>
                    </w:rPr>
                    <w:t>100</w:t>
                  </w:r>
                </w:p>
              </w:tc>
              <w:tc>
                <w:tcPr>
                  <w:tcW w:w="220" w:type="pct"/>
                  <w:vMerge w:val="continue"/>
                  <w:vAlign w:val="center"/>
                </w:tcPr>
                <w:p w14:paraId="47A3EF43">
                  <w:pPr>
                    <w:pStyle w:val="65"/>
                    <w:rPr>
                      <w:color w:val="auto"/>
                    </w:rPr>
                  </w:pPr>
                </w:p>
              </w:tc>
              <w:tc>
                <w:tcPr>
                  <w:tcW w:w="408" w:type="pct"/>
                  <w:vMerge w:val="continue"/>
                  <w:vAlign w:val="center"/>
                </w:tcPr>
                <w:p w14:paraId="6D283237">
                  <w:pPr>
                    <w:pStyle w:val="65"/>
                    <w:rPr>
                      <w:color w:val="auto"/>
                    </w:rPr>
                  </w:pPr>
                </w:p>
              </w:tc>
              <w:tc>
                <w:tcPr>
                  <w:tcW w:w="328" w:type="pct"/>
                  <w:shd w:val="clear" w:color="auto" w:fill="auto"/>
                  <w:vAlign w:val="center"/>
                </w:tcPr>
                <w:p w14:paraId="582C2E5F">
                  <w:pPr>
                    <w:pStyle w:val="65"/>
                    <w:rPr>
                      <w:rFonts w:ascii="Times New Roman" w:hAnsi="Times New Roman" w:eastAsia="宋体" w:cs="Times New Roman"/>
                      <w:bCs/>
                      <w:color w:val="auto"/>
                      <w:sz w:val="21"/>
                      <w:lang w:val="en-US" w:eastAsia="zh-CN" w:bidi="ar-SA"/>
                    </w:rPr>
                  </w:pPr>
                  <w:r>
                    <w:rPr>
                      <w:rFonts w:hint="eastAsia"/>
                      <w:color w:val="auto"/>
                    </w:rPr>
                    <w:t>900-299-12</w:t>
                  </w:r>
                </w:p>
              </w:tc>
              <w:tc>
                <w:tcPr>
                  <w:tcW w:w="917" w:type="pct"/>
                  <w:shd w:val="clear" w:color="auto" w:fill="auto"/>
                  <w:vAlign w:val="center"/>
                </w:tcPr>
                <w:p w14:paraId="68FB6ACF">
                  <w:pPr>
                    <w:pStyle w:val="65"/>
                    <w:rPr>
                      <w:rFonts w:ascii="Times New Roman" w:hAnsi="Times New Roman" w:eastAsia="宋体" w:cs="Times New Roman"/>
                      <w:bCs/>
                      <w:color w:val="auto"/>
                      <w:sz w:val="21"/>
                      <w:lang w:val="en-US" w:eastAsia="zh-CN" w:bidi="ar-SA"/>
                    </w:rPr>
                  </w:pPr>
                  <w:r>
                    <w:rPr>
                      <w:rFonts w:hint="eastAsia"/>
                      <w:color w:val="auto"/>
                    </w:rPr>
                    <w:t>生产、销售及使用过程中产生的失效、变质、不合格、淘汰、伪劣的油墨、染料、颜料、油漆（不包括水性漆）</w:t>
                  </w:r>
                </w:p>
              </w:tc>
              <w:tc>
                <w:tcPr>
                  <w:tcW w:w="241" w:type="pct"/>
                  <w:shd w:val="clear" w:color="auto" w:fill="auto"/>
                  <w:vAlign w:val="center"/>
                </w:tcPr>
                <w:p w14:paraId="7BF8EA25">
                  <w:pPr>
                    <w:pStyle w:val="65"/>
                    <w:rPr>
                      <w:rFonts w:ascii="Times New Roman" w:hAnsi="Times New Roman" w:eastAsia="宋体" w:cs="Times New Roman"/>
                      <w:bCs/>
                      <w:color w:val="auto"/>
                      <w:sz w:val="21"/>
                      <w:lang w:val="en-US" w:eastAsia="zh-CN" w:bidi="ar-SA"/>
                    </w:rPr>
                  </w:pPr>
                  <w:r>
                    <w:rPr>
                      <w:color w:val="auto"/>
                    </w:rPr>
                    <w:t>2</w:t>
                  </w:r>
                </w:p>
              </w:tc>
              <w:tc>
                <w:tcPr>
                  <w:tcW w:w="207" w:type="pct"/>
                  <w:shd w:val="clear" w:color="auto" w:fill="auto"/>
                  <w:vAlign w:val="center"/>
                </w:tcPr>
                <w:p w14:paraId="1AE1F5CB">
                  <w:pPr>
                    <w:pStyle w:val="65"/>
                    <w:rPr>
                      <w:rFonts w:ascii="Times New Roman" w:hAnsi="Times New Roman" w:eastAsia="宋体" w:cs="Times New Roman"/>
                      <w:bCs/>
                      <w:color w:val="auto"/>
                      <w:sz w:val="21"/>
                      <w:lang w:val="en-US" w:eastAsia="zh-CN" w:bidi="ar-SA"/>
                    </w:rPr>
                  </w:pPr>
                  <w:r>
                    <w:rPr>
                      <w:color w:val="auto"/>
                    </w:rPr>
                    <w:t>100</w:t>
                  </w:r>
                </w:p>
              </w:tc>
              <w:tc>
                <w:tcPr>
                  <w:tcW w:w="207" w:type="pct"/>
                  <w:vMerge w:val="continue"/>
                  <w:vAlign w:val="center"/>
                </w:tcPr>
                <w:p w14:paraId="10D8E728">
                  <w:pPr>
                    <w:pStyle w:val="65"/>
                    <w:rPr>
                      <w:color w:val="auto"/>
                    </w:rPr>
                  </w:pPr>
                </w:p>
              </w:tc>
              <w:tc>
                <w:tcPr>
                  <w:tcW w:w="151" w:type="pct"/>
                  <w:shd w:val="clear" w:color="auto" w:fill="auto"/>
                  <w:vAlign w:val="center"/>
                </w:tcPr>
                <w:p w14:paraId="1F11F55C">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6BE2B051">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5EF16239">
                  <w:pPr>
                    <w:pStyle w:val="66"/>
                    <w:numPr>
                      <w:ilvl w:val="0"/>
                      <w:numId w:val="3"/>
                    </w:numPr>
                    <w:rPr>
                      <w:color w:val="auto"/>
                      <w:lang w:val="pt-BR"/>
                    </w:rPr>
                  </w:pPr>
                </w:p>
              </w:tc>
              <w:tc>
                <w:tcPr>
                  <w:tcW w:w="275" w:type="pct"/>
                  <w:vMerge w:val="restart"/>
                  <w:vAlign w:val="center"/>
                </w:tcPr>
                <w:p w14:paraId="41086C6B">
                  <w:pPr>
                    <w:pStyle w:val="65"/>
                    <w:rPr>
                      <w:color w:val="auto"/>
                    </w:rPr>
                  </w:pPr>
                  <w:r>
                    <w:rPr>
                      <w:rFonts w:hint="eastAsia"/>
                      <w:color w:val="auto"/>
                    </w:rPr>
                    <w:t>HW13有机树脂类废物</w:t>
                  </w:r>
                </w:p>
              </w:tc>
              <w:tc>
                <w:tcPr>
                  <w:tcW w:w="428" w:type="pct"/>
                  <w:vAlign w:val="center"/>
                </w:tcPr>
                <w:p w14:paraId="57C2A630">
                  <w:pPr>
                    <w:pStyle w:val="65"/>
                    <w:rPr>
                      <w:color w:val="auto"/>
                    </w:rPr>
                  </w:pPr>
                  <w:r>
                    <w:rPr>
                      <w:rFonts w:hint="eastAsia"/>
                      <w:color w:val="auto"/>
                    </w:rPr>
                    <w:t>900-015-13</w:t>
                  </w:r>
                </w:p>
              </w:tc>
              <w:tc>
                <w:tcPr>
                  <w:tcW w:w="964" w:type="pct"/>
                  <w:vAlign w:val="center"/>
                </w:tcPr>
                <w:p w14:paraId="7F2CAF55">
                  <w:pPr>
                    <w:pStyle w:val="65"/>
                    <w:rPr>
                      <w:color w:val="auto"/>
                    </w:rPr>
                  </w:pPr>
                  <w:r>
                    <w:rPr>
                      <w:rFonts w:hint="eastAsia"/>
                      <w:color w:val="auto"/>
                    </w:rPr>
                    <w:t>湿法冶金、表面处理和制药行业重金属、抗生素提取、分离过程产生的废弃离子交换树脂，以及工业废水处理过程产生的废弃离子交换树脂</w:t>
                  </w:r>
                </w:p>
              </w:tc>
              <w:tc>
                <w:tcPr>
                  <w:tcW w:w="247" w:type="pct"/>
                  <w:vAlign w:val="center"/>
                </w:tcPr>
                <w:p w14:paraId="2E1AD850">
                  <w:pPr>
                    <w:pStyle w:val="65"/>
                    <w:rPr>
                      <w:color w:val="auto"/>
                    </w:rPr>
                  </w:pPr>
                  <w:r>
                    <w:rPr>
                      <w:color w:val="auto"/>
                    </w:rPr>
                    <w:t>2.5</w:t>
                  </w:r>
                </w:p>
              </w:tc>
              <w:tc>
                <w:tcPr>
                  <w:tcW w:w="247" w:type="pct"/>
                  <w:vAlign w:val="center"/>
                </w:tcPr>
                <w:p w14:paraId="7886BF59">
                  <w:pPr>
                    <w:pStyle w:val="65"/>
                    <w:rPr>
                      <w:color w:val="auto"/>
                    </w:rPr>
                  </w:pPr>
                  <w:r>
                    <w:rPr>
                      <w:color w:val="auto"/>
                    </w:rPr>
                    <w:t>120</w:t>
                  </w:r>
                </w:p>
              </w:tc>
              <w:tc>
                <w:tcPr>
                  <w:tcW w:w="220" w:type="pct"/>
                  <w:vMerge w:val="restart"/>
                  <w:vAlign w:val="center"/>
                </w:tcPr>
                <w:p w14:paraId="49BC8E10">
                  <w:pPr>
                    <w:pStyle w:val="65"/>
                    <w:rPr>
                      <w:color w:val="auto"/>
                    </w:rPr>
                  </w:pPr>
                  <w:r>
                    <w:rPr>
                      <w:rFonts w:hint="eastAsia"/>
                      <w:color w:val="auto"/>
                    </w:rPr>
                    <w:t>240</w:t>
                  </w:r>
                </w:p>
              </w:tc>
              <w:tc>
                <w:tcPr>
                  <w:tcW w:w="408" w:type="pct"/>
                  <w:vMerge w:val="restart"/>
                  <w:shd w:val="clear" w:color="auto" w:fill="auto"/>
                  <w:vAlign w:val="center"/>
                </w:tcPr>
                <w:p w14:paraId="2C4B22F4">
                  <w:pPr>
                    <w:pStyle w:val="65"/>
                    <w:rPr>
                      <w:rFonts w:hint="eastAsia" w:ascii="Times New Roman" w:hAnsi="Times New Roman" w:eastAsia="宋体" w:cs="Times New Roman"/>
                      <w:bCs/>
                      <w:color w:val="auto"/>
                      <w:sz w:val="21"/>
                      <w:lang w:val="en-US" w:eastAsia="zh-CN" w:bidi="ar-SA"/>
                    </w:rPr>
                  </w:pPr>
                  <w:r>
                    <w:rPr>
                      <w:rFonts w:hint="eastAsia"/>
                      <w:color w:val="auto"/>
                    </w:rPr>
                    <w:t>HW13有机树脂类废物</w:t>
                  </w:r>
                </w:p>
              </w:tc>
              <w:tc>
                <w:tcPr>
                  <w:tcW w:w="328" w:type="pct"/>
                  <w:shd w:val="clear" w:color="auto" w:fill="auto"/>
                  <w:vAlign w:val="center"/>
                </w:tcPr>
                <w:p w14:paraId="38C2432F">
                  <w:pPr>
                    <w:pStyle w:val="65"/>
                    <w:rPr>
                      <w:rFonts w:hint="eastAsia" w:ascii="Times New Roman" w:hAnsi="Times New Roman" w:eastAsia="宋体" w:cs="Times New Roman"/>
                      <w:bCs/>
                      <w:color w:val="auto"/>
                      <w:sz w:val="21"/>
                      <w:lang w:val="en-US" w:eastAsia="zh-CN" w:bidi="ar-SA"/>
                    </w:rPr>
                  </w:pPr>
                  <w:r>
                    <w:rPr>
                      <w:rFonts w:hint="eastAsia"/>
                      <w:color w:val="auto"/>
                    </w:rPr>
                    <w:t>900-015-13</w:t>
                  </w:r>
                </w:p>
              </w:tc>
              <w:tc>
                <w:tcPr>
                  <w:tcW w:w="917" w:type="pct"/>
                  <w:shd w:val="clear" w:color="auto" w:fill="auto"/>
                  <w:vAlign w:val="center"/>
                </w:tcPr>
                <w:p w14:paraId="7283797D">
                  <w:pPr>
                    <w:pStyle w:val="65"/>
                    <w:rPr>
                      <w:rFonts w:hint="eastAsia" w:ascii="Times New Roman" w:hAnsi="Times New Roman" w:eastAsia="宋体" w:cs="Times New Roman"/>
                      <w:bCs/>
                      <w:color w:val="auto"/>
                      <w:sz w:val="21"/>
                      <w:lang w:val="en-US" w:eastAsia="zh-CN" w:bidi="ar-SA"/>
                    </w:rPr>
                  </w:pPr>
                  <w:r>
                    <w:rPr>
                      <w:rFonts w:hint="eastAsia"/>
                      <w:color w:val="auto"/>
                    </w:rPr>
                    <w:t>湿法冶金、表面处理和制药行业重金属、抗生素提取、分离过程产生的废弃离子交换树脂，以及工业废水处理过程产生的废弃离子交换树脂</w:t>
                  </w:r>
                </w:p>
              </w:tc>
              <w:tc>
                <w:tcPr>
                  <w:tcW w:w="241" w:type="pct"/>
                  <w:shd w:val="clear" w:color="auto" w:fill="auto"/>
                  <w:vAlign w:val="center"/>
                </w:tcPr>
                <w:p w14:paraId="67DA4B96">
                  <w:pPr>
                    <w:pStyle w:val="65"/>
                    <w:rPr>
                      <w:rFonts w:hint="eastAsia" w:ascii="Times New Roman" w:hAnsi="Times New Roman" w:eastAsia="宋体" w:cs="Times New Roman"/>
                      <w:bCs/>
                      <w:color w:val="auto"/>
                      <w:sz w:val="21"/>
                      <w:lang w:val="en-US" w:eastAsia="zh-CN" w:bidi="ar-SA"/>
                    </w:rPr>
                  </w:pPr>
                  <w:r>
                    <w:rPr>
                      <w:color w:val="auto"/>
                    </w:rPr>
                    <w:t>2.5</w:t>
                  </w:r>
                </w:p>
              </w:tc>
              <w:tc>
                <w:tcPr>
                  <w:tcW w:w="207" w:type="pct"/>
                  <w:shd w:val="clear" w:color="auto" w:fill="auto"/>
                  <w:vAlign w:val="center"/>
                </w:tcPr>
                <w:p w14:paraId="5385C252">
                  <w:pPr>
                    <w:pStyle w:val="65"/>
                    <w:rPr>
                      <w:rFonts w:hint="eastAsia" w:ascii="Times New Roman" w:hAnsi="Times New Roman" w:eastAsia="宋体" w:cs="Times New Roman"/>
                      <w:bCs/>
                      <w:color w:val="auto"/>
                      <w:sz w:val="21"/>
                      <w:lang w:val="en-US" w:eastAsia="zh-CN" w:bidi="ar-SA"/>
                    </w:rPr>
                  </w:pPr>
                  <w:r>
                    <w:rPr>
                      <w:color w:val="auto"/>
                    </w:rPr>
                    <w:t>120</w:t>
                  </w:r>
                </w:p>
              </w:tc>
              <w:tc>
                <w:tcPr>
                  <w:tcW w:w="207" w:type="pct"/>
                  <w:vMerge w:val="restart"/>
                  <w:shd w:val="clear" w:color="auto" w:fill="auto"/>
                  <w:vAlign w:val="center"/>
                </w:tcPr>
                <w:p w14:paraId="15990F40">
                  <w:pPr>
                    <w:pStyle w:val="65"/>
                    <w:rPr>
                      <w:rFonts w:hint="eastAsia" w:ascii="Times New Roman" w:hAnsi="Times New Roman" w:eastAsia="宋体" w:cs="Times New Roman"/>
                      <w:bCs/>
                      <w:color w:val="auto"/>
                      <w:sz w:val="21"/>
                      <w:lang w:val="en-US" w:eastAsia="zh-CN" w:bidi="ar-SA"/>
                    </w:rPr>
                  </w:pPr>
                  <w:r>
                    <w:rPr>
                      <w:rFonts w:hint="eastAsia"/>
                      <w:color w:val="auto"/>
                    </w:rPr>
                    <w:t>240</w:t>
                  </w:r>
                </w:p>
              </w:tc>
              <w:tc>
                <w:tcPr>
                  <w:tcW w:w="151" w:type="pct"/>
                  <w:vAlign w:val="center"/>
                </w:tcPr>
                <w:p w14:paraId="2E03CAA6">
                  <w:pPr>
                    <w:pStyle w:val="65"/>
                    <w:rPr>
                      <w:rFonts w:hint="eastAsia"/>
                      <w:color w:val="auto"/>
                    </w:rPr>
                  </w:pPr>
                  <w:r>
                    <w:rPr>
                      <w:rFonts w:hint="eastAsia"/>
                      <w:b w:val="0"/>
                      <w:bCs/>
                      <w:color w:val="auto"/>
                      <w:lang w:val="en-US" w:eastAsia="zh-CN"/>
                    </w:rPr>
                    <w:t>一致</w:t>
                  </w:r>
                </w:p>
              </w:tc>
            </w:tr>
            <w:tr w14:paraId="2F9C54BE">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4CDE7830">
                  <w:pPr>
                    <w:pStyle w:val="66"/>
                    <w:rPr>
                      <w:color w:val="auto"/>
                      <w:lang w:val="pt-BR"/>
                    </w:rPr>
                  </w:pPr>
                </w:p>
              </w:tc>
              <w:tc>
                <w:tcPr>
                  <w:tcW w:w="275" w:type="pct"/>
                  <w:vMerge w:val="continue"/>
                  <w:vAlign w:val="center"/>
                </w:tcPr>
                <w:p w14:paraId="064CBF57">
                  <w:pPr>
                    <w:pStyle w:val="65"/>
                    <w:rPr>
                      <w:color w:val="auto"/>
                    </w:rPr>
                  </w:pPr>
                </w:p>
              </w:tc>
              <w:tc>
                <w:tcPr>
                  <w:tcW w:w="428" w:type="pct"/>
                  <w:vAlign w:val="center"/>
                </w:tcPr>
                <w:p w14:paraId="4347AED4">
                  <w:pPr>
                    <w:pStyle w:val="65"/>
                    <w:rPr>
                      <w:color w:val="auto"/>
                    </w:rPr>
                  </w:pPr>
                  <w:r>
                    <w:rPr>
                      <w:rFonts w:hint="eastAsia"/>
                      <w:color w:val="auto"/>
                    </w:rPr>
                    <w:t>265-103-13</w:t>
                  </w:r>
                </w:p>
              </w:tc>
              <w:tc>
                <w:tcPr>
                  <w:tcW w:w="964" w:type="pct"/>
                  <w:vAlign w:val="center"/>
                </w:tcPr>
                <w:p w14:paraId="06B824B9">
                  <w:pPr>
                    <w:pStyle w:val="65"/>
                    <w:rPr>
                      <w:color w:val="auto"/>
                    </w:rPr>
                  </w:pPr>
                  <w:r>
                    <w:rPr>
                      <w:rFonts w:hint="eastAsia"/>
                      <w:color w:val="auto"/>
                    </w:rPr>
                    <w:t>树脂（不包括水性聚氨酯乳液、水性丙烯酸乳液、水性聚氨酯丙烯酸复合乳液）、合成乳胶、增塑剂、胶水/胶合剂生产过程中精馏、分离、精制等工序产生的釜底残液、废过滤介质和残渣</w:t>
                  </w:r>
                </w:p>
              </w:tc>
              <w:tc>
                <w:tcPr>
                  <w:tcW w:w="247" w:type="pct"/>
                  <w:vAlign w:val="center"/>
                </w:tcPr>
                <w:p w14:paraId="6A45DD6B">
                  <w:pPr>
                    <w:pStyle w:val="65"/>
                    <w:rPr>
                      <w:color w:val="auto"/>
                    </w:rPr>
                  </w:pPr>
                  <w:r>
                    <w:rPr>
                      <w:color w:val="auto"/>
                    </w:rPr>
                    <w:t>2.5</w:t>
                  </w:r>
                </w:p>
              </w:tc>
              <w:tc>
                <w:tcPr>
                  <w:tcW w:w="247" w:type="pct"/>
                  <w:vAlign w:val="center"/>
                </w:tcPr>
                <w:p w14:paraId="0C92EC90">
                  <w:pPr>
                    <w:pStyle w:val="65"/>
                    <w:rPr>
                      <w:color w:val="auto"/>
                    </w:rPr>
                  </w:pPr>
                  <w:r>
                    <w:rPr>
                      <w:color w:val="auto"/>
                    </w:rPr>
                    <w:t>120</w:t>
                  </w:r>
                </w:p>
              </w:tc>
              <w:tc>
                <w:tcPr>
                  <w:tcW w:w="220" w:type="pct"/>
                  <w:vMerge w:val="continue"/>
                  <w:vAlign w:val="center"/>
                </w:tcPr>
                <w:p w14:paraId="594799E7">
                  <w:pPr>
                    <w:pStyle w:val="65"/>
                    <w:rPr>
                      <w:color w:val="auto"/>
                    </w:rPr>
                  </w:pPr>
                </w:p>
              </w:tc>
              <w:tc>
                <w:tcPr>
                  <w:tcW w:w="408" w:type="pct"/>
                  <w:vMerge w:val="continue"/>
                  <w:vAlign w:val="center"/>
                </w:tcPr>
                <w:p w14:paraId="3E72FF77">
                  <w:pPr>
                    <w:pStyle w:val="65"/>
                    <w:rPr>
                      <w:color w:val="auto"/>
                    </w:rPr>
                  </w:pPr>
                </w:p>
              </w:tc>
              <w:tc>
                <w:tcPr>
                  <w:tcW w:w="328" w:type="pct"/>
                  <w:shd w:val="clear" w:color="auto" w:fill="auto"/>
                  <w:vAlign w:val="center"/>
                </w:tcPr>
                <w:p w14:paraId="31E3750D">
                  <w:pPr>
                    <w:pStyle w:val="65"/>
                    <w:rPr>
                      <w:rFonts w:ascii="Times New Roman" w:hAnsi="Times New Roman" w:eastAsia="宋体" w:cs="Times New Roman"/>
                      <w:bCs/>
                      <w:color w:val="auto"/>
                      <w:sz w:val="21"/>
                      <w:lang w:val="en-US" w:eastAsia="zh-CN" w:bidi="ar-SA"/>
                    </w:rPr>
                  </w:pPr>
                  <w:r>
                    <w:rPr>
                      <w:rFonts w:hint="eastAsia"/>
                      <w:color w:val="auto"/>
                    </w:rPr>
                    <w:t>265-103-13</w:t>
                  </w:r>
                </w:p>
              </w:tc>
              <w:tc>
                <w:tcPr>
                  <w:tcW w:w="917" w:type="pct"/>
                  <w:shd w:val="clear" w:color="auto" w:fill="auto"/>
                  <w:vAlign w:val="center"/>
                </w:tcPr>
                <w:p w14:paraId="71F616D5">
                  <w:pPr>
                    <w:pStyle w:val="65"/>
                    <w:rPr>
                      <w:rFonts w:ascii="Times New Roman" w:hAnsi="Times New Roman" w:eastAsia="宋体" w:cs="Times New Roman"/>
                      <w:bCs/>
                      <w:color w:val="auto"/>
                      <w:sz w:val="21"/>
                      <w:lang w:val="en-US" w:eastAsia="zh-CN" w:bidi="ar-SA"/>
                    </w:rPr>
                  </w:pPr>
                  <w:r>
                    <w:rPr>
                      <w:rFonts w:hint="eastAsia"/>
                      <w:color w:val="auto"/>
                    </w:rPr>
                    <w:t>树脂（不包括水性聚氨酯乳液、水性丙烯酸乳液、水性聚氨酯丙烯酸复合乳液）、合成乳胶、增塑剂、胶水/胶合剂生产过程中精馏、分离、精制等工序产生的釜底残液、废过滤介质和残渣</w:t>
                  </w:r>
                </w:p>
              </w:tc>
              <w:tc>
                <w:tcPr>
                  <w:tcW w:w="241" w:type="pct"/>
                  <w:shd w:val="clear" w:color="auto" w:fill="auto"/>
                  <w:vAlign w:val="center"/>
                </w:tcPr>
                <w:p w14:paraId="316E032E">
                  <w:pPr>
                    <w:pStyle w:val="65"/>
                    <w:rPr>
                      <w:rFonts w:ascii="Times New Roman" w:hAnsi="Times New Roman" w:eastAsia="宋体" w:cs="Times New Roman"/>
                      <w:bCs/>
                      <w:color w:val="auto"/>
                      <w:sz w:val="21"/>
                      <w:lang w:val="en-US" w:eastAsia="zh-CN" w:bidi="ar-SA"/>
                    </w:rPr>
                  </w:pPr>
                  <w:r>
                    <w:rPr>
                      <w:color w:val="auto"/>
                    </w:rPr>
                    <w:t>2.5</w:t>
                  </w:r>
                </w:p>
              </w:tc>
              <w:tc>
                <w:tcPr>
                  <w:tcW w:w="207" w:type="pct"/>
                  <w:shd w:val="clear" w:color="auto" w:fill="auto"/>
                  <w:vAlign w:val="center"/>
                </w:tcPr>
                <w:p w14:paraId="004FE482">
                  <w:pPr>
                    <w:pStyle w:val="65"/>
                    <w:rPr>
                      <w:rFonts w:ascii="Times New Roman" w:hAnsi="Times New Roman" w:eastAsia="宋体" w:cs="Times New Roman"/>
                      <w:bCs/>
                      <w:color w:val="auto"/>
                      <w:sz w:val="21"/>
                      <w:lang w:val="en-US" w:eastAsia="zh-CN" w:bidi="ar-SA"/>
                    </w:rPr>
                  </w:pPr>
                  <w:r>
                    <w:rPr>
                      <w:color w:val="auto"/>
                    </w:rPr>
                    <w:t>120</w:t>
                  </w:r>
                </w:p>
              </w:tc>
              <w:tc>
                <w:tcPr>
                  <w:tcW w:w="207" w:type="pct"/>
                  <w:vMerge w:val="continue"/>
                  <w:vAlign w:val="center"/>
                </w:tcPr>
                <w:p w14:paraId="064AE5AE">
                  <w:pPr>
                    <w:pStyle w:val="65"/>
                    <w:rPr>
                      <w:color w:val="auto"/>
                    </w:rPr>
                  </w:pPr>
                </w:p>
              </w:tc>
              <w:tc>
                <w:tcPr>
                  <w:tcW w:w="151" w:type="pct"/>
                  <w:shd w:val="clear" w:color="auto" w:fill="auto"/>
                  <w:vAlign w:val="center"/>
                </w:tcPr>
                <w:p w14:paraId="0ADCAAC6">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17FE2D6C">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129CA4E7">
                  <w:pPr>
                    <w:pStyle w:val="66"/>
                    <w:numPr>
                      <w:ilvl w:val="0"/>
                      <w:numId w:val="3"/>
                    </w:numPr>
                    <w:rPr>
                      <w:color w:val="auto"/>
                      <w:lang w:val="pt-BR"/>
                    </w:rPr>
                  </w:pPr>
                </w:p>
              </w:tc>
              <w:tc>
                <w:tcPr>
                  <w:tcW w:w="275" w:type="pct"/>
                  <w:vMerge w:val="restart"/>
                  <w:vAlign w:val="center"/>
                </w:tcPr>
                <w:p w14:paraId="32759C99">
                  <w:pPr>
                    <w:pStyle w:val="65"/>
                    <w:rPr>
                      <w:color w:val="auto"/>
                    </w:rPr>
                  </w:pPr>
                  <w:r>
                    <w:rPr>
                      <w:rFonts w:hint="eastAsia"/>
                      <w:color w:val="auto"/>
                    </w:rPr>
                    <w:t>HW17表面处理废物</w:t>
                  </w:r>
                </w:p>
              </w:tc>
              <w:tc>
                <w:tcPr>
                  <w:tcW w:w="428" w:type="pct"/>
                  <w:vAlign w:val="center"/>
                </w:tcPr>
                <w:p w14:paraId="3D3B581F">
                  <w:pPr>
                    <w:pStyle w:val="65"/>
                    <w:rPr>
                      <w:color w:val="auto"/>
                    </w:rPr>
                  </w:pPr>
                  <w:r>
                    <w:rPr>
                      <w:rFonts w:hint="eastAsia"/>
                      <w:color w:val="auto"/>
                    </w:rPr>
                    <w:t>336-064-17</w:t>
                  </w:r>
                </w:p>
              </w:tc>
              <w:tc>
                <w:tcPr>
                  <w:tcW w:w="964" w:type="pct"/>
                  <w:vAlign w:val="center"/>
                </w:tcPr>
                <w:p w14:paraId="00C2DF13">
                  <w:pPr>
                    <w:pStyle w:val="65"/>
                    <w:rPr>
                      <w:color w:val="auto"/>
                    </w:rPr>
                  </w:pPr>
                  <w:r>
                    <w:rPr>
                      <w:rFonts w:hint="eastAsia"/>
                      <w:color w:val="auto"/>
                    </w:rPr>
                    <w:t>金属或者塑料表面酸（碱）洗、除油、除锈（不包括喷砂除锈）、洗涤、磷化、出光、化抛工艺产生的废腐蚀液、废洗涤液、废槽液、槽渣和废水处理污泥（不包括：铝、镁材（板）表面酸（碱）洗、粗化、硫酸阳极处理、磷酸化学抛光废水处理污泥，铝电解电容器用铝电极箔化学腐蚀、非硼酸系化成液化成废水处理污泥，铝材挤压加工模具碱洗（煲模）废水处理污泥，碳钢酸洗除锈废水处理污泥）</w:t>
                  </w:r>
                </w:p>
              </w:tc>
              <w:tc>
                <w:tcPr>
                  <w:tcW w:w="247" w:type="pct"/>
                  <w:vAlign w:val="center"/>
                </w:tcPr>
                <w:p w14:paraId="7164106C">
                  <w:pPr>
                    <w:pStyle w:val="65"/>
                    <w:rPr>
                      <w:color w:val="auto"/>
                    </w:rPr>
                  </w:pPr>
                  <w:r>
                    <w:rPr>
                      <w:color w:val="auto"/>
                    </w:rPr>
                    <w:t>6</w:t>
                  </w:r>
                </w:p>
              </w:tc>
              <w:tc>
                <w:tcPr>
                  <w:tcW w:w="247" w:type="pct"/>
                  <w:vAlign w:val="center"/>
                </w:tcPr>
                <w:p w14:paraId="5AD45304">
                  <w:pPr>
                    <w:pStyle w:val="65"/>
                    <w:rPr>
                      <w:color w:val="auto"/>
                    </w:rPr>
                  </w:pPr>
                  <w:r>
                    <w:rPr>
                      <w:color w:val="auto"/>
                    </w:rPr>
                    <w:t>300</w:t>
                  </w:r>
                </w:p>
              </w:tc>
              <w:tc>
                <w:tcPr>
                  <w:tcW w:w="220" w:type="pct"/>
                  <w:vMerge w:val="restart"/>
                  <w:vAlign w:val="center"/>
                </w:tcPr>
                <w:p w14:paraId="68D0375F">
                  <w:pPr>
                    <w:pStyle w:val="65"/>
                    <w:rPr>
                      <w:color w:val="auto"/>
                    </w:rPr>
                  </w:pPr>
                  <w:r>
                    <w:rPr>
                      <w:rFonts w:hint="eastAsia"/>
                      <w:color w:val="auto"/>
                    </w:rPr>
                    <w:t>500</w:t>
                  </w:r>
                </w:p>
              </w:tc>
              <w:tc>
                <w:tcPr>
                  <w:tcW w:w="408" w:type="pct"/>
                  <w:vMerge w:val="restart"/>
                  <w:shd w:val="clear" w:color="auto" w:fill="auto"/>
                  <w:vAlign w:val="center"/>
                </w:tcPr>
                <w:p w14:paraId="34D07F01">
                  <w:pPr>
                    <w:pStyle w:val="65"/>
                    <w:rPr>
                      <w:rFonts w:hint="eastAsia" w:ascii="Times New Roman" w:hAnsi="Times New Roman" w:eastAsia="宋体" w:cs="Times New Roman"/>
                      <w:bCs/>
                      <w:color w:val="auto"/>
                      <w:sz w:val="21"/>
                      <w:lang w:val="en-US" w:eastAsia="zh-CN" w:bidi="ar-SA"/>
                    </w:rPr>
                  </w:pPr>
                  <w:r>
                    <w:rPr>
                      <w:rFonts w:hint="eastAsia"/>
                      <w:color w:val="auto"/>
                    </w:rPr>
                    <w:t>HW17表面处理废物</w:t>
                  </w:r>
                </w:p>
              </w:tc>
              <w:tc>
                <w:tcPr>
                  <w:tcW w:w="328" w:type="pct"/>
                  <w:shd w:val="clear" w:color="auto" w:fill="auto"/>
                  <w:vAlign w:val="center"/>
                </w:tcPr>
                <w:p w14:paraId="2B451027">
                  <w:pPr>
                    <w:pStyle w:val="65"/>
                    <w:rPr>
                      <w:rFonts w:hint="eastAsia" w:ascii="Times New Roman" w:hAnsi="Times New Roman" w:eastAsia="宋体" w:cs="Times New Roman"/>
                      <w:bCs/>
                      <w:color w:val="auto"/>
                      <w:sz w:val="21"/>
                      <w:lang w:val="en-US" w:eastAsia="zh-CN" w:bidi="ar-SA"/>
                    </w:rPr>
                  </w:pPr>
                  <w:r>
                    <w:rPr>
                      <w:rFonts w:hint="eastAsia"/>
                      <w:color w:val="auto"/>
                    </w:rPr>
                    <w:t>336-064-17</w:t>
                  </w:r>
                </w:p>
              </w:tc>
              <w:tc>
                <w:tcPr>
                  <w:tcW w:w="917" w:type="pct"/>
                  <w:shd w:val="clear" w:color="auto" w:fill="auto"/>
                  <w:vAlign w:val="center"/>
                </w:tcPr>
                <w:p w14:paraId="1F84DDC8">
                  <w:pPr>
                    <w:pStyle w:val="65"/>
                    <w:rPr>
                      <w:rFonts w:hint="eastAsia" w:ascii="Times New Roman" w:hAnsi="Times New Roman" w:eastAsia="宋体" w:cs="Times New Roman"/>
                      <w:bCs/>
                      <w:color w:val="auto"/>
                      <w:sz w:val="21"/>
                      <w:lang w:val="en-US" w:eastAsia="zh-CN" w:bidi="ar-SA"/>
                    </w:rPr>
                  </w:pPr>
                  <w:r>
                    <w:rPr>
                      <w:rFonts w:hint="eastAsia"/>
                      <w:color w:val="auto"/>
                    </w:rPr>
                    <w:t>金属或者塑料表面酸（碱）洗、除油、除锈（不包括喷砂除锈）、洗涤、磷化、出光、化抛工艺产生的废腐蚀液、废洗涤液、废槽液、槽渣和废水处理污泥（不包括：铝、镁材（板）表面酸（碱）洗、粗化、硫酸阳极处理、磷酸化学抛光废水处理污泥，铝电解电容器用铝电极箔化学腐蚀、非硼酸系化成液化成废水处理污泥，铝材挤压加工模具碱洗（煲模）废水处理污泥，碳钢酸洗除锈废水处理污泥）</w:t>
                  </w:r>
                </w:p>
              </w:tc>
              <w:tc>
                <w:tcPr>
                  <w:tcW w:w="241" w:type="pct"/>
                  <w:shd w:val="clear" w:color="auto" w:fill="auto"/>
                  <w:vAlign w:val="center"/>
                </w:tcPr>
                <w:p w14:paraId="4B2B8A26">
                  <w:pPr>
                    <w:pStyle w:val="65"/>
                    <w:rPr>
                      <w:rFonts w:hint="eastAsia" w:ascii="Times New Roman" w:hAnsi="Times New Roman" w:eastAsia="宋体" w:cs="Times New Roman"/>
                      <w:bCs/>
                      <w:color w:val="auto"/>
                      <w:sz w:val="21"/>
                      <w:lang w:val="en-US" w:eastAsia="zh-CN" w:bidi="ar-SA"/>
                    </w:rPr>
                  </w:pPr>
                  <w:r>
                    <w:rPr>
                      <w:color w:val="auto"/>
                    </w:rPr>
                    <w:t>6</w:t>
                  </w:r>
                </w:p>
              </w:tc>
              <w:tc>
                <w:tcPr>
                  <w:tcW w:w="207" w:type="pct"/>
                  <w:shd w:val="clear" w:color="auto" w:fill="auto"/>
                  <w:vAlign w:val="center"/>
                </w:tcPr>
                <w:p w14:paraId="529FC626">
                  <w:pPr>
                    <w:pStyle w:val="65"/>
                    <w:rPr>
                      <w:rFonts w:hint="eastAsia" w:ascii="Times New Roman" w:hAnsi="Times New Roman" w:eastAsia="宋体" w:cs="Times New Roman"/>
                      <w:bCs/>
                      <w:color w:val="auto"/>
                      <w:sz w:val="21"/>
                      <w:lang w:val="en-US" w:eastAsia="zh-CN" w:bidi="ar-SA"/>
                    </w:rPr>
                  </w:pPr>
                  <w:r>
                    <w:rPr>
                      <w:color w:val="auto"/>
                    </w:rPr>
                    <w:t>300</w:t>
                  </w:r>
                </w:p>
              </w:tc>
              <w:tc>
                <w:tcPr>
                  <w:tcW w:w="207" w:type="pct"/>
                  <w:vMerge w:val="restart"/>
                  <w:shd w:val="clear" w:color="auto" w:fill="auto"/>
                  <w:vAlign w:val="center"/>
                </w:tcPr>
                <w:p w14:paraId="46EDDD87">
                  <w:pPr>
                    <w:pStyle w:val="65"/>
                    <w:rPr>
                      <w:rFonts w:hint="eastAsia" w:ascii="Times New Roman" w:hAnsi="Times New Roman" w:eastAsia="宋体" w:cs="Times New Roman"/>
                      <w:bCs/>
                      <w:color w:val="auto"/>
                      <w:sz w:val="21"/>
                      <w:lang w:val="en-US" w:eastAsia="zh-CN" w:bidi="ar-SA"/>
                    </w:rPr>
                  </w:pPr>
                  <w:r>
                    <w:rPr>
                      <w:rFonts w:hint="eastAsia"/>
                      <w:color w:val="auto"/>
                    </w:rPr>
                    <w:t>500</w:t>
                  </w:r>
                </w:p>
              </w:tc>
              <w:tc>
                <w:tcPr>
                  <w:tcW w:w="151" w:type="pct"/>
                  <w:shd w:val="clear" w:color="auto" w:fill="auto"/>
                  <w:vAlign w:val="center"/>
                </w:tcPr>
                <w:p w14:paraId="0A43F2D3">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1B3C276F">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4DB69F24">
                  <w:pPr>
                    <w:pStyle w:val="66"/>
                    <w:rPr>
                      <w:color w:val="auto"/>
                      <w:lang w:val="pt-BR"/>
                    </w:rPr>
                  </w:pPr>
                </w:p>
              </w:tc>
              <w:tc>
                <w:tcPr>
                  <w:tcW w:w="275" w:type="pct"/>
                  <w:vMerge w:val="continue"/>
                  <w:vAlign w:val="center"/>
                </w:tcPr>
                <w:p w14:paraId="68606506">
                  <w:pPr>
                    <w:pStyle w:val="65"/>
                    <w:rPr>
                      <w:color w:val="auto"/>
                    </w:rPr>
                  </w:pPr>
                </w:p>
              </w:tc>
              <w:tc>
                <w:tcPr>
                  <w:tcW w:w="428" w:type="pct"/>
                  <w:vAlign w:val="center"/>
                </w:tcPr>
                <w:p w14:paraId="404296E1">
                  <w:pPr>
                    <w:pStyle w:val="65"/>
                    <w:rPr>
                      <w:color w:val="auto"/>
                    </w:rPr>
                  </w:pPr>
                  <w:r>
                    <w:rPr>
                      <w:rFonts w:hint="eastAsia"/>
                      <w:color w:val="auto"/>
                    </w:rPr>
                    <w:t>336-060-17</w:t>
                  </w:r>
                </w:p>
              </w:tc>
              <w:tc>
                <w:tcPr>
                  <w:tcW w:w="964" w:type="pct"/>
                  <w:vAlign w:val="center"/>
                </w:tcPr>
                <w:p w14:paraId="6B531BB0">
                  <w:pPr>
                    <w:pStyle w:val="65"/>
                    <w:rPr>
                      <w:color w:val="auto"/>
                    </w:rPr>
                  </w:pPr>
                  <w:r>
                    <w:rPr>
                      <w:rFonts w:hint="eastAsia"/>
                      <w:color w:val="auto"/>
                    </w:rPr>
                    <w:t>使用铬和电镀化学品进行镀黑铬产生的废槽液、槽渣和废水处理污泥</w:t>
                  </w:r>
                </w:p>
              </w:tc>
              <w:tc>
                <w:tcPr>
                  <w:tcW w:w="247" w:type="pct"/>
                  <w:vAlign w:val="center"/>
                </w:tcPr>
                <w:p w14:paraId="40E982C4">
                  <w:pPr>
                    <w:pStyle w:val="65"/>
                    <w:rPr>
                      <w:color w:val="auto"/>
                    </w:rPr>
                  </w:pPr>
                  <w:r>
                    <w:rPr>
                      <w:color w:val="auto"/>
                    </w:rPr>
                    <w:t>4</w:t>
                  </w:r>
                </w:p>
              </w:tc>
              <w:tc>
                <w:tcPr>
                  <w:tcW w:w="247" w:type="pct"/>
                  <w:vAlign w:val="center"/>
                </w:tcPr>
                <w:p w14:paraId="0EAEBDDB">
                  <w:pPr>
                    <w:pStyle w:val="65"/>
                    <w:rPr>
                      <w:color w:val="auto"/>
                    </w:rPr>
                  </w:pPr>
                  <w:r>
                    <w:rPr>
                      <w:color w:val="auto"/>
                    </w:rPr>
                    <w:t>200</w:t>
                  </w:r>
                </w:p>
              </w:tc>
              <w:tc>
                <w:tcPr>
                  <w:tcW w:w="220" w:type="pct"/>
                  <w:vMerge w:val="continue"/>
                  <w:vAlign w:val="center"/>
                </w:tcPr>
                <w:p w14:paraId="060E1F36">
                  <w:pPr>
                    <w:pStyle w:val="65"/>
                    <w:rPr>
                      <w:color w:val="auto"/>
                    </w:rPr>
                  </w:pPr>
                </w:p>
              </w:tc>
              <w:tc>
                <w:tcPr>
                  <w:tcW w:w="408" w:type="pct"/>
                  <w:vMerge w:val="continue"/>
                  <w:vAlign w:val="center"/>
                </w:tcPr>
                <w:p w14:paraId="3D4A0499">
                  <w:pPr>
                    <w:pStyle w:val="65"/>
                    <w:rPr>
                      <w:color w:val="auto"/>
                    </w:rPr>
                  </w:pPr>
                </w:p>
              </w:tc>
              <w:tc>
                <w:tcPr>
                  <w:tcW w:w="328" w:type="pct"/>
                  <w:shd w:val="clear" w:color="auto" w:fill="auto"/>
                  <w:vAlign w:val="center"/>
                </w:tcPr>
                <w:p w14:paraId="3153173D">
                  <w:pPr>
                    <w:pStyle w:val="65"/>
                    <w:rPr>
                      <w:rFonts w:ascii="Times New Roman" w:hAnsi="Times New Roman" w:eastAsia="宋体" w:cs="Times New Roman"/>
                      <w:bCs/>
                      <w:color w:val="auto"/>
                      <w:sz w:val="21"/>
                      <w:lang w:val="en-US" w:eastAsia="zh-CN" w:bidi="ar-SA"/>
                    </w:rPr>
                  </w:pPr>
                  <w:r>
                    <w:rPr>
                      <w:rFonts w:hint="eastAsia"/>
                      <w:color w:val="auto"/>
                    </w:rPr>
                    <w:t>336-060-17</w:t>
                  </w:r>
                </w:p>
              </w:tc>
              <w:tc>
                <w:tcPr>
                  <w:tcW w:w="917" w:type="pct"/>
                  <w:shd w:val="clear" w:color="auto" w:fill="auto"/>
                  <w:vAlign w:val="center"/>
                </w:tcPr>
                <w:p w14:paraId="760B6F58">
                  <w:pPr>
                    <w:pStyle w:val="65"/>
                    <w:rPr>
                      <w:rFonts w:ascii="Times New Roman" w:hAnsi="Times New Roman" w:eastAsia="宋体" w:cs="Times New Roman"/>
                      <w:bCs/>
                      <w:color w:val="auto"/>
                      <w:sz w:val="21"/>
                      <w:lang w:val="en-US" w:eastAsia="zh-CN" w:bidi="ar-SA"/>
                    </w:rPr>
                  </w:pPr>
                  <w:r>
                    <w:rPr>
                      <w:rFonts w:hint="eastAsia"/>
                      <w:color w:val="auto"/>
                    </w:rPr>
                    <w:t>使用铬和电镀化学品进行镀黑铬产生的废槽液、槽渣和废水处理污泥</w:t>
                  </w:r>
                </w:p>
              </w:tc>
              <w:tc>
                <w:tcPr>
                  <w:tcW w:w="241" w:type="pct"/>
                  <w:shd w:val="clear" w:color="auto" w:fill="auto"/>
                  <w:vAlign w:val="center"/>
                </w:tcPr>
                <w:p w14:paraId="3092139A">
                  <w:pPr>
                    <w:pStyle w:val="65"/>
                    <w:rPr>
                      <w:rFonts w:ascii="Times New Roman" w:hAnsi="Times New Roman" w:eastAsia="宋体" w:cs="Times New Roman"/>
                      <w:bCs/>
                      <w:color w:val="auto"/>
                      <w:sz w:val="21"/>
                      <w:lang w:val="en-US" w:eastAsia="zh-CN" w:bidi="ar-SA"/>
                    </w:rPr>
                  </w:pPr>
                  <w:r>
                    <w:rPr>
                      <w:color w:val="auto"/>
                    </w:rPr>
                    <w:t>4</w:t>
                  </w:r>
                </w:p>
              </w:tc>
              <w:tc>
                <w:tcPr>
                  <w:tcW w:w="207" w:type="pct"/>
                  <w:shd w:val="clear" w:color="auto" w:fill="auto"/>
                  <w:vAlign w:val="center"/>
                </w:tcPr>
                <w:p w14:paraId="2990616E">
                  <w:pPr>
                    <w:pStyle w:val="65"/>
                    <w:rPr>
                      <w:rFonts w:ascii="Times New Roman" w:hAnsi="Times New Roman" w:eastAsia="宋体" w:cs="Times New Roman"/>
                      <w:bCs/>
                      <w:color w:val="auto"/>
                      <w:sz w:val="21"/>
                      <w:lang w:val="en-US" w:eastAsia="zh-CN" w:bidi="ar-SA"/>
                    </w:rPr>
                  </w:pPr>
                  <w:r>
                    <w:rPr>
                      <w:color w:val="auto"/>
                    </w:rPr>
                    <w:t>200</w:t>
                  </w:r>
                </w:p>
              </w:tc>
              <w:tc>
                <w:tcPr>
                  <w:tcW w:w="207" w:type="pct"/>
                  <w:vMerge w:val="continue"/>
                  <w:vAlign w:val="center"/>
                </w:tcPr>
                <w:p w14:paraId="5F6C49BA">
                  <w:pPr>
                    <w:pStyle w:val="65"/>
                    <w:rPr>
                      <w:color w:val="auto"/>
                    </w:rPr>
                  </w:pPr>
                </w:p>
              </w:tc>
              <w:tc>
                <w:tcPr>
                  <w:tcW w:w="151" w:type="pct"/>
                  <w:shd w:val="clear" w:color="auto" w:fill="auto"/>
                  <w:vAlign w:val="center"/>
                </w:tcPr>
                <w:p w14:paraId="4FD9DED1">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1BADBD88">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Align w:val="center"/>
                </w:tcPr>
                <w:p w14:paraId="5B2B9DC2">
                  <w:pPr>
                    <w:pStyle w:val="66"/>
                    <w:numPr>
                      <w:ilvl w:val="0"/>
                      <w:numId w:val="3"/>
                    </w:numPr>
                    <w:rPr>
                      <w:color w:val="auto"/>
                      <w:lang w:val="pt-BR"/>
                    </w:rPr>
                  </w:pPr>
                </w:p>
              </w:tc>
              <w:tc>
                <w:tcPr>
                  <w:tcW w:w="275" w:type="pct"/>
                  <w:vAlign w:val="center"/>
                </w:tcPr>
                <w:p w14:paraId="0E21A76C">
                  <w:pPr>
                    <w:pStyle w:val="65"/>
                    <w:rPr>
                      <w:color w:val="auto"/>
                    </w:rPr>
                  </w:pPr>
                  <w:r>
                    <w:rPr>
                      <w:rFonts w:hint="eastAsia"/>
                      <w:color w:val="auto"/>
                    </w:rPr>
                    <w:t>HW21含铬废物</w:t>
                  </w:r>
                </w:p>
              </w:tc>
              <w:tc>
                <w:tcPr>
                  <w:tcW w:w="428" w:type="pct"/>
                  <w:vAlign w:val="center"/>
                </w:tcPr>
                <w:p w14:paraId="2142FE4E">
                  <w:pPr>
                    <w:pStyle w:val="65"/>
                    <w:rPr>
                      <w:color w:val="auto"/>
                    </w:rPr>
                  </w:pPr>
                  <w:r>
                    <w:rPr>
                      <w:rFonts w:hint="eastAsia"/>
                      <w:color w:val="auto"/>
                    </w:rPr>
                    <w:t>398-002-21</w:t>
                  </w:r>
                </w:p>
              </w:tc>
              <w:tc>
                <w:tcPr>
                  <w:tcW w:w="964" w:type="pct"/>
                  <w:vAlign w:val="center"/>
                </w:tcPr>
                <w:p w14:paraId="7C1E6D2F">
                  <w:pPr>
                    <w:pStyle w:val="65"/>
                    <w:rPr>
                      <w:color w:val="auto"/>
                    </w:rPr>
                  </w:pPr>
                  <w:r>
                    <w:rPr>
                      <w:rFonts w:hint="eastAsia"/>
                      <w:color w:val="auto"/>
                    </w:rPr>
                    <w:t>使用铬酸进行钻孔除胶处理产生的废渣和废水处理污泥</w:t>
                  </w:r>
                </w:p>
              </w:tc>
              <w:tc>
                <w:tcPr>
                  <w:tcW w:w="247" w:type="pct"/>
                  <w:vAlign w:val="center"/>
                </w:tcPr>
                <w:p w14:paraId="576F3038">
                  <w:pPr>
                    <w:pStyle w:val="65"/>
                    <w:rPr>
                      <w:color w:val="auto"/>
                    </w:rPr>
                  </w:pPr>
                  <w:r>
                    <w:rPr>
                      <w:rFonts w:hint="eastAsia"/>
                      <w:color w:val="auto"/>
                    </w:rPr>
                    <w:t>2</w:t>
                  </w:r>
                </w:p>
              </w:tc>
              <w:tc>
                <w:tcPr>
                  <w:tcW w:w="247" w:type="pct"/>
                  <w:vAlign w:val="center"/>
                </w:tcPr>
                <w:p w14:paraId="2B87CBBB">
                  <w:pPr>
                    <w:pStyle w:val="65"/>
                    <w:rPr>
                      <w:color w:val="auto"/>
                    </w:rPr>
                  </w:pPr>
                  <w:r>
                    <w:rPr>
                      <w:rFonts w:hint="eastAsia"/>
                      <w:color w:val="auto"/>
                    </w:rPr>
                    <w:t>100</w:t>
                  </w:r>
                </w:p>
              </w:tc>
              <w:tc>
                <w:tcPr>
                  <w:tcW w:w="220" w:type="pct"/>
                  <w:vAlign w:val="center"/>
                </w:tcPr>
                <w:p w14:paraId="3A561D3E">
                  <w:pPr>
                    <w:pStyle w:val="65"/>
                    <w:rPr>
                      <w:color w:val="auto"/>
                    </w:rPr>
                  </w:pPr>
                  <w:r>
                    <w:rPr>
                      <w:rFonts w:hint="eastAsia"/>
                      <w:color w:val="auto"/>
                    </w:rPr>
                    <w:t>100</w:t>
                  </w:r>
                </w:p>
              </w:tc>
              <w:tc>
                <w:tcPr>
                  <w:tcW w:w="408" w:type="pct"/>
                  <w:shd w:val="clear" w:color="auto" w:fill="auto"/>
                  <w:vAlign w:val="center"/>
                </w:tcPr>
                <w:p w14:paraId="58091D71">
                  <w:pPr>
                    <w:pStyle w:val="65"/>
                    <w:rPr>
                      <w:rFonts w:hint="eastAsia" w:ascii="Times New Roman" w:hAnsi="Times New Roman" w:eastAsia="宋体" w:cs="Times New Roman"/>
                      <w:bCs/>
                      <w:color w:val="auto"/>
                      <w:sz w:val="21"/>
                      <w:lang w:val="en-US" w:eastAsia="zh-CN" w:bidi="ar-SA"/>
                    </w:rPr>
                  </w:pPr>
                  <w:r>
                    <w:rPr>
                      <w:rFonts w:hint="eastAsia"/>
                      <w:color w:val="auto"/>
                    </w:rPr>
                    <w:t>HW21含铬废物</w:t>
                  </w:r>
                </w:p>
              </w:tc>
              <w:tc>
                <w:tcPr>
                  <w:tcW w:w="328" w:type="pct"/>
                  <w:shd w:val="clear" w:color="auto" w:fill="auto"/>
                  <w:vAlign w:val="center"/>
                </w:tcPr>
                <w:p w14:paraId="6D7320B9">
                  <w:pPr>
                    <w:pStyle w:val="65"/>
                    <w:rPr>
                      <w:rFonts w:hint="eastAsia" w:ascii="Times New Roman" w:hAnsi="Times New Roman" w:eastAsia="宋体" w:cs="Times New Roman"/>
                      <w:bCs/>
                      <w:color w:val="auto"/>
                      <w:sz w:val="21"/>
                      <w:lang w:val="en-US" w:eastAsia="zh-CN" w:bidi="ar-SA"/>
                    </w:rPr>
                  </w:pPr>
                  <w:r>
                    <w:rPr>
                      <w:rFonts w:hint="eastAsia"/>
                      <w:color w:val="auto"/>
                    </w:rPr>
                    <w:t>398-002-21</w:t>
                  </w:r>
                </w:p>
              </w:tc>
              <w:tc>
                <w:tcPr>
                  <w:tcW w:w="917" w:type="pct"/>
                  <w:shd w:val="clear" w:color="auto" w:fill="auto"/>
                  <w:vAlign w:val="center"/>
                </w:tcPr>
                <w:p w14:paraId="3DF3B135">
                  <w:pPr>
                    <w:pStyle w:val="65"/>
                    <w:rPr>
                      <w:rFonts w:hint="eastAsia" w:ascii="Times New Roman" w:hAnsi="Times New Roman" w:eastAsia="宋体" w:cs="Times New Roman"/>
                      <w:bCs/>
                      <w:color w:val="auto"/>
                      <w:sz w:val="21"/>
                      <w:lang w:val="en-US" w:eastAsia="zh-CN" w:bidi="ar-SA"/>
                    </w:rPr>
                  </w:pPr>
                  <w:r>
                    <w:rPr>
                      <w:rFonts w:hint="eastAsia"/>
                      <w:color w:val="auto"/>
                    </w:rPr>
                    <w:t>使用铬酸进行钻孔除胶处理产生的废渣和废水处理污泥</w:t>
                  </w:r>
                </w:p>
              </w:tc>
              <w:tc>
                <w:tcPr>
                  <w:tcW w:w="241" w:type="pct"/>
                  <w:shd w:val="clear" w:color="auto" w:fill="auto"/>
                  <w:vAlign w:val="center"/>
                </w:tcPr>
                <w:p w14:paraId="7538B6FE">
                  <w:pPr>
                    <w:pStyle w:val="65"/>
                    <w:rPr>
                      <w:rFonts w:hint="eastAsia" w:ascii="Times New Roman" w:hAnsi="Times New Roman" w:eastAsia="宋体" w:cs="Times New Roman"/>
                      <w:bCs/>
                      <w:color w:val="auto"/>
                      <w:sz w:val="21"/>
                      <w:lang w:val="en-US" w:eastAsia="zh-CN" w:bidi="ar-SA"/>
                    </w:rPr>
                  </w:pPr>
                  <w:r>
                    <w:rPr>
                      <w:rFonts w:hint="eastAsia"/>
                      <w:color w:val="auto"/>
                    </w:rPr>
                    <w:t>2</w:t>
                  </w:r>
                </w:p>
              </w:tc>
              <w:tc>
                <w:tcPr>
                  <w:tcW w:w="207" w:type="pct"/>
                  <w:shd w:val="clear" w:color="auto" w:fill="auto"/>
                  <w:vAlign w:val="center"/>
                </w:tcPr>
                <w:p w14:paraId="4AF939AA">
                  <w:pPr>
                    <w:pStyle w:val="65"/>
                    <w:rPr>
                      <w:rFonts w:hint="eastAsia" w:ascii="Times New Roman" w:hAnsi="Times New Roman" w:eastAsia="宋体" w:cs="Times New Roman"/>
                      <w:bCs/>
                      <w:color w:val="auto"/>
                      <w:sz w:val="21"/>
                      <w:lang w:val="en-US" w:eastAsia="zh-CN" w:bidi="ar-SA"/>
                    </w:rPr>
                  </w:pPr>
                  <w:r>
                    <w:rPr>
                      <w:rFonts w:hint="eastAsia"/>
                      <w:color w:val="auto"/>
                    </w:rPr>
                    <w:t>100</w:t>
                  </w:r>
                </w:p>
              </w:tc>
              <w:tc>
                <w:tcPr>
                  <w:tcW w:w="207" w:type="pct"/>
                  <w:shd w:val="clear" w:color="auto" w:fill="auto"/>
                  <w:vAlign w:val="center"/>
                </w:tcPr>
                <w:p w14:paraId="49378C88">
                  <w:pPr>
                    <w:pStyle w:val="65"/>
                    <w:rPr>
                      <w:rFonts w:hint="eastAsia" w:ascii="Times New Roman" w:hAnsi="Times New Roman" w:eastAsia="宋体" w:cs="Times New Roman"/>
                      <w:bCs/>
                      <w:color w:val="auto"/>
                      <w:sz w:val="21"/>
                      <w:lang w:val="en-US" w:eastAsia="zh-CN" w:bidi="ar-SA"/>
                    </w:rPr>
                  </w:pPr>
                  <w:r>
                    <w:rPr>
                      <w:rFonts w:hint="eastAsia"/>
                      <w:color w:val="auto"/>
                    </w:rPr>
                    <w:t>100</w:t>
                  </w:r>
                </w:p>
              </w:tc>
              <w:tc>
                <w:tcPr>
                  <w:tcW w:w="151" w:type="pct"/>
                  <w:shd w:val="clear" w:color="auto" w:fill="auto"/>
                  <w:vAlign w:val="center"/>
                </w:tcPr>
                <w:p w14:paraId="0BEA1C4D">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3CB5422A">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Align w:val="center"/>
                </w:tcPr>
                <w:p w14:paraId="4922936A">
                  <w:pPr>
                    <w:pStyle w:val="66"/>
                    <w:numPr>
                      <w:ilvl w:val="0"/>
                      <w:numId w:val="3"/>
                    </w:numPr>
                    <w:rPr>
                      <w:color w:val="auto"/>
                      <w:lang w:val="pt-BR"/>
                    </w:rPr>
                  </w:pPr>
                </w:p>
              </w:tc>
              <w:tc>
                <w:tcPr>
                  <w:tcW w:w="275" w:type="pct"/>
                  <w:vAlign w:val="center"/>
                </w:tcPr>
                <w:p w14:paraId="199E5DB6">
                  <w:pPr>
                    <w:pStyle w:val="65"/>
                    <w:rPr>
                      <w:color w:val="auto"/>
                    </w:rPr>
                  </w:pPr>
                  <w:r>
                    <w:rPr>
                      <w:rFonts w:hint="eastAsia"/>
                      <w:color w:val="auto"/>
                    </w:rPr>
                    <w:t>HW29含汞废物</w:t>
                  </w:r>
                </w:p>
              </w:tc>
              <w:tc>
                <w:tcPr>
                  <w:tcW w:w="428" w:type="pct"/>
                  <w:vAlign w:val="center"/>
                </w:tcPr>
                <w:p w14:paraId="62FC135C">
                  <w:pPr>
                    <w:pStyle w:val="65"/>
                    <w:rPr>
                      <w:color w:val="auto"/>
                    </w:rPr>
                  </w:pPr>
                  <w:r>
                    <w:rPr>
                      <w:rFonts w:hint="eastAsia"/>
                      <w:color w:val="auto"/>
                    </w:rPr>
                    <w:t>900-023-29</w:t>
                  </w:r>
                </w:p>
              </w:tc>
              <w:tc>
                <w:tcPr>
                  <w:tcW w:w="964" w:type="pct"/>
                  <w:vAlign w:val="center"/>
                </w:tcPr>
                <w:p w14:paraId="7FEE20AE">
                  <w:pPr>
                    <w:pStyle w:val="65"/>
                    <w:rPr>
                      <w:color w:val="auto"/>
                    </w:rPr>
                  </w:pPr>
                  <w:r>
                    <w:rPr>
                      <w:rFonts w:hint="eastAsia"/>
                      <w:color w:val="auto"/>
                    </w:rPr>
                    <w:t>生产、销售及使用过程中产生的废含汞荧光灯管及其他废含汞电光源，及废弃含汞电光源处理处置过程中产生的废荧光粉、废活性炭和废水处理污泥</w:t>
                  </w:r>
                </w:p>
              </w:tc>
              <w:tc>
                <w:tcPr>
                  <w:tcW w:w="247" w:type="pct"/>
                  <w:vAlign w:val="center"/>
                </w:tcPr>
                <w:p w14:paraId="2FA3560B">
                  <w:pPr>
                    <w:pStyle w:val="65"/>
                    <w:rPr>
                      <w:color w:val="auto"/>
                    </w:rPr>
                  </w:pPr>
                  <w:r>
                    <w:rPr>
                      <w:rFonts w:hint="eastAsia"/>
                      <w:color w:val="auto"/>
                    </w:rPr>
                    <w:t>2</w:t>
                  </w:r>
                </w:p>
              </w:tc>
              <w:tc>
                <w:tcPr>
                  <w:tcW w:w="247" w:type="pct"/>
                  <w:vAlign w:val="center"/>
                </w:tcPr>
                <w:p w14:paraId="46DDCACC">
                  <w:pPr>
                    <w:pStyle w:val="65"/>
                    <w:rPr>
                      <w:color w:val="auto"/>
                    </w:rPr>
                  </w:pPr>
                  <w:r>
                    <w:rPr>
                      <w:rFonts w:hint="eastAsia"/>
                      <w:color w:val="auto"/>
                    </w:rPr>
                    <w:t>100</w:t>
                  </w:r>
                </w:p>
              </w:tc>
              <w:tc>
                <w:tcPr>
                  <w:tcW w:w="220" w:type="pct"/>
                  <w:vAlign w:val="center"/>
                </w:tcPr>
                <w:p w14:paraId="0617F54E">
                  <w:pPr>
                    <w:pStyle w:val="65"/>
                    <w:rPr>
                      <w:color w:val="auto"/>
                    </w:rPr>
                  </w:pPr>
                  <w:r>
                    <w:rPr>
                      <w:rFonts w:hint="eastAsia"/>
                      <w:color w:val="auto"/>
                    </w:rPr>
                    <w:t>100</w:t>
                  </w:r>
                </w:p>
              </w:tc>
              <w:tc>
                <w:tcPr>
                  <w:tcW w:w="408" w:type="pct"/>
                  <w:shd w:val="clear" w:color="auto" w:fill="auto"/>
                  <w:vAlign w:val="center"/>
                </w:tcPr>
                <w:p w14:paraId="66B87F02">
                  <w:pPr>
                    <w:pStyle w:val="65"/>
                    <w:rPr>
                      <w:rFonts w:hint="eastAsia" w:ascii="Times New Roman" w:hAnsi="Times New Roman" w:eastAsia="宋体" w:cs="Times New Roman"/>
                      <w:bCs/>
                      <w:color w:val="auto"/>
                      <w:sz w:val="21"/>
                      <w:lang w:val="en-US" w:eastAsia="zh-CN" w:bidi="ar-SA"/>
                    </w:rPr>
                  </w:pPr>
                  <w:r>
                    <w:rPr>
                      <w:rFonts w:hint="eastAsia"/>
                      <w:color w:val="auto"/>
                    </w:rPr>
                    <w:t>HW29含汞废物</w:t>
                  </w:r>
                </w:p>
              </w:tc>
              <w:tc>
                <w:tcPr>
                  <w:tcW w:w="328" w:type="pct"/>
                  <w:shd w:val="clear" w:color="auto" w:fill="auto"/>
                  <w:vAlign w:val="center"/>
                </w:tcPr>
                <w:p w14:paraId="7B986AB7">
                  <w:pPr>
                    <w:pStyle w:val="65"/>
                    <w:rPr>
                      <w:rFonts w:hint="eastAsia" w:ascii="Times New Roman" w:hAnsi="Times New Roman" w:eastAsia="宋体" w:cs="Times New Roman"/>
                      <w:bCs/>
                      <w:color w:val="auto"/>
                      <w:sz w:val="21"/>
                      <w:lang w:val="en-US" w:eastAsia="zh-CN" w:bidi="ar-SA"/>
                    </w:rPr>
                  </w:pPr>
                  <w:r>
                    <w:rPr>
                      <w:rFonts w:hint="eastAsia"/>
                      <w:color w:val="auto"/>
                    </w:rPr>
                    <w:t>900-023-29</w:t>
                  </w:r>
                </w:p>
              </w:tc>
              <w:tc>
                <w:tcPr>
                  <w:tcW w:w="917" w:type="pct"/>
                  <w:shd w:val="clear" w:color="auto" w:fill="auto"/>
                  <w:vAlign w:val="center"/>
                </w:tcPr>
                <w:p w14:paraId="3515E7D6">
                  <w:pPr>
                    <w:pStyle w:val="65"/>
                    <w:rPr>
                      <w:rFonts w:hint="eastAsia" w:ascii="Times New Roman" w:hAnsi="Times New Roman" w:eastAsia="宋体" w:cs="Times New Roman"/>
                      <w:bCs/>
                      <w:color w:val="auto"/>
                      <w:sz w:val="21"/>
                      <w:lang w:val="en-US" w:eastAsia="zh-CN" w:bidi="ar-SA"/>
                    </w:rPr>
                  </w:pPr>
                  <w:r>
                    <w:rPr>
                      <w:rFonts w:hint="eastAsia"/>
                      <w:color w:val="auto"/>
                    </w:rPr>
                    <w:t>生产、销售及使用过程中产生的废含汞荧光灯管及其他废含汞电光源，及废弃含汞电光源处理处置过程中产生的废荧光粉、废活性炭和废水处理污泥</w:t>
                  </w:r>
                </w:p>
              </w:tc>
              <w:tc>
                <w:tcPr>
                  <w:tcW w:w="241" w:type="pct"/>
                  <w:shd w:val="clear" w:color="auto" w:fill="auto"/>
                  <w:vAlign w:val="center"/>
                </w:tcPr>
                <w:p w14:paraId="13EB24D8">
                  <w:pPr>
                    <w:pStyle w:val="65"/>
                    <w:rPr>
                      <w:rFonts w:hint="eastAsia" w:ascii="Times New Roman" w:hAnsi="Times New Roman" w:eastAsia="宋体" w:cs="Times New Roman"/>
                      <w:bCs/>
                      <w:color w:val="auto"/>
                      <w:sz w:val="21"/>
                      <w:lang w:val="en-US" w:eastAsia="zh-CN" w:bidi="ar-SA"/>
                    </w:rPr>
                  </w:pPr>
                  <w:r>
                    <w:rPr>
                      <w:rFonts w:hint="eastAsia"/>
                      <w:color w:val="auto"/>
                    </w:rPr>
                    <w:t>2</w:t>
                  </w:r>
                </w:p>
              </w:tc>
              <w:tc>
                <w:tcPr>
                  <w:tcW w:w="207" w:type="pct"/>
                  <w:shd w:val="clear" w:color="auto" w:fill="auto"/>
                  <w:vAlign w:val="center"/>
                </w:tcPr>
                <w:p w14:paraId="2D1D5256">
                  <w:pPr>
                    <w:pStyle w:val="65"/>
                    <w:rPr>
                      <w:rFonts w:hint="eastAsia" w:ascii="Times New Roman" w:hAnsi="Times New Roman" w:eastAsia="宋体" w:cs="Times New Roman"/>
                      <w:bCs/>
                      <w:color w:val="auto"/>
                      <w:sz w:val="21"/>
                      <w:lang w:val="en-US" w:eastAsia="zh-CN" w:bidi="ar-SA"/>
                    </w:rPr>
                  </w:pPr>
                  <w:r>
                    <w:rPr>
                      <w:rFonts w:hint="eastAsia"/>
                      <w:color w:val="auto"/>
                    </w:rPr>
                    <w:t>100</w:t>
                  </w:r>
                </w:p>
              </w:tc>
              <w:tc>
                <w:tcPr>
                  <w:tcW w:w="207" w:type="pct"/>
                  <w:shd w:val="clear" w:color="auto" w:fill="auto"/>
                  <w:vAlign w:val="center"/>
                </w:tcPr>
                <w:p w14:paraId="44F70E49">
                  <w:pPr>
                    <w:pStyle w:val="65"/>
                    <w:rPr>
                      <w:rFonts w:hint="eastAsia" w:ascii="Times New Roman" w:hAnsi="Times New Roman" w:eastAsia="宋体" w:cs="Times New Roman"/>
                      <w:bCs/>
                      <w:color w:val="auto"/>
                      <w:sz w:val="21"/>
                      <w:lang w:val="en-US" w:eastAsia="zh-CN" w:bidi="ar-SA"/>
                    </w:rPr>
                  </w:pPr>
                  <w:r>
                    <w:rPr>
                      <w:rFonts w:hint="eastAsia"/>
                      <w:color w:val="auto"/>
                    </w:rPr>
                    <w:t>100</w:t>
                  </w:r>
                </w:p>
              </w:tc>
              <w:tc>
                <w:tcPr>
                  <w:tcW w:w="151" w:type="pct"/>
                  <w:shd w:val="clear" w:color="auto" w:fill="auto"/>
                  <w:vAlign w:val="center"/>
                </w:tcPr>
                <w:p w14:paraId="391F4BF4">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475D982B">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7BB109E8">
                  <w:pPr>
                    <w:pStyle w:val="66"/>
                    <w:numPr>
                      <w:ilvl w:val="0"/>
                      <w:numId w:val="3"/>
                    </w:numPr>
                    <w:rPr>
                      <w:color w:val="auto"/>
                      <w:lang w:val="pt-BR"/>
                    </w:rPr>
                  </w:pPr>
                </w:p>
              </w:tc>
              <w:tc>
                <w:tcPr>
                  <w:tcW w:w="275" w:type="pct"/>
                  <w:vMerge w:val="restart"/>
                  <w:vAlign w:val="center"/>
                </w:tcPr>
                <w:p w14:paraId="01401AAE">
                  <w:pPr>
                    <w:pStyle w:val="65"/>
                    <w:rPr>
                      <w:color w:val="auto"/>
                    </w:rPr>
                  </w:pPr>
                  <w:r>
                    <w:rPr>
                      <w:rFonts w:hint="eastAsia"/>
                      <w:color w:val="auto"/>
                    </w:rPr>
                    <w:t>HW36石棉废物</w:t>
                  </w:r>
                </w:p>
              </w:tc>
              <w:tc>
                <w:tcPr>
                  <w:tcW w:w="428" w:type="pct"/>
                  <w:vAlign w:val="center"/>
                </w:tcPr>
                <w:p w14:paraId="365F8C3D">
                  <w:pPr>
                    <w:pStyle w:val="65"/>
                    <w:rPr>
                      <w:color w:val="auto"/>
                    </w:rPr>
                  </w:pPr>
                  <w:r>
                    <w:rPr>
                      <w:rFonts w:hint="eastAsia"/>
                      <w:color w:val="auto"/>
                    </w:rPr>
                    <w:t>900-030-36</w:t>
                  </w:r>
                </w:p>
              </w:tc>
              <w:tc>
                <w:tcPr>
                  <w:tcW w:w="964" w:type="pct"/>
                  <w:vAlign w:val="center"/>
                </w:tcPr>
                <w:p w14:paraId="7A1AA5EE">
                  <w:pPr>
                    <w:pStyle w:val="65"/>
                    <w:rPr>
                      <w:color w:val="auto"/>
                    </w:rPr>
                  </w:pPr>
                  <w:r>
                    <w:rPr>
                      <w:rFonts w:hint="eastAsia"/>
                      <w:color w:val="auto"/>
                    </w:rPr>
                    <w:t>其他生产过程中产生的石棉废物</w:t>
                  </w:r>
                </w:p>
              </w:tc>
              <w:tc>
                <w:tcPr>
                  <w:tcW w:w="247" w:type="pct"/>
                  <w:vAlign w:val="center"/>
                </w:tcPr>
                <w:p w14:paraId="03F8C52F">
                  <w:pPr>
                    <w:pStyle w:val="65"/>
                    <w:rPr>
                      <w:color w:val="auto"/>
                    </w:rPr>
                  </w:pPr>
                  <w:r>
                    <w:rPr>
                      <w:color w:val="auto"/>
                    </w:rPr>
                    <w:t>2.5</w:t>
                  </w:r>
                </w:p>
              </w:tc>
              <w:tc>
                <w:tcPr>
                  <w:tcW w:w="247" w:type="pct"/>
                  <w:vAlign w:val="center"/>
                </w:tcPr>
                <w:p w14:paraId="2EFC2691">
                  <w:pPr>
                    <w:pStyle w:val="65"/>
                    <w:rPr>
                      <w:color w:val="auto"/>
                    </w:rPr>
                  </w:pPr>
                  <w:r>
                    <w:rPr>
                      <w:color w:val="auto"/>
                    </w:rPr>
                    <w:t>120</w:t>
                  </w:r>
                </w:p>
              </w:tc>
              <w:tc>
                <w:tcPr>
                  <w:tcW w:w="220" w:type="pct"/>
                  <w:vMerge w:val="restart"/>
                  <w:vAlign w:val="center"/>
                </w:tcPr>
                <w:p w14:paraId="2359405C">
                  <w:pPr>
                    <w:pStyle w:val="65"/>
                    <w:rPr>
                      <w:color w:val="auto"/>
                    </w:rPr>
                  </w:pPr>
                  <w:r>
                    <w:rPr>
                      <w:rFonts w:hint="eastAsia"/>
                      <w:color w:val="auto"/>
                    </w:rPr>
                    <w:t>360</w:t>
                  </w:r>
                </w:p>
              </w:tc>
              <w:tc>
                <w:tcPr>
                  <w:tcW w:w="408" w:type="pct"/>
                  <w:vMerge w:val="restart"/>
                  <w:shd w:val="clear" w:color="auto" w:fill="auto"/>
                  <w:vAlign w:val="center"/>
                </w:tcPr>
                <w:p w14:paraId="06A9F45B">
                  <w:pPr>
                    <w:pStyle w:val="65"/>
                    <w:rPr>
                      <w:rFonts w:hint="eastAsia" w:ascii="Times New Roman" w:hAnsi="Times New Roman" w:eastAsia="宋体" w:cs="Times New Roman"/>
                      <w:bCs/>
                      <w:color w:val="auto"/>
                      <w:sz w:val="21"/>
                      <w:lang w:val="en-US" w:eastAsia="zh-CN" w:bidi="ar-SA"/>
                    </w:rPr>
                  </w:pPr>
                  <w:r>
                    <w:rPr>
                      <w:rFonts w:hint="eastAsia"/>
                      <w:color w:val="auto"/>
                    </w:rPr>
                    <w:t>HW36石棉废物</w:t>
                  </w:r>
                </w:p>
              </w:tc>
              <w:tc>
                <w:tcPr>
                  <w:tcW w:w="328" w:type="pct"/>
                  <w:shd w:val="clear" w:color="auto" w:fill="auto"/>
                  <w:vAlign w:val="center"/>
                </w:tcPr>
                <w:p w14:paraId="638FE2A5">
                  <w:pPr>
                    <w:pStyle w:val="65"/>
                    <w:rPr>
                      <w:rFonts w:hint="eastAsia" w:ascii="Times New Roman" w:hAnsi="Times New Roman" w:eastAsia="宋体" w:cs="Times New Roman"/>
                      <w:bCs/>
                      <w:color w:val="auto"/>
                      <w:sz w:val="21"/>
                      <w:lang w:val="en-US" w:eastAsia="zh-CN" w:bidi="ar-SA"/>
                    </w:rPr>
                  </w:pPr>
                  <w:r>
                    <w:rPr>
                      <w:rFonts w:hint="eastAsia"/>
                      <w:color w:val="auto"/>
                    </w:rPr>
                    <w:t>900-030-36</w:t>
                  </w:r>
                </w:p>
              </w:tc>
              <w:tc>
                <w:tcPr>
                  <w:tcW w:w="917" w:type="pct"/>
                  <w:shd w:val="clear" w:color="auto" w:fill="auto"/>
                  <w:vAlign w:val="center"/>
                </w:tcPr>
                <w:p w14:paraId="2B6A25CA">
                  <w:pPr>
                    <w:pStyle w:val="65"/>
                    <w:rPr>
                      <w:rFonts w:hint="eastAsia" w:ascii="Times New Roman" w:hAnsi="Times New Roman" w:eastAsia="宋体" w:cs="Times New Roman"/>
                      <w:bCs/>
                      <w:color w:val="auto"/>
                      <w:sz w:val="21"/>
                      <w:lang w:val="en-US" w:eastAsia="zh-CN" w:bidi="ar-SA"/>
                    </w:rPr>
                  </w:pPr>
                  <w:r>
                    <w:rPr>
                      <w:rFonts w:hint="eastAsia"/>
                      <w:color w:val="auto"/>
                    </w:rPr>
                    <w:t>其他生产过程中产生的石棉废物</w:t>
                  </w:r>
                </w:p>
              </w:tc>
              <w:tc>
                <w:tcPr>
                  <w:tcW w:w="241" w:type="pct"/>
                  <w:shd w:val="clear" w:color="auto" w:fill="auto"/>
                  <w:vAlign w:val="center"/>
                </w:tcPr>
                <w:p w14:paraId="3D5B4ADF">
                  <w:pPr>
                    <w:pStyle w:val="65"/>
                    <w:rPr>
                      <w:rFonts w:hint="eastAsia" w:ascii="Times New Roman" w:hAnsi="Times New Roman" w:eastAsia="宋体" w:cs="Times New Roman"/>
                      <w:bCs/>
                      <w:color w:val="auto"/>
                      <w:sz w:val="21"/>
                      <w:lang w:val="en-US" w:eastAsia="zh-CN" w:bidi="ar-SA"/>
                    </w:rPr>
                  </w:pPr>
                  <w:r>
                    <w:rPr>
                      <w:color w:val="auto"/>
                    </w:rPr>
                    <w:t>2.5</w:t>
                  </w:r>
                </w:p>
              </w:tc>
              <w:tc>
                <w:tcPr>
                  <w:tcW w:w="207" w:type="pct"/>
                  <w:shd w:val="clear" w:color="auto" w:fill="auto"/>
                  <w:vAlign w:val="center"/>
                </w:tcPr>
                <w:p w14:paraId="4D587A8B">
                  <w:pPr>
                    <w:pStyle w:val="65"/>
                    <w:rPr>
                      <w:rFonts w:hint="eastAsia" w:ascii="Times New Roman" w:hAnsi="Times New Roman" w:eastAsia="宋体" w:cs="Times New Roman"/>
                      <w:bCs/>
                      <w:color w:val="auto"/>
                      <w:sz w:val="21"/>
                      <w:lang w:val="en-US" w:eastAsia="zh-CN" w:bidi="ar-SA"/>
                    </w:rPr>
                  </w:pPr>
                  <w:r>
                    <w:rPr>
                      <w:color w:val="auto"/>
                    </w:rPr>
                    <w:t>120</w:t>
                  </w:r>
                </w:p>
              </w:tc>
              <w:tc>
                <w:tcPr>
                  <w:tcW w:w="207" w:type="pct"/>
                  <w:vMerge w:val="restart"/>
                  <w:vAlign w:val="center"/>
                </w:tcPr>
                <w:p w14:paraId="1C709DB9">
                  <w:pPr>
                    <w:pStyle w:val="65"/>
                    <w:rPr>
                      <w:rFonts w:hint="default" w:eastAsia="宋体"/>
                      <w:color w:val="auto"/>
                      <w:lang w:val="en-US" w:eastAsia="zh-CN"/>
                    </w:rPr>
                  </w:pPr>
                  <w:r>
                    <w:rPr>
                      <w:rFonts w:hint="eastAsia"/>
                      <w:color w:val="auto"/>
                      <w:lang w:val="en-US" w:eastAsia="zh-CN"/>
                    </w:rPr>
                    <w:t>360</w:t>
                  </w:r>
                </w:p>
              </w:tc>
              <w:tc>
                <w:tcPr>
                  <w:tcW w:w="151" w:type="pct"/>
                  <w:shd w:val="clear" w:color="auto" w:fill="auto"/>
                  <w:vAlign w:val="center"/>
                </w:tcPr>
                <w:p w14:paraId="1F7F045E">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7AD06218">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12F7D758">
                  <w:pPr>
                    <w:pStyle w:val="66"/>
                    <w:rPr>
                      <w:color w:val="auto"/>
                      <w:lang w:val="pt-BR"/>
                    </w:rPr>
                  </w:pPr>
                </w:p>
              </w:tc>
              <w:tc>
                <w:tcPr>
                  <w:tcW w:w="275" w:type="pct"/>
                  <w:vMerge w:val="continue"/>
                  <w:vAlign w:val="center"/>
                </w:tcPr>
                <w:p w14:paraId="307F179F">
                  <w:pPr>
                    <w:pStyle w:val="65"/>
                    <w:rPr>
                      <w:color w:val="auto"/>
                    </w:rPr>
                  </w:pPr>
                </w:p>
              </w:tc>
              <w:tc>
                <w:tcPr>
                  <w:tcW w:w="428" w:type="pct"/>
                  <w:vAlign w:val="center"/>
                </w:tcPr>
                <w:p w14:paraId="4CA67F05">
                  <w:pPr>
                    <w:pStyle w:val="65"/>
                    <w:rPr>
                      <w:color w:val="auto"/>
                    </w:rPr>
                  </w:pPr>
                  <w:r>
                    <w:rPr>
                      <w:rFonts w:hint="eastAsia"/>
                      <w:color w:val="auto"/>
                    </w:rPr>
                    <w:t>900-031-36</w:t>
                  </w:r>
                </w:p>
              </w:tc>
              <w:tc>
                <w:tcPr>
                  <w:tcW w:w="964" w:type="pct"/>
                  <w:vAlign w:val="center"/>
                </w:tcPr>
                <w:p w14:paraId="0FB4CB98">
                  <w:pPr>
                    <w:pStyle w:val="65"/>
                    <w:rPr>
                      <w:color w:val="auto"/>
                    </w:rPr>
                  </w:pPr>
                  <w:r>
                    <w:rPr>
                      <w:rFonts w:hint="eastAsia"/>
                      <w:color w:val="auto"/>
                    </w:rPr>
                    <w:t>废石棉建材、废石棉绝缘材料</w:t>
                  </w:r>
                </w:p>
              </w:tc>
              <w:tc>
                <w:tcPr>
                  <w:tcW w:w="247" w:type="pct"/>
                  <w:vAlign w:val="center"/>
                </w:tcPr>
                <w:p w14:paraId="68B4E4CB">
                  <w:pPr>
                    <w:pStyle w:val="65"/>
                    <w:rPr>
                      <w:color w:val="auto"/>
                    </w:rPr>
                  </w:pPr>
                  <w:r>
                    <w:rPr>
                      <w:color w:val="auto"/>
                    </w:rPr>
                    <w:t>2.5</w:t>
                  </w:r>
                </w:p>
              </w:tc>
              <w:tc>
                <w:tcPr>
                  <w:tcW w:w="247" w:type="pct"/>
                  <w:vAlign w:val="center"/>
                </w:tcPr>
                <w:p w14:paraId="1AAB34A8">
                  <w:pPr>
                    <w:pStyle w:val="65"/>
                    <w:rPr>
                      <w:color w:val="auto"/>
                    </w:rPr>
                  </w:pPr>
                  <w:r>
                    <w:rPr>
                      <w:color w:val="auto"/>
                    </w:rPr>
                    <w:t>120</w:t>
                  </w:r>
                </w:p>
              </w:tc>
              <w:tc>
                <w:tcPr>
                  <w:tcW w:w="220" w:type="pct"/>
                  <w:vMerge w:val="continue"/>
                  <w:vAlign w:val="center"/>
                </w:tcPr>
                <w:p w14:paraId="00B6270E">
                  <w:pPr>
                    <w:pStyle w:val="65"/>
                    <w:rPr>
                      <w:color w:val="auto"/>
                    </w:rPr>
                  </w:pPr>
                </w:p>
              </w:tc>
              <w:tc>
                <w:tcPr>
                  <w:tcW w:w="408" w:type="pct"/>
                  <w:vMerge w:val="continue"/>
                  <w:vAlign w:val="center"/>
                </w:tcPr>
                <w:p w14:paraId="678E971E">
                  <w:pPr>
                    <w:pStyle w:val="65"/>
                    <w:rPr>
                      <w:color w:val="auto"/>
                    </w:rPr>
                  </w:pPr>
                </w:p>
              </w:tc>
              <w:tc>
                <w:tcPr>
                  <w:tcW w:w="328" w:type="pct"/>
                  <w:shd w:val="clear" w:color="auto" w:fill="auto"/>
                  <w:vAlign w:val="center"/>
                </w:tcPr>
                <w:p w14:paraId="1D3B2136">
                  <w:pPr>
                    <w:pStyle w:val="65"/>
                    <w:rPr>
                      <w:rFonts w:ascii="Times New Roman" w:hAnsi="Times New Roman" w:eastAsia="宋体" w:cs="Times New Roman"/>
                      <w:bCs/>
                      <w:color w:val="auto"/>
                      <w:sz w:val="21"/>
                      <w:lang w:val="en-US" w:eastAsia="zh-CN" w:bidi="ar-SA"/>
                    </w:rPr>
                  </w:pPr>
                  <w:r>
                    <w:rPr>
                      <w:rFonts w:hint="eastAsia"/>
                      <w:color w:val="auto"/>
                    </w:rPr>
                    <w:t>900-031-36</w:t>
                  </w:r>
                </w:p>
              </w:tc>
              <w:tc>
                <w:tcPr>
                  <w:tcW w:w="917" w:type="pct"/>
                  <w:shd w:val="clear" w:color="auto" w:fill="auto"/>
                  <w:vAlign w:val="center"/>
                </w:tcPr>
                <w:p w14:paraId="25EF356F">
                  <w:pPr>
                    <w:pStyle w:val="65"/>
                    <w:rPr>
                      <w:rFonts w:ascii="Times New Roman" w:hAnsi="Times New Roman" w:eastAsia="宋体" w:cs="Times New Roman"/>
                      <w:bCs/>
                      <w:color w:val="auto"/>
                      <w:sz w:val="21"/>
                      <w:lang w:val="en-US" w:eastAsia="zh-CN" w:bidi="ar-SA"/>
                    </w:rPr>
                  </w:pPr>
                  <w:r>
                    <w:rPr>
                      <w:rFonts w:hint="eastAsia"/>
                      <w:color w:val="auto"/>
                    </w:rPr>
                    <w:t>废石棉建材、废石棉绝缘材料</w:t>
                  </w:r>
                </w:p>
              </w:tc>
              <w:tc>
                <w:tcPr>
                  <w:tcW w:w="241" w:type="pct"/>
                  <w:shd w:val="clear" w:color="auto" w:fill="auto"/>
                  <w:vAlign w:val="center"/>
                </w:tcPr>
                <w:p w14:paraId="0C564F26">
                  <w:pPr>
                    <w:pStyle w:val="65"/>
                    <w:rPr>
                      <w:rFonts w:ascii="Times New Roman" w:hAnsi="Times New Roman" w:eastAsia="宋体" w:cs="Times New Roman"/>
                      <w:bCs/>
                      <w:color w:val="auto"/>
                      <w:sz w:val="21"/>
                      <w:lang w:val="en-US" w:eastAsia="zh-CN" w:bidi="ar-SA"/>
                    </w:rPr>
                  </w:pPr>
                  <w:r>
                    <w:rPr>
                      <w:color w:val="auto"/>
                    </w:rPr>
                    <w:t>2.5</w:t>
                  </w:r>
                </w:p>
              </w:tc>
              <w:tc>
                <w:tcPr>
                  <w:tcW w:w="207" w:type="pct"/>
                  <w:shd w:val="clear" w:color="auto" w:fill="auto"/>
                  <w:vAlign w:val="center"/>
                </w:tcPr>
                <w:p w14:paraId="61E71AF5">
                  <w:pPr>
                    <w:pStyle w:val="65"/>
                    <w:rPr>
                      <w:rFonts w:ascii="Times New Roman" w:hAnsi="Times New Roman" w:eastAsia="宋体" w:cs="Times New Roman"/>
                      <w:bCs/>
                      <w:color w:val="auto"/>
                      <w:sz w:val="21"/>
                      <w:lang w:val="en-US" w:eastAsia="zh-CN" w:bidi="ar-SA"/>
                    </w:rPr>
                  </w:pPr>
                  <w:r>
                    <w:rPr>
                      <w:color w:val="auto"/>
                    </w:rPr>
                    <w:t>120</w:t>
                  </w:r>
                </w:p>
              </w:tc>
              <w:tc>
                <w:tcPr>
                  <w:tcW w:w="207" w:type="pct"/>
                  <w:vMerge w:val="continue"/>
                  <w:vAlign w:val="center"/>
                </w:tcPr>
                <w:p w14:paraId="4E2BD765">
                  <w:pPr>
                    <w:pStyle w:val="65"/>
                    <w:rPr>
                      <w:color w:val="auto"/>
                    </w:rPr>
                  </w:pPr>
                </w:p>
              </w:tc>
              <w:tc>
                <w:tcPr>
                  <w:tcW w:w="151" w:type="pct"/>
                  <w:shd w:val="clear" w:color="auto" w:fill="auto"/>
                  <w:vAlign w:val="center"/>
                </w:tcPr>
                <w:p w14:paraId="3DD1C122">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40805E96">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7B773B18">
                  <w:pPr>
                    <w:pStyle w:val="66"/>
                    <w:rPr>
                      <w:color w:val="auto"/>
                      <w:lang w:val="pt-BR"/>
                    </w:rPr>
                  </w:pPr>
                </w:p>
              </w:tc>
              <w:tc>
                <w:tcPr>
                  <w:tcW w:w="275" w:type="pct"/>
                  <w:vMerge w:val="continue"/>
                  <w:vAlign w:val="center"/>
                </w:tcPr>
                <w:p w14:paraId="73C9DD3A">
                  <w:pPr>
                    <w:pStyle w:val="65"/>
                    <w:rPr>
                      <w:color w:val="auto"/>
                    </w:rPr>
                  </w:pPr>
                </w:p>
              </w:tc>
              <w:tc>
                <w:tcPr>
                  <w:tcW w:w="428" w:type="pct"/>
                  <w:vAlign w:val="center"/>
                </w:tcPr>
                <w:p w14:paraId="7CD2BD6C">
                  <w:pPr>
                    <w:pStyle w:val="65"/>
                    <w:rPr>
                      <w:color w:val="auto"/>
                    </w:rPr>
                  </w:pPr>
                  <w:r>
                    <w:rPr>
                      <w:rFonts w:hint="eastAsia"/>
                      <w:color w:val="auto"/>
                    </w:rPr>
                    <w:t>900-032-36</w:t>
                  </w:r>
                </w:p>
              </w:tc>
              <w:tc>
                <w:tcPr>
                  <w:tcW w:w="964" w:type="pct"/>
                  <w:vAlign w:val="center"/>
                </w:tcPr>
                <w:p w14:paraId="222C5012">
                  <w:pPr>
                    <w:pStyle w:val="65"/>
                    <w:rPr>
                      <w:color w:val="auto"/>
                    </w:rPr>
                  </w:pPr>
                  <w:r>
                    <w:rPr>
                      <w:rFonts w:hint="eastAsia"/>
                      <w:color w:val="auto"/>
                    </w:rPr>
                    <w:t>含有隔膜、热绝缘体等石棉材料的设施保养拆换及车辆制动器衬片的更换产生的石棉废物</w:t>
                  </w:r>
                </w:p>
              </w:tc>
              <w:tc>
                <w:tcPr>
                  <w:tcW w:w="247" w:type="pct"/>
                  <w:vAlign w:val="center"/>
                </w:tcPr>
                <w:p w14:paraId="0490D2AF">
                  <w:pPr>
                    <w:pStyle w:val="65"/>
                    <w:rPr>
                      <w:color w:val="auto"/>
                    </w:rPr>
                  </w:pPr>
                  <w:r>
                    <w:rPr>
                      <w:color w:val="auto"/>
                    </w:rPr>
                    <w:t>2.5</w:t>
                  </w:r>
                </w:p>
              </w:tc>
              <w:tc>
                <w:tcPr>
                  <w:tcW w:w="247" w:type="pct"/>
                  <w:vAlign w:val="center"/>
                </w:tcPr>
                <w:p w14:paraId="260973A6">
                  <w:pPr>
                    <w:pStyle w:val="65"/>
                    <w:rPr>
                      <w:color w:val="auto"/>
                    </w:rPr>
                  </w:pPr>
                  <w:r>
                    <w:rPr>
                      <w:color w:val="auto"/>
                    </w:rPr>
                    <w:t>120</w:t>
                  </w:r>
                </w:p>
              </w:tc>
              <w:tc>
                <w:tcPr>
                  <w:tcW w:w="220" w:type="pct"/>
                  <w:vMerge w:val="continue"/>
                  <w:vAlign w:val="center"/>
                </w:tcPr>
                <w:p w14:paraId="3D2CAEDF">
                  <w:pPr>
                    <w:pStyle w:val="65"/>
                    <w:rPr>
                      <w:color w:val="auto"/>
                    </w:rPr>
                  </w:pPr>
                </w:p>
              </w:tc>
              <w:tc>
                <w:tcPr>
                  <w:tcW w:w="408" w:type="pct"/>
                  <w:vMerge w:val="continue"/>
                  <w:vAlign w:val="center"/>
                </w:tcPr>
                <w:p w14:paraId="67840053">
                  <w:pPr>
                    <w:pStyle w:val="65"/>
                    <w:rPr>
                      <w:color w:val="auto"/>
                    </w:rPr>
                  </w:pPr>
                </w:p>
              </w:tc>
              <w:tc>
                <w:tcPr>
                  <w:tcW w:w="328" w:type="pct"/>
                  <w:shd w:val="clear" w:color="auto" w:fill="auto"/>
                  <w:vAlign w:val="center"/>
                </w:tcPr>
                <w:p w14:paraId="2D0D065B">
                  <w:pPr>
                    <w:pStyle w:val="65"/>
                    <w:rPr>
                      <w:rFonts w:ascii="Times New Roman" w:hAnsi="Times New Roman" w:eastAsia="宋体" w:cs="Times New Roman"/>
                      <w:bCs/>
                      <w:color w:val="auto"/>
                      <w:sz w:val="21"/>
                      <w:lang w:val="en-US" w:eastAsia="zh-CN" w:bidi="ar-SA"/>
                    </w:rPr>
                  </w:pPr>
                  <w:r>
                    <w:rPr>
                      <w:rFonts w:hint="eastAsia"/>
                      <w:color w:val="auto"/>
                    </w:rPr>
                    <w:t>900-032-36</w:t>
                  </w:r>
                </w:p>
              </w:tc>
              <w:tc>
                <w:tcPr>
                  <w:tcW w:w="917" w:type="pct"/>
                  <w:shd w:val="clear" w:color="auto" w:fill="auto"/>
                  <w:vAlign w:val="center"/>
                </w:tcPr>
                <w:p w14:paraId="76136AB3">
                  <w:pPr>
                    <w:pStyle w:val="65"/>
                    <w:rPr>
                      <w:rFonts w:ascii="Times New Roman" w:hAnsi="Times New Roman" w:eastAsia="宋体" w:cs="Times New Roman"/>
                      <w:bCs/>
                      <w:color w:val="auto"/>
                      <w:sz w:val="21"/>
                      <w:lang w:val="en-US" w:eastAsia="zh-CN" w:bidi="ar-SA"/>
                    </w:rPr>
                  </w:pPr>
                  <w:r>
                    <w:rPr>
                      <w:rFonts w:hint="eastAsia"/>
                      <w:color w:val="auto"/>
                    </w:rPr>
                    <w:t>含有隔膜、热绝缘体等石棉材料的设施保养拆换及车辆制动器衬片的更换产生的石棉废物</w:t>
                  </w:r>
                </w:p>
              </w:tc>
              <w:tc>
                <w:tcPr>
                  <w:tcW w:w="241" w:type="pct"/>
                  <w:shd w:val="clear" w:color="auto" w:fill="auto"/>
                  <w:vAlign w:val="center"/>
                </w:tcPr>
                <w:p w14:paraId="50533F48">
                  <w:pPr>
                    <w:pStyle w:val="65"/>
                    <w:rPr>
                      <w:rFonts w:ascii="Times New Roman" w:hAnsi="Times New Roman" w:eastAsia="宋体" w:cs="Times New Roman"/>
                      <w:bCs/>
                      <w:color w:val="auto"/>
                      <w:sz w:val="21"/>
                      <w:lang w:val="en-US" w:eastAsia="zh-CN" w:bidi="ar-SA"/>
                    </w:rPr>
                  </w:pPr>
                  <w:r>
                    <w:rPr>
                      <w:color w:val="auto"/>
                    </w:rPr>
                    <w:t>2.5</w:t>
                  </w:r>
                </w:p>
              </w:tc>
              <w:tc>
                <w:tcPr>
                  <w:tcW w:w="207" w:type="pct"/>
                  <w:shd w:val="clear" w:color="auto" w:fill="auto"/>
                  <w:vAlign w:val="center"/>
                </w:tcPr>
                <w:p w14:paraId="00708D3D">
                  <w:pPr>
                    <w:pStyle w:val="65"/>
                    <w:rPr>
                      <w:rFonts w:ascii="Times New Roman" w:hAnsi="Times New Roman" w:eastAsia="宋体" w:cs="Times New Roman"/>
                      <w:bCs/>
                      <w:color w:val="auto"/>
                      <w:sz w:val="21"/>
                      <w:lang w:val="en-US" w:eastAsia="zh-CN" w:bidi="ar-SA"/>
                    </w:rPr>
                  </w:pPr>
                  <w:r>
                    <w:rPr>
                      <w:color w:val="auto"/>
                    </w:rPr>
                    <w:t>120</w:t>
                  </w:r>
                </w:p>
              </w:tc>
              <w:tc>
                <w:tcPr>
                  <w:tcW w:w="207" w:type="pct"/>
                  <w:vMerge w:val="continue"/>
                  <w:vAlign w:val="center"/>
                </w:tcPr>
                <w:p w14:paraId="59C6005D">
                  <w:pPr>
                    <w:pStyle w:val="65"/>
                    <w:rPr>
                      <w:color w:val="auto"/>
                    </w:rPr>
                  </w:pPr>
                </w:p>
              </w:tc>
              <w:tc>
                <w:tcPr>
                  <w:tcW w:w="151" w:type="pct"/>
                  <w:shd w:val="clear" w:color="auto" w:fill="auto"/>
                  <w:vAlign w:val="center"/>
                </w:tcPr>
                <w:p w14:paraId="2306BC81">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413D7B38">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248E5E34">
                  <w:pPr>
                    <w:pStyle w:val="66"/>
                    <w:numPr>
                      <w:ilvl w:val="0"/>
                      <w:numId w:val="3"/>
                    </w:numPr>
                    <w:rPr>
                      <w:color w:val="auto"/>
                      <w:lang w:val="pt-BR"/>
                    </w:rPr>
                  </w:pPr>
                </w:p>
              </w:tc>
              <w:tc>
                <w:tcPr>
                  <w:tcW w:w="275" w:type="pct"/>
                  <w:vMerge w:val="restart"/>
                  <w:vAlign w:val="center"/>
                </w:tcPr>
                <w:p w14:paraId="1695AA59">
                  <w:pPr>
                    <w:pStyle w:val="65"/>
                    <w:rPr>
                      <w:color w:val="auto"/>
                    </w:rPr>
                  </w:pPr>
                  <w:r>
                    <w:rPr>
                      <w:rFonts w:hint="eastAsia"/>
                      <w:color w:val="auto"/>
                    </w:rPr>
                    <w:t>HW49其他废物</w:t>
                  </w:r>
                </w:p>
              </w:tc>
              <w:tc>
                <w:tcPr>
                  <w:tcW w:w="428" w:type="pct"/>
                  <w:vAlign w:val="center"/>
                </w:tcPr>
                <w:p w14:paraId="7D1AFB26">
                  <w:pPr>
                    <w:pStyle w:val="65"/>
                    <w:rPr>
                      <w:rFonts w:hint="eastAsia"/>
                      <w:color w:val="auto"/>
                    </w:rPr>
                  </w:pPr>
                  <w:r>
                    <w:rPr>
                      <w:rFonts w:hint="eastAsia"/>
                      <w:color w:val="auto"/>
                    </w:rPr>
                    <w:t>772-006-49</w:t>
                  </w:r>
                </w:p>
              </w:tc>
              <w:tc>
                <w:tcPr>
                  <w:tcW w:w="964" w:type="pct"/>
                  <w:vAlign w:val="center"/>
                </w:tcPr>
                <w:p w14:paraId="598A1095">
                  <w:pPr>
                    <w:pStyle w:val="65"/>
                    <w:rPr>
                      <w:rFonts w:hint="eastAsia"/>
                      <w:color w:val="auto"/>
                    </w:rPr>
                  </w:pPr>
                  <w:r>
                    <w:rPr>
                      <w:rFonts w:ascii="宋体" w:hAnsi="宋体" w:eastAsia="宋体" w:cs="宋体"/>
                      <w:sz w:val="24"/>
                      <w:szCs w:val="24"/>
                    </w:rPr>
                    <w:t>采用物理、化学、物理化学或者生物方法处 理或者处置毒性或者感染性危险废物过程中产生的废水处理污泥和废水处理残渣（液）</w:t>
                  </w:r>
                </w:p>
              </w:tc>
              <w:tc>
                <w:tcPr>
                  <w:tcW w:w="247" w:type="pct"/>
                  <w:vAlign w:val="center"/>
                </w:tcPr>
                <w:p w14:paraId="6D29B8D2">
                  <w:pPr>
                    <w:pStyle w:val="65"/>
                    <w:rPr>
                      <w:rFonts w:hint="eastAsia" w:eastAsia="宋体"/>
                      <w:color w:val="auto"/>
                      <w:lang w:val="en-US" w:eastAsia="zh-CN"/>
                    </w:rPr>
                  </w:pPr>
                  <w:r>
                    <w:rPr>
                      <w:rFonts w:hint="eastAsia"/>
                      <w:color w:val="auto"/>
                      <w:lang w:val="en-US" w:eastAsia="zh-CN"/>
                    </w:rPr>
                    <w:t>5</w:t>
                  </w:r>
                </w:p>
              </w:tc>
              <w:tc>
                <w:tcPr>
                  <w:tcW w:w="247" w:type="pct"/>
                  <w:vAlign w:val="center"/>
                </w:tcPr>
                <w:p w14:paraId="2C51BDD9">
                  <w:pPr>
                    <w:pStyle w:val="65"/>
                    <w:rPr>
                      <w:rFonts w:hint="default" w:eastAsia="宋体"/>
                      <w:color w:val="auto"/>
                      <w:lang w:val="en-US" w:eastAsia="zh-CN"/>
                    </w:rPr>
                  </w:pPr>
                  <w:r>
                    <w:rPr>
                      <w:rFonts w:hint="eastAsia"/>
                      <w:color w:val="auto"/>
                      <w:lang w:val="en-US" w:eastAsia="zh-CN"/>
                    </w:rPr>
                    <w:t>500</w:t>
                  </w:r>
                </w:p>
              </w:tc>
              <w:tc>
                <w:tcPr>
                  <w:tcW w:w="220" w:type="pct"/>
                  <w:vMerge w:val="restart"/>
                  <w:vAlign w:val="center"/>
                </w:tcPr>
                <w:p w14:paraId="04613361">
                  <w:pPr>
                    <w:pStyle w:val="65"/>
                    <w:rPr>
                      <w:color w:val="auto"/>
                    </w:rPr>
                  </w:pPr>
                  <w:r>
                    <w:rPr>
                      <w:rFonts w:hint="eastAsia"/>
                      <w:color w:val="auto"/>
                    </w:rPr>
                    <w:t>4300</w:t>
                  </w:r>
                </w:p>
              </w:tc>
              <w:tc>
                <w:tcPr>
                  <w:tcW w:w="408" w:type="pct"/>
                  <w:vMerge w:val="restart"/>
                  <w:shd w:val="clear" w:color="auto" w:fill="auto"/>
                  <w:vAlign w:val="center"/>
                </w:tcPr>
                <w:p w14:paraId="5DFFE765">
                  <w:pPr>
                    <w:pStyle w:val="65"/>
                    <w:rPr>
                      <w:rFonts w:hint="eastAsia" w:ascii="Times New Roman" w:hAnsi="Times New Roman" w:eastAsia="宋体" w:cs="Times New Roman"/>
                      <w:bCs/>
                      <w:color w:val="auto"/>
                      <w:sz w:val="21"/>
                      <w:lang w:val="en-US" w:eastAsia="zh-CN" w:bidi="ar-SA"/>
                    </w:rPr>
                  </w:pPr>
                  <w:r>
                    <w:rPr>
                      <w:rFonts w:hint="eastAsia"/>
                      <w:color w:val="auto"/>
                    </w:rPr>
                    <w:t>HW49其他废物</w:t>
                  </w:r>
                </w:p>
              </w:tc>
              <w:tc>
                <w:tcPr>
                  <w:tcW w:w="328" w:type="pct"/>
                  <w:shd w:val="clear" w:color="auto" w:fill="auto"/>
                  <w:vAlign w:val="center"/>
                </w:tcPr>
                <w:p w14:paraId="6D6A1CFD">
                  <w:pPr>
                    <w:pStyle w:val="65"/>
                    <w:rPr>
                      <w:rFonts w:hint="eastAsia" w:ascii="Times New Roman" w:hAnsi="Times New Roman" w:eastAsia="宋体" w:cs="Times New Roman"/>
                      <w:bCs/>
                      <w:color w:val="auto"/>
                      <w:sz w:val="21"/>
                      <w:lang w:val="en-US" w:eastAsia="zh-CN" w:bidi="ar-SA"/>
                    </w:rPr>
                  </w:pPr>
                  <w:r>
                    <w:rPr>
                      <w:rFonts w:hint="eastAsia"/>
                      <w:color w:val="auto"/>
                    </w:rPr>
                    <w:t>772-006-49</w:t>
                  </w:r>
                </w:p>
              </w:tc>
              <w:tc>
                <w:tcPr>
                  <w:tcW w:w="917" w:type="pct"/>
                  <w:shd w:val="clear" w:color="auto" w:fill="auto"/>
                  <w:vAlign w:val="center"/>
                </w:tcPr>
                <w:p w14:paraId="095D6E8C">
                  <w:pPr>
                    <w:pStyle w:val="65"/>
                    <w:rPr>
                      <w:rFonts w:hint="eastAsia" w:ascii="Times New Roman" w:hAnsi="Times New Roman" w:eastAsia="宋体" w:cs="Times New Roman"/>
                      <w:bCs/>
                      <w:color w:val="auto"/>
                      <w:sz w:val="21"/>
                      <w:lang w:val="en-US" w:eastAsia="zh-CN" w:bidi="ar-SA"/>
                    </w:rPr>
                  </w:pPr>
                  <w:r>
                    <w:rPr>
                      <w:rFonts w:ascii="宋体" w:hAnsi="宋体" w:eastAsia="宋体" w:cs="宋体"/>
                      <w:sz w:val="24"/>
                      <w:szCs w:val="24"/>
                    </w:rPr>
                    <w:t>采用物理、化学、物理化学或者生物方法处 理或者处置毒性或者感染性危险废物过程中产生的废水处理污泥和废水处理残渣（液）</w:t>
                  </w:r>
                </w:p>
              </w:tc>
              <w:tc>
                <w:tcPr>
                  <w:tcW w:w="241" w:type="pct"/>
                  <w:shd w:val="clear" w:color="auto" w:fill="auto"/>
                  <w:vAlign w:val="center"/>
                </w:tcPr>
                <w:p w14:paraId="0B986158">
                  <w:pPr>
                    <w:pStyle w:val="65"/>
                    <w:rPr>
                      <w:rFonts w:hint="eastAsia" w:ascii="Times New Roman" w:hAnsi="Times New Roman" w:eastAsia="宋体" w:cs="Times New Roman"/>
                      <w:bCs/>
                      <w:color w:val="auto"/>
                      <w:sz w:val="21"/>
                      <w:lang w:val="en-US" w:eastAsia="zh-CN" w:bidi="ar-SA"/>
                    </w:rPr>
                  </w:pPr>
                  <w:r>
                    <w:rPr>
                      <w:rFonts w:hint="eastAsia"/>
                      <w:color w:val="auto"/>
                      <w:lang w:val="en-US" w:eastAsia="zh-CN"/>
                    </w:rPr>
                    <w:t>5</w:t>
                  </w:r>
                </w:p>
              </w:tc>
              <w:tc>
                <w:tcPr>
                  <w:tcW w:w="207" w:type="pct"/>
                  <w:shd w:val="clear" w:color="auto" w:fill="auto"/>
                  <w:vAlign w:val="center"/>
                </w:tcPr>
                <w:p w14:paraId="4422573E">
                  <w:pPr>
                    <w:pStyle w:val="65"/>
                    <w:rPr>
                      <w:rFonts w:hint="eastAsia" w:ascii="Times New Roman" w:hAnsi="Times New Roman" w:eastAsia="宋体" w:cs="Times New Roman"/>
                      <w:bCs/>
                      <w:color w:val="auto"/>
                      <w:sz w:val="21"/>
                      <w:lang w:val="en-US" w:eastAsia="zh-CN" w:bidi="ar-SA"/>
                    </w:rPr>
                  </w:pPr>
                  <w:r>
                    <w:rPr>
                      <w:rFonts w:hint="eastAsia"/>
                      <w:color w:val="auto"/>
                      <w:lang w:val="en-US" w:eastAsia="zh-CN"/>
                    </w:rPr>
                    <w:t>500</w:t>
                  </w:r>
                </w:p>
              </w:tc>
              <w:tc>
                <w:tcPr>
                  <w:tcW w:w="207" w:type="pct"/>
                  <w:vMerge w:val="restart"/>
                  <w:vAlign w:val="center"/>
                </w:tcPr>
                <w:p w14:paraId="476B78F5">
                  <w:pPr>
                    <w:pStyle w:val="65"/>
                    <w:rPr>
                      <w:rFonts w:hint="default" w:eastAsia="宋体"/>
                      <w:color w:val="auto"/>
                      <w:lang w:val="en-US" w:eastAsia="zh-CN"/>
                    </w:rPr>
                  </w:pPr>
                  <w:r>
                    <w:rPr>
                      <w:rFonts w:hint="eastAsia"/>
                      <w:color w:val="auto"/>
                      <w:lang w:val="en-US" w:eastAsia="zh-CN"/>
                    </w:rPr>
                    <w:t>4300</w:t>
                  </w:r>
                </w:p>
              </w:tc>
              <w:tc>
                <w:tcPr>
                  <w:tcW w:w="151" w:type="pct"/>
                  <w:shd w:val="clear" w:color="auto" w:fill="auto"/>
                  <w:vAlign w:val="center"/>
                </w:tcPr>
                <w:p w14:paraId="77A77638">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1B518376">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11F36C40">
                  <w:pPr>
                    <w:pStyle w:val="66"/>
                    <w:rPr>
                      <w:color w:val="auto"/>
                      <w:lang w:val="pt-BR"/>
                    </w:rPr>
                  </w:pPr>
                </w:p>
              </w:tc>
              <w:tc>
                <w:tcPr>
                  <w:tcW w:w="275" w:type="pct"/>
                  <w:vMerge w:val="continue"/>
                  <w:vAlign w:val="center"/>
                </w:tcPr>
                <w:p w14:paraId="5B16B63A">
                  <w:pPr>
                    <w:pStyle w:val="65"/>
                    <w:rPr>
                      <w:color w:val="auto"/>
                    </w:rPr>
                  </w:pPr>
                </w:p>
              </w:tc>
              <w:tc>
                <w:tcPr>
                  <w:tcW w:w="428" w:type="pct"/>
                  <w:vAlign w:val="center"/>
                </w:tcPr>
                <w:p w14:paraId="0D9A7630">
                  <w:pPr>
                    <w:pStyle w:val="65"/>
                    <w:rPr>
                      <w:color w:val="auto"/>
                    </w:rPr>
                  </w:pPr>
                  <w:r>
                    <w:rPr>
                      <w:rFonts w:hint="eastAsia"/>
                      <w:color w:val="auto"/>
                    </w:rPr>
                    <w:t>900-039-49</w:t>
                  </w:r>
                </w:p>
              </w:tc>
              <w:tc>
                <w:tcPr>
                  <w:tcW w:w="964" w:type="pct"/>
                  <w:vAlign w:val="center"/>
                </w:tcPr>
                <w:p w14:paraId="35F1E5F9">
                  <w:pPr>
                    <w:pStyle w:val="65"/>
                    <w:rPr>
                      <w:color w:val="auto"/>
                    </w:rPr>
                  </w:pPr>
                  <w:r>
                    <w:rPr>
                      <w:rFonts w:hint="eastAsia"/>
                      <w:color w:val="auto"/>
                    </w:rPr>
                    <w:t>烟气、VOCs治理过程（不包括餐饮行业油烟治理过程）产生的废活性炭，化学原料和化学制品脱色（不包括有机合成食品添加剂脱色）、除杂、净化过程产生的废活性炭（不包括900-405-06、772-005-18、261-053-29、265-002-29、384-003-29、387-001-29类危险废物）</w:t>
                  </w:r>
                </w:p>
              </w:tc>
              <w:tc>
                <w:tcPr>
                  <w:tcW w:w="247" w:type="pct"/>
                  <w:vAlign w:val="center"/>
                </w:tcPr>
                <w:p w14:paraId="7F93D824">
                  <w:pPr>
                    <w:pStyle w:val="65"/>
                    <w:rPr>
                      <w:color w:val="auto"/>
                    </w:rPr>
                  </w:pPr>
                  <w:r>
                    <w:rPr>
                      <w:color w:val="auto"/>
                    </w:rPr>
                    <w:t>10</w:t>
                  </w:r>
                </w:p>
              </w:tc>
              <w:tc>
                <w:tcPr>
                  <w:tcW w:w="247" w:type="pct"/>
                  <w:vAlign w:val="center"/>
                </w:tcPr>
                <w:p w14:paraId="45350D64">
                  <w:pPr>
                    <w:pStyle w:val="65"/>
                    <w:rPr>
                      <w:color w:val="auto"/>
                    </w:rPr>
                  </w:pPr>
                  <w:r>
                    <w:rPr>
                      <w:color w:val="auto"/>
                    </w:rPr>
                    <w:t>1000</w:t>
                  </w:r>
                </w:p>
              </w:tc>
              <w:tc>
                <w:tcPr>
                  <w:tcW w:w="220" w:type="pct"/>
                  <w:vMerge w:val="continue"/>
                  <w:vAlign w:val="center"/>
                </w:tcPr>
                <w:p w14:paraId="4D5CC635">
                  <w:pPr>
                    <w:pStyle w:val="65"/>
                    <w:rPr>
                      <w:color w:val="auto"/>
                    </w:rPr>
                  </w:pPr>
                </w:p>
              </w:tc>
              <w:tc>
                <w:tcPr>
                  <w:tcW w:w="408" w:type="pct"/>
                  <w:vMerge w:val="continue"/>
                  <w:vAlign w:val="center"/>
                </w:tcPr>
                <w:p w14:paraId="08C61C28">
                  <w:pPr>
                    <w:pStyle w:val="65"/>
                    <w:rPr>
                      <w:rFonts w:hint="eastAsia"/>
                      <w:color w:val="auto"/>
                    </w:rPr>
                  </w:pPr>
                </w:p>
              </w:tc>
              <w:tc>
                <w:tcPr>
                  <w:tcW w:w="328" w:type="pct"/>
                  <w:shd w:val="clear" w:color="auto" w:fill="auto"/>
                  <w:vAlign w:val="center"/>
                </w:tcPr>
                <w:p w14:paraId="6038A9E6">
                  <w:pPr>
                    <w:pStyle w:val="65"/>
                    <w:rPr>
                      <w:rFonts w:hint="eastAsia" w:ascii="Times New Roman" w:hAnsi="Times New Roman" w:eastAsia="宋体" w:cs="Times New Roman"/>
                      <w:bCs/>
                      <w:color w:val="auto"/>
                      <w:sz w:val="21"/>
                      <w:lang w:val="en-US" w:eastAsia="zh-CN" w:bidi="ar-SA"/>
                    </w:rPr>
                  </w:pPr>
                  <w:r>
                    <w:rPr>
                      <w:rFonts w:hint="eastAsia"/>
                      <w:color w:val="auto"/>
                    </w:rPr>
                    <w:t>900-039-49</w:t>
                  </w:r>
                </w:p>
              </w:tc>
              <w:tc>
                <w:tcPr>
                  <w:tcW w:w="917" w:type="pct"/>
                  <w:shd w:val="clear" w:color="auto" w:fill="auto"/>
                  <w:vAlign w:val="center"/>
                </w:tcPr>
                <w:p w14:paraId="4A61CA2B">
                  <w:pPr>
                    <w:pStyle w:val="65"/>
                    <w:rPr>
                      <w:rFonts w:hint="eastAsia" w:ascii="Times New Roman" w:hAnsi="Times New Roman" w:eastAsia="宋体" w:cs="Times New Roman"/>
                      <w:bCs/>
                      <w:color w:val="auto"/>
                      <w:sz w:val="21"/>
                      <w:lang w:val="en-US" w:eastAsia="zh-CN" w:bidi="ar-SA"/>
                    </w:rPr>
                  </w:pPr>
                  <w:r>
                    <w:rPr>
                      <w:rFonts w:hint="eastAsia"/>
                      <w:color w:val="auto"/>
                    </w:rPr>
                    <w:t>烟气、VOCs治理过程（不包括餐饮行业油烟治理过程）产生的废活性炭，化学原料和化学制品脱色（不包括有机合成食品添加剂脱色）、除杂、净化过程产生的废活性炭（不包括900-405-06、772-005-18、261-053-29、265-002-29、384-003-29、387-001-29类危险废物）</w:t>
                  </w:r>
                </w:p>
              </w:tc>
              <w:tc>
                <w:tcPr>
                  <w:tcW w:w="241" w:type="pct"/>
                  <w:shd w:val="clear" w:color="auto" w:fill="auto"/>
                  <w:vAlign w:val="center"/>
                </w:tcPr>
                <w:p w14:paraId="4D6C99E6">
                  <w:pPr>
                    <w:pStyle w:val="65"/>
                    <w:rPr>
                      <w:rFonts w:hint="eastAsia" w:ascii="Times New Roman" w:hAnsi="Times New Roman" w:eastAsia="宋体" w:cs="Times New Roman"/>
                      <w:bCs/>
                      <w:color w:val="auto"/>
                      <w:sz w:val="21"/>
                      <w:lang w:val="en-US" w:eastAsia="zh-CN" w:bidi="ar-SA"/>
                    </w:rPr>
                  </w:pPr>
                  <w:r>
                    <w:rPr>
                      <w:color w:val="auto"/>
                    </w:rPr>
                    <w:t>10</w:t>
                  </w:r>
                </w:p>
              </w:tc>
              <w:tc>
                <w:tcPr>
                  <w:tcW w:w="207" w:type="pct"/>
                  <w:shd w:val="clear" w:color="auto" w:fill="auto"/>
                  <w:vAlign w:val="center"/>
                </w:tcPr>
                <w:p w14:paraId="162A32DF">
                  <w:pPr>
                    <w:pStyle w:val="65"/>
                    <w:rPr>
                      <w:rFonts w:hint="eastAsia" w:ascii="Times New Roman" w:hAnsi="Times New Roman" w:eastAsia="宋体" w:cs="Times New Roman"/>
                      <w:bCs/>
                      <w:color w:val="auto"/>
                      <w:sz w:val="21"/>
                      <w:lang w:val="en-US" w:eastAsia="zh-CN" w:bidi="ar-SA"/>
                    </w:rPr>
                  </w:pPr>
                  <w:r>
                    <w:rPr>
                      <w:color w:val="auto"/>
                    </w:rPr>
                    <w:t>1000</w:t>
                  </w:r>
                </w:p>
              </w:tc>
              <w:tc>
                <w:tcPr>
                  <w:tcW w:w="207" w:type="pct"/>
                  <w:vMerge w:val="continue"/>
                  <w:vAlign w:val="center"/>
                </w:tcPr>
                <w:p w14:paraId="3761D6FC">
                  <w:pPr>
                    <w:pStyle w:val="65"/>
                    <w:rPr>
                      <w:rFonts w:hint="eastAsia"/>
                      <w:color w:val="auto"/>
                    </w:rPr>
                  </w:pPr>
                </w:p>
              </w:tc>
              <w:tc>
                <w:tcPr>
                  <w:tcW w:w="151" w:type="pct"/>
                  <w:shd w:val="clear" w:color="auto" w:fill="auto"/>
                  <w:vAlign w:val="center"/>
                </w:tcPr>
                <w:p w14:paraId="6AABAA36">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6D5055DD">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62E1C714">
                  <w:pPr>
                    <w:pStyle w:val="66"/>
                    <w:rPr>
                      <w:color w:val="auto"/>
                      <w:lang w:val="pt-BR"/>
                    </w:rPr>
                  </w:pPr>
                </w:p>
              </w:tc>
              <w:tc>
                <w:tcPr>
                  <w:tcW w:w="275" w:type="pct"/>
                  <w:vMerge w:val="continue"/>
                  <w:vAlign w:val="center"/>
                </w:tcPr>
                <w:p w14:paraId="725323F2">
                  <w:pPr>
                    <w:pStyle w:val="65"/>
                    <w:rPr>
                      <w:color w:val="auto"/>
                    </w:rPr>
                  </w:pPr>
                </w:p>
              </w:tc>
              <w:tc>
                <w:tcPr>
                  <w:tcW w:w="428" w:type="pct"/>
                  <w:vAlign w:val="center"/>
                </w:tcPr>
                <w:p w14:paraId="1F73F835">
                  <w:pPr>
                    <w:pStyle w:val="65"/>
                    <w:rPr>
                      <w:color w:val="auto"/>
                    </w:rPr>
                  </w:pPr>
                  <w:r>
                    <w:rPr>
                      <w:rFonts w:hint="eastAsia"/>
                      <w:color w:val="auto"/>
                    </w:rPr>
                    <w:t>900-041-49</w:t>
                  </w:r>
                </w:p>
              </w:tc>
              <w:tc>
                <w:tcPr>
                  <w:tcW w:w="964" w:type="pct"/>
                  <w:vAlign w:val="center"/>
                </w:tcPr>
                <w:p w14:paraId="5BAC9C9A">
                  <w:pPr>
                    <w:pStyle w:val="65"/>
                    <w:rPr>
                      <w:color w:val="auto"/>
                    </w:rPr>
                  </w:pPr>
                  <w:r>
                    <w:rPr>
                      <w:rFonts w:hint="eastAsia"/>
                      <w:color w:val="auto"/>
                    </w:rPr>
                    <w:t>含有或者沾染毒性、感染性危险废物的废弃的包装物、容器、过滤吸附介质</w:t>
                  </w:r>
                </w:p>
              </w:tc>
              <w:tc>
                <w:tcPr>
                  <w:tcW w:w="247" w:type="pct"/>
                  <w:vAlign w:val="center"/>
                </w:tcPr>
                <w:p w14:paraId="032A2452">
                  <w:pPr>
                    <w:pStyle w:val="65"/>
                    <w:rPr>
                      <w:color w:val="auto"/>
                    </w:rPr>
                  </w:pPr>
                  <w:r>
                    <w:rPr>
                      <w:color w:val="auto"/>
                    </w:rPr>
                    <w:t>10</w:t>
                  </w:r>
                </w:p>
              </w:tc>
              <w:tc>
                <w:tcPr>
                  <w:tcW w:w="247" w:type="pct"/>
                  <w:vAlign w:val="center"/>
                </w:tcPr>
                <w:p w14:paraId="1F3601A3">
                  <w:pPr>
                    <w:pStyle w:val="65"/>
                    <w:rPr>
                      <w:color w:val="auto"/>
                    </w:rPr>
                  </w:pPr>
                  <w:r>
                    <w:rPr>
                      <w:color w:val="auto"/>
                    </w:rPr>
                    <w:t>1000</w:t>
                  </w:r>
                </w:p>
              </w:tc>
              <w:tc>
                <w:tcPr>
                  <w:tcW w:w="220" w:type="pct"/>
                  <w:vMerge w:val="continue"/>
                  <w:vAlign w:val="center"/>
                </w:tcPr>
                <w:p w14:paraId="6576FA81">
                  <w:pPr>
                    <w:pStyle w:val="65"/>
                    <w:rPr>
                      <w:color w:val="auto"/>
                    </w:rPr>
                  </w:pPr>
                </w:p>
              </w:tc>
              <w:tc>
                <w:tcPr>
                  <w:tcW w:w="408" w:type="pct"/>
                  <w:vMerge w:val="continue"/>
                  <w:vAlign w:val="center"/>
                </w:tcPr>
                <w:p w14:paraId="5ADC1C11">
                  <w:pPr>
                    <w:pStyle w:val="65"/>
                    <w:rPr>
                      <w:color w:val="auto"/>
                    </w:rPr>
                  </w:pPr>
                </w:p>
              </w:tc>
              <w:tc>
                <w:tcPr>
                  <w:tcW w:w="328" w:type="pct"/>
                  <w:shd w:val="clear" w:color="auto" w:fill="auto"/>
                  <w:vAlign w:val="center"/>
                </w:tcPr>
                <w:p w14:paraId="4DC6B0D6">
                  <w:pPr>
                    <w:pStyle w:val="65"/>
                    <w:rPr>
                      <w:rFonts w:ascii="Times New Roman" w:hAnsi="Times New Roman" w:eastAsia="宋体" w:cs="Times New Roman"/>
                      <w:bCs/>
                      <w:color w:val="auto"/>
                      <w:sz w:val="21"/>
                      <w:lang w:val="en-US" w:eastAsia="zh-CN" w:bidi="ar-SA"/>
                    </w:rPr>
                  </w:pPr>
                  <w:r>
                    <w:rPr>
                      <w:rFonts w:hint="eastAsia"/>
                      <w:color w:val="auto"/>
                    </w:rPr>
                    <w:t>900-041-49</w:t>
                  </w:r>
                </w:p>
              </w:tc>
              <w:tc>
                <w:tcPr>
                  <w:tcW w:w="917" w:type="pct"/>
                  <w:shd w:val="clear" w:color="auto" w:fill="auto"/>
                  <w:vAlign w:val="center"/>
                </w:tcPr>
                <w:p w14:paraId="421F77A7">
                  <w:pPr>
                    <w:pStyle w:val="65"/>
                    <w:rPr>
                      <w:rFonts w:ascii="Times New Roman" w:hAnsi="Times New Roman" w:eastAsia="宋体" w:cs="Times New Roman"/>
                      <w:bCs/>
                      <w:color w:val="auto"/>
                      <w:sz w:val="21"/>
                      <w:lang w:val="en-US" w:eastAsia="zh-CN" w:bidi="ar-SA"/>
                    </w:rPr>
                  </w:pPr>
                  <w:r>
                    <w:rPr>
                      <w:rFonts w:hint="eastAsia"/>
                      <w:color w:val="auto"/>
                    </w:rPr>
                    <w:t>含有或者沾染毒性、感染性危险废物的废弃的包装物、容器、过滤吸附介质</w:t>
                  </w:r>
                </w:p>
              </w:tc>
              <w:tc>
                <w:tcPr>
                  <w:tcW w:w="241" w:type="pct"/>
                  <w:shd w:val="clear" w:color="auto" w:fill="auto"/>
                  <w:vAlign w:val="center"/>
                </w:tcPr>
                <w:p w14:paraId="15754167">
                  <w:pPr>
                    <w:pStyle w:val="65"/>
                    <w:rPr>
                      <w:rFonts w:ascii="Times New Roman" w:hAnsi="Times New Roman" w:eastAsia="宋体" w:cs="Times New Roman"/>
                      <w:bCs/>
                      <w:color w:val="auto"/>
                      <w:sz w:val="21"/>
                      <w:lang w:val="en-US" w:eastAsia="zh-CN" w:bidi="ar-SA"/>
                    </w:rPr>
                  </w:pPr>
                  <w:r>
                    <w:rPr>
                      <w:color w:val="auto"/>
                    </w:rPr>
                    <w:t>10</w:t>
                  </w:r>
                </w:p>
              </w:tc>
              <w:tc>
                <w:tcPr>
                  <w:tcW w:w="207" w:type="pct"/>
                  <w:shd w:val="clear" w:color="auto" w:fill="auto"/>
                  <w:vAlign w:val="center"/>
                </w:tcPr>
                <w:p w14:paraId="64F99BC4">
                  <w:pPr>
                    <w:pStyle w:val="65"/>
                    <w:rPr>
                      <w:rFonts w:ascii="Times New Roman" w:hAnsi="Times New Roman" w:eastAsia="宋体" w:cs="Times New Roman"/>
                      <w:bCs/>
                      <w:color w:val="auto"/>
                      <w:sz w:val="21"/>
                      <w:lang w:val="en-US" w:eastAsia="zh-CN" w:bidi="ar-SA"/>
                    </w:rPr>
                  </w:pPr>
                  <w:r>
                    <w:rPr>
                      <w:color w:val="auto"/>
                    </w:rPr>
                    <w:t>1000</w:t>
                  </w:r>
                </w:p>
              </w:tc>
              <w:tc>
                <w:tcPr>
                  <w:tcW w:w="207" w:type="pct"/>
                  <w:vMerge w:val="continue"/>
                  <w:vAlign w:val="center"/>
                </w:tcPr>
                <w:p w14:paraId="24185B09">
                  <w:pPr>
                    <w:pStyle w:val="65"/>
                    <w:rPr>
                      <w:color w:val="auto"/>
                    </w:rPr>
                  </w:pPr>
                </w:p>
              </w:tc>
              <w:tc>
                <w:tcPr>
                  <w:tcW w:w="151" w:type="pct"/>
                  <w:shd w:val="clear" w:color="auto" w:fill="auto"/>
                  <w:vAlign w:val="center"/>
                </w:tcPr>
                <w:p w14:paraId="13A14E1F">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75B5EDBF">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7B53101D">
                  <w:pPr>
                    <w:pStyle w:val="66"/>
                    <w:rPr>
                      <w:color w:val="auto"/>
                      <w:lang w:val="pt-BR"/>
                    </w:rPr>
                  </w:pPr>
                </w:p>
              </w:tc>
              <w:tc>
                <w:tcPr>
                  <w:tcW w:w="275" w:type="pct"/>
                  <w:vMerge w:val="continue"/>
                  <w:vAlign w:val="center"/>
                </w:tcPr>
                <w:p w14:paraId="549F6B16">
                  <w:pPr>
                    <w:pStyle w:val="65"/>
                    <w:rPr>
                      <w:color w:val="auto"/>
                    </w:rPr>
                  </w:pPr>
                </w:p>
              </w:tc>
              <w:tc>
                <w:tcPr>
                  <w:tcW w:w="428" w:type="pct"/>
                  <w:vAlign w:val="center"/>
                </w:tcPr>
                <w:p w14:paraId="5B0EE97A">
                  <w:pPr>
                    <w:pStyle w:val="65"/>
                    <w:rPr>
                      <w:color w:val="auto"/>
                    </w:rPr>
                  </w:pPr>
                  <w:r>
                    <w:rPr>
                      <w:rFonts w:hint="eastAsia"/>
                      <w:color w:val="auto"/>
                    </w:rPr>
                    <w:t>900-046-49</w:t>
                  </w:r>
                </w:p>
              </w:tc>
              <w:tc>
                <w:tcPr>
                  <w:tcW w:w="964" w:type="pct"/>
                  <w:vAlign w:val="center"/>
                </w:tcPr>
                <w:p w14:paraId="2706DC8F">
                  <w:pPr>
                    <w:pStyle w:val="65"/>
                    <w:rPr>
                      <w:color w:val="auto"/>
                    </w:rPr>
                  </w:pPr>
                  <w:r>
                    <w:rPr>
                      <w:rFonts w:hint="eastAsia"/>
                      <w:color w:val="auto"/>
                    </w:rPr>
                    <w:t>离子交换装置（不包括饮用水、工业纯水和锅炉软化水制备装置以及废水处理成套工艺中的离子交换装置）再生过程中产生的废水处理污泥</w:t>
                  </w:r>
                </w:p>
              </w:tc>
              <w:tc>
                <w:tcPr>
                  <w:tcW w:w="247" w:type="pct"/>
                  <w:vAlign w:val="center"/>
                </w:tcPr>
                <w:p w14:paraId="45005F77">
                  <w:pPr>
                    <w:pStyle w:val="65"/>
                    <w:rPr>
                      <w:color w:val="auto"/>
                    </w:rPr>
                  </w:pPr>
                  <w:r>
                    <w:rPr>
                      <w:color w:val="auto"/>
                    </w:rPr>
                    <w:t>8</w:t>
                  </w:r>
                </w:p>
              </w:tc>
              <w:tc>
                <w:tcPr>
                  <w:tcW w:w="247" w:type="pct"/>
                  <w:vAlign w:val="center"/>
                </w:tcPr>
                <w:p w14:paraId="41B1E2C9">
                  <w:pPr>
                    <w:pStyle w:val="65"/>
                    <w:rPr>
                      <w:color w:val="auto"/>
                    </w:rPr>
                  </w:pPr>
                  <w:r>
                    <w:rPr>
                      <w:color w:val="auto"/>
                    </w:rPr>
                    <w:t>800</w:t>
                  </w:r>
                </w:p>
              </w:tc>
              <w:tc>
                <w:tcPr>
                  <w:tcW w:w="220" w:type="pct"/>
                  <w:vMerge w:val="continue"/>
                  <w:vAlign w:val="center"/>
                </w:tcPr>
                <w:p w14:paraId="1DA83C6E">
                  <w:pPr>
                    <w:pStyle w:val="65"/>
                    <w:rPr>
                      <w:color w:val="auto"/>
                    </w:rPr>
                  </w:pPr>
                </w:p>
              </w:tc>
              <w:tc>
                <w:tcPr>
                  <w:tcW w:w="408" w:type="pct"/>
                  <w:vMerge w:val="continue"/>
                  <w:vAlign w:val="center"/>
                </w:tcPr>
                <w:p w14:paraId="4ED7081D">
                  <w:pPr>
                    <w:pStyle w:val="65"/>
                    <w:rPr>
                      <w:color w:val="auto"/>
                    </w:rPr>
                  </w:pPr>
                </w:p>
              </w:tc>
              <w:tc>
                <w:tcPr>
                  <w:tcW w:w="328" w:type="pct"/>
                  <w:shd w:val="clear" w:color="auto" w:fill="auto"/>
                  <w:vAlign w:val="center"/>
                </w:tcPr>
                <w:p w14:paraId="5F5F9C27">
                  <w:pPr>
                    <w:pStyle w:val="65"/>
                    <w:rPr>
                      <w:rFonts w:ascii="Times New Roman" w:hAnsi="Times New Roman" w:eastAsia="宋体" w:cs="Times New Roman"/>
                      <w:bCs/>
                      <w:color w:val="auto"/>
                      <w:sz w:val="21"/>
                      <w:lang w:val="en-US" w:eastAsia="zh-CN" w:bidi="ar-SA"/>
                    </w:rPr>
                  </w:pPr>
                  <w:r>
                    <w:rPr>
                      <w:rFonts w:hint="eastAsia"/>
                      <w:color w:val="auto"/>
                    </w:rPr>
                    <w:t>900-046-49</w:t>
                  </w:r>
                </w:p>
              </w:tc>
              <w:tc>
                <w:tcPr>
                  <w:tcW w:w="917" w:type="pct"/>
                  <w:shd w:val="clear" w:color="auto" w:fill="auto"/>
                  <w:vAlign w:val="center"/>
                </w:tcPr>
                <w:p w14:paraId="10F0A8FE">
                  <w:pPr>
                    <w:pStyle w:val="65"/>
                    <w:rPr>
                      <w:rFonts w:ascii="Times New Roman" w:hAnsi="Times New Roman" w:eastAsia="宋体" w:cs="Times New Roman"/>
                      <w:bCs/>
                      <w:color w:val="auto"/>
                      <w:sz w:val="21"/>
                      <w:lang w:val="en-US" w:eastAsia="zh-CN" w:bidi="ar-SA"/>
                    </w:rPr>
                  </w:pPr>
                  <w:r>
                    <w:rPr>
                      <w:rFonts w:hint="eastAsia"/>
                      <w:color w:val="auto"/>
                    </w:rPr>
                    <w:t>离子交换装置（不包括饮用水、工业纯水和锅炉软化水制备装置以及废水处理成套工艺中的离子交换装置）再生过程中产生的废水处理污泥</w:t>
                  </w:r>
                </w:p>
              </w:tc>
              <w:tc>
                <w:tcPr>
                  <w:tcW w:w="241" w:type="pct"/>
                  <w:shd w:val="clear" w:color="auto" w:fill="auto"/>
                  <w:vAlign w:val="center"/>
                </w:tcPr>
                <w:p w14:paraId="35D34ACD">
                  <w:pPr>
                    <w:pStyle w:val="65"/>
                    <w:rPr>
                      <w:rFonts w:ascii="Times New Roman" w:hAnsi="Times New Roman" w:eastAsia="宋体" w:cs="Times New Roman"/>
                      <w:bCs/>
                      <w:color w:val="auto"/>
                      <w:sz w:val="21"/>
                      <w:lang w:val="en-US" w:eastAsia="zh-CN" w:bidi="ar-SA"/>
                    </w:rPr>
                  </w:pPr>
                  <w:r>
                    <w:rPr>
                      <w:color w:val="auto"/>
                    </w:rPr>
                    <w:t>8</w:t>
                  </w:r>
                </w:p>
              </w:tc>
              <w:tc>
                <w:tcPr>
                  <w:tcW w:w="207" w:type="pct"/>
                  <w:shd w:val="clear" w:color="auto" w:fill="auto"/>
                  <w:vAlign w:val="center"/>
                </w:tcPr>
                <w:p w14:paraId="1010D055">
                  <w:pPr>
                    <w:pStyle w:val="65"/>
                    <w:rPr>
                      <w:rFonts w:ascii="Times New Roman" w:hAnsi="Times New Roman" w:eastAsia="宋体" w:cs="Times New Roman"/>
                      <w:bCs/>
                      <w:color w:val="auto"/>
                      <w:sz w:val="21"/>
                      <w:lang w:val="en-US" w:eastAsia="zh-CN" w:bidi="ar-SA"/>
                    </w:rPr>
                  </w:pPr>
                  <w:r>
                    <w:rPr>
                      <w:color w:val="auto"/>
                    </w:rPr>
                    <w:t>800</w:t>
                  </w:r>
                </w:p>
              </w:tc>
              <w:tc>
                <w:tcPr>
                  <w:tcW w:w="207" w:type="pct"/>
                  <w:vMerge w:val="continue"/>
                  <w:vAlign w:val="center"/>
                </w:tcPr>
                <w:p w14:paraId="61FBB940">
                  <w:pPr>
                    <w:pStyle w:val="65"/>
                    <w:rPr>
                      <w:color w:val="auto"/>
                    </w:rPr>
                  </w:pPr>
                </w:p>
              </w:tc>
              <w:tc>
                <w:tcPr>
                  <w:tcW w:w="151" w:type="pct"/>
                  <w:shd w:val="clear" w:color="auto" w:fill="auto"/>
                  <w:vAlign w:val="center"/>
                </w:tcPr>
                <w:p w14:paraId="4D99C114">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05A9102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528ADB84">
                  <w:pPr>
                    <w:pStyle w:val="66"/>
                    <w:rPr>
                      <w:color w:val="auto"/>
                      <w:lang w:val="pt-BR"/>
                    </w:rPr>
                  </w:pPr>
                </w:p>
              </w:tc>
              <w:tc>
                <w:tcPr>
                  <w:tcW w:w="275" w:type="pct"/>
                  <w:vMerge w:val="continue"/>
                  <w:vAlign w:val="center"/>
                </w:tcPr>
                <w:p w14:paraId="1E0D7BF6">
                  <w:pPr>
                    <w:pStyle w:val="65"/>
                    <w:rPr>
                      <w:color w:val="auto"/>
                    </w:rPr>
                  </w:pPr>
                </w:p>
              </w:tc>
              <w:tc>
                <w:tcPr>
                  <w:tcW w:w="428" w:type="pct"/>
                  <w:vAlign w:val="center"/>
                </w:tcPr>
                <w:p w14:paraId="6439A488">
                  <w:pPr>
                    <w:pStyle w:val="65"/>
                    <w:rPr>
                      <w:color w:val="auto"/>
                    </w:rPr>
                  </w:pPr>
                  <w:r>
                    <w:rPr>
                      <w:rFonts w:hint="eastAsia"/>
                      <w:color w:val="auto"/>
                    </w:rPr>
                    <w:t>900-047-49</w:t>
                  </w:r>
                </w:p>
              </w:tc>
              <w:tc>
                <w:tcPr>
                  <w:tcW w:w="964" w:type="pct"/>
                  <w:vAlign w:val="center"/>
                </w:tcPr>
                <w:p w14:paraId="5A601DB7">
                  <w:pPr>
                    <w:pStyle w:val="65"/>
                    <w:rPr>
                      <w:color w:val="auto"/>
                    </w:rPr>
                  </w:pPr>
                  <w:r>
                    <w:rPr>
                      <w:rFonts w:hint="eastAsia"/>
                      <w:color w:val="auto"/>
                    </w:rPr>
                    <w:t>生产、研究、开发、教学、环境检测（监测）活动中，化学和生物实验室（不包含感染性医学实验室及医疗机构化验室）产生的含氰、氟、重金属无机废液及无机废液处理产生的残渣、残液，含矿物油、有机溶剂、甲醛有机废液，废酸、废碱，具有危险特性的残留样品，以及沾染上述物质的一次性实验用品（不包括按实验室管理要求进行清洗后的废弃的烧杯、量器、漏斗等实验室用品）、包装物（不包括按实验室管理要求进行清洗后的试剂包装物、容器）、过滤吸附介质等</w:t>
                  </w:r>
                </w:p>
              </w:tc>
              <w:tc>
                <w:tcPr>
                  <w:tcW w:w="247" w:type="pct"/>
                  <w:vAlign w:val="center"/>
                </w:tcPr>
                <w:p w14:paraId="490C4AB9">
                  <w:pPr>
                    <w:pStyle w:val="65"/>
                    <w:rPr>
                      <w:rFonts w:hint="eastAsia" w:eastAsia="宋体"/>
                      <w:color w:val="auto"/>
                      <w:lang w:eastAsia="zh-CN"/>
                    </w:rPr>
                  </w:pPr>
                  <w:r>
                    <w:rPr>
                      <w:rFonts w:hint="eastAsia"/>
                      <w:color w:val="auto"/>
                      <w:lang w:val="en-US" w:eastAsia="zh-CN"/>
                    </w:rPr>
                    <w:t>5</w:t>
                  </w:r>
                </w:p>
              </w:tc>
              <w:tc>
                <w:tcPr>
                  <w:tcW w:w="247" w:type="pct"/>
                  <w:vAlign w:val="center"/>
                </w:tcPr>
                <w:p w14:paraId="3034A18E">
                  <w:pPr>
                    <w:pStyle w:val="65"/>
                    <w:rPr>
                      <w:rFonts w:hint="default" w:eastAsia="宋体"/>
                      <w:color w:val="auto"/>
                      <w:lang w:val="en-US" w:eastAsia="zh-CN"/>
                    </w:rPr>
                  </w:pPr>
                  <w:r>
                    <w:rPr>
                      <w:rFonts w:hint="eastAsia"/>
                      <w:color w:val="auto"/>
                      <w:lang w:val="en-US" w:eastAsia="zh-CN"/>
                    </w:rPr>
                    <w:t>500</w:t>
                  </w:r>
                </w:p>
              </w:tc>
              <w:tc>
                <w:tcPr>
                  <w:tcW w:w="220" w:type="pct"/>
                  <w:vMerge w:val="continue"/>
                  <w:vAlign w:val="center"/>
                </w:tcPr>
                <w:p w14:paraId="0EBCB00A">
                  <w:pPr>
                    <w:pStyle w:val="65"/>
                    <w:rPr>
                      <w:color w:val="auto"/>
                    </w:rPr>
                  </w:pPr>
                </w:p>
              </w:tc>
              <w:tc>
                <w:tcPr>
                  <w:tcW w:w="408" w:type="pct"/>
                  <w:vMerge w:val="continue"/>
                  <w:vAlign w:val="center"/>
                </w:tcPr>
                <w:p w14:paraId="7C3433FF">
                  <w:pPr>
                    <w:pStyle w:val="65"/>
                    <w:rPr>
                      <w:color w:val="auto"/>
                    </w:rPr>
                  </w:pPr>
                </w:p>
              </w:tc>
              <w:tc>
                <w:tcPr>
                  <w:tcW w:w="328" w:type="pct"/>
                  <w:shd w:val="clear" w:color="auto" w:fill="auto"/>
                  <w:vAlign w:val="center"/>
                </w:tcPr>
                <w:p w14:paraId="77EA534C">
                  <w:pPr>
                    <w:pStyle w:val="65"/>
                    <w:rPr>
                      <w:rFonts w:ascii="Times New Roman" w:hAnsi="Times New Roman" w:eastAsia="宋体" w:cs="Times New Roman"/>
                      <w:bCs/>
                      <w:color w:val="auto"/>
                      <w:sz w:val="21"/>
                      <w:lang w:val="en-US" w:eastAsia="zh-CN" w:bidi="ar-SA"/>
                    </w:rPr>
                  </w:pPr>
                  <w:r>
                    <w:rPr>
                      <w:rFonts w:hint="eastAsia"/>
                      <w:color w:val="auto"/>
                    </w:rPr>
                    <w:t>900-047-49</w:t>
                  </w:r>
                </w:p>
              </w:tc>
              <w:tc>
                <w:tcPr>
                  <w:tcW w:w="917" w:type="pct"/>
                  <w:shd w:val="clear" w:color="auto" w:fill="auto"/>
                  <w:vAlign w:val="center"/>
                </w:tcPr>
                <w:p w14:paraId="7581DD71">
                  <w:pPr>
                    <w:pStyle w:val="65"/>
                    <w:rPr>
                      <w:rFonts w:ascii="Times New Roman" w:hAnsi="Times New Roman" w:eastAsia="宋体" w:cs="Times New Roman"/>
                      <w:bCs/>
                      <w:color w:val="auto"/>
                      <w:sz w:val="21"/>
                      <w:lang w:val="en-US" w:eastAsia="zh-CN" w:bidi="ar-SA"/>
                    </w:rPr>
                  </w:pPr>
                  <w:r>
                    <w:rPr>
                      <w:rFonts w:hint="eastAsia"/>
                      <w:color w:val="auto"/>
                    </w:rPr>
                    <w:t>生产、研究、开发、教学、环境检测（监测）活动中，化学和生物实验室（不包含感染性医学实验室及医疗机构化验室）产生的含氰、氟、重金属无机废液及无机废液处理产生的残渣、残液，含矿物油、有机溶剂、甲醛有机废液，废酸、废碱，具有危险特性的残留样品，以及沾染上述物质的一次性实验用品（不包括按实验室管理要求进行清洗后的废弃的烧杯、量器、漏斗等实验室用品）、包装物（不包括按实验室管理要求进行清洗后的试剂包装物、容器）、过滤吸附介质等</w:t>
                  </w:r>
                </w:p>
              </w:tc>
              <w:tc>
                <w:tcPr>
                  <w:tcW w:w="241" w:type="pct"/>
                  <w:shd w:val="clear" w:color="auto" w:fill="auto"/>
                  <w:vAlign w:val="center"/>
                </w:tcPr>
                <w:p w14:paraId="474A6D1F">
                  <w:pPr>
                    <w:pStyle w:val="65"/>
                    <w:rPr>
                      <w:rFonts w:hint="eastAsia" w:ascii="Times New Roman" w:hAnsi="Times New Roman" w:eastAsia="宋体" w:cs="Times New Roman"/>
                      <w:bCs/>
                      <w:color w:val="auto"/>
                      <w:sz w:val="21"/>
                      <w:lang w:val="en-US" w:eastAsia="zh-CN" w:bidi="ar-SA"/>
                    </w:rPr>
                  </w:pPr>
                  <w:r>
                    <w:rPr>
                      <w:rFonts w:hint="eastAsia"/>
                      <w:color w:val="auto"/>
                      <w:lang w:val="en-US" w:eastAsia="zh-CN"/>
                    </w:rPr>
                    <w:t>5</w:t>
                  </w:r>
                </w:p>
              </w:tc>
              <w:tc>
                <w:tcPr>
                  <w:tcW w:w="207" w:type="pct"/>
                  <w:shd w:val="clear" w:color="auto" w:fill="auto"/>
                  <w:vAlign w:val="center"/>
                </w:tcPr>
                <w:p w14:paraId="1A42DA39">
                  <w:pPr>
                    <w:pStyle w:val="65"/>
                    <w:rPr>
                      <w:rFonts w:hint="default" w:ascii="Times New Roman" w:hAnsi="Times New Roman" w:eastAsia="宋体" w:cs="Times New Roman"/>
                      <w:bCs/>
                      <w:color w:val="auto"/>
                      <w:sz w:val="21"/>
                      <w:lang w:val="en-US" w:eastAsia="zh-CN" w:bidi="ar-SA"/>
                    </w:rPr>
                  </w:pPr>
                  <w:r>
                    <w:rPr>
                      <w:rFonts w:hint="eastAsia"/>
                      <w:color w:val="auto"/>
                      <w:lang w:val="en-US" w:eastAsia="zh-CN"/>
                    </w:rPr>
                    <w:t>500</w:t>
                  </w:r>
                </w:p>
              </w:tc>
              <w:tc>
                <w:tcPr>
                  <w:tcW w:w="207" w:type="pct"/>
                  <w:vMerge w:val="continue"/>
                  <w:vAlign w:val="center"/>
                </w:tcPr>
                <w:p w14:paraId="179F628C">
                  <w:pPr>
                    <w:pStyle w:val="65"/>
                    <w:rPr>
                      <w:color w:val="auto"/>
                    </w:rPr>
                  </w:pPr>
                </w:p>
              </w:tc>
              <w:tc>
                <w:tcPr>
                  <w:tcW w:w="151" w:type="pct"/>
                  <w:shd w:val="clear" w:color="auto" w:fill="auto"/>
                  <w:vAlign w:val="center"/>
                </w:tcPr>
                <w:p w14:paraId="269CFF97">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1616916A">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vAlign w:val="center"/>
                </w:tcPr>
                <w:p w14:paraId="1B1AF7E1">
                  <w:pPr>
                    <w:pStyle w:val="66"/>
                    <w:rPr>
                      <w:color w:val="auto"/>
                      <w:lang w:val="pt-BR"/>
                    </w:rPr>
                  </w:pPr>
                </w:p>
              </w:tc>
              <w:tc>
                <w:tcPr>
                  <w:tcW w:w="275" w:type="pct"/>
                  <w:vMerge w:val="continue"/>
                  <w:vAlign w:val="center"/>
                </w:tcPr>
                <w:p w14:paraId="6C569482">
                  <w:pPr>
                    <w:pStyle w:val="65"/>
                    <w:rPr>
                      <w:color w:val="auto"/>
                    </w:rPr>
                  </w:pPr>
                </w:p>
              </w:tc>
              <w:tc>
                <w:tcPr>
                  <w:tcW w:w="428" w:type="pct"/>
                  <w:vAlign w:val="center"/>
                </w:tcPr>
                <w:p w14:paraId="65FBA568">
                  <w:pPr>
                    <w:pStyle w:val="65"/>
                    <w:rPr>
                      <w:color w:val="auto"/>
                    </w:rPr>
                  </w:pPr>
                  <w:r>
                    <w:rPr>
                      <w:rFonts w:hint="eastAsia"/>
                      <w:color w:val="auto"/>
                    </w:rPr>
                    <w:t>900-999-49</w:t>
                  </w:r>
                </w:p>
              </w:tc>
              <w:tc>
                <w:tcPr>
                  <w:tcW w:w="964" w:type="pct"/>
                  <w:vAlign w:val="center"/>
                </w:tcPr>
                <w:p w14:paraId="1CEF85EF">
                  <w:pPr>
                    <w:pStyle w:val="65"/>
                    <w:rPr>
                      <w:color w:val="auto"/>
                    </w:rPr>
                  </w:pPr>
                  <w:r>
                    <w:rPr>
                      <w:rFonts w:hint="eastAsia"/>
                      <w:color w:val="auto"/>
                    </w:rPr>
                    <w:t>被所有者申报废弃的，或者未申报废弃但被非法排放、倾倒、利用、处置的，以及有关部门依法收缴或者接收且需要销毁的列入《危险化学品目录》的危险化学品（不含该目录中仅具有“加压气体”物理危险性的危险化学品）</w:t>
                  </w:r>
                </w:p>
              </w:tc>
              <w:tc>
                <w:tcPr>
                  <w:tcW w:w="247" w:type="pct"/>
                  <w:vAlign w:val="center"/>
                </w:tcPr>
                <w:p w14:paraId="7001A64A">
                  <w:pPr>
                    <w:pStyle w:val="65"/>
                    <w:rPr>
                      <w:color w:val="auto"/>
                    </w:rPr>
                  </w:pPr>
                  <w:r>
                    <w:rPr>
                      <w:color w:val="auto"/>
                    </w:rPr>
                    <w:t>5</w:t>
                  </w:r>
                </w:p>
              </w:tc>
              <w:tc>
                <w:tcPr>
                  <w:tcW w:w="247" w:type="pct"/>
                  <w:vAlign w:val="center"/>
                </w:tcPr>
                <w:p w14:paraId="1C4BA196">
                  <w:pPr>
                    <w:pStyle w:val="65"/>
                    <w:rPr>
                      <w:color w:val="auto"/>
                    </w:rPr>
                  </w:pPr>
                  <w:r>
                    <w:rPr>
                      <w:color w:val="auto"/>
                    </w:rPr>
                    <w:t>500</w:t>
                  </w:r>
                </w:p>
              </w:tc>
              <w:tc>
                <w:tcPr>
                  <w:tcW w:w="220" w:type="pct"/>
                  <w:vMerge w:val="continue"/>
                  <w:vAlign w:val="center"/>
                </w:tcPr>
                <w:p w14:paraId="404EE374">
                  <w:pPr>
                    <w:pStyle w:val="65"/>
                    <w:rPr>
                      <w:color w:val="auto"/>
                    </w:rPr>
                  </w:pPr>
                </w:p>
              </w:tc>
              <w:tc>
                <w:tcPr>
                  <w:tcW w:w="408" w:type="pct"/>
                  <w:vMerge w:val="continue"/>
                  <w:vAlign w:val="center"/>
                </w:tcPr>
                <w:p w14:paraId="660B48F0">
                  <w:pPr>
                    <w:pStyle w:val="65"/>
                    <w:rPr>
                      <w:color w:val="auto"/>
                    </w:rPr>
                  </w:pPr>
                </w:p>
              </w:tc>
              <w:tc>
                <w:tcPr>
                  <w:tcW w:w="328" w:type="pct"/>
                  <w:shd w:val="clear" w:color="auto" w:fill="auto"/>
                  <w:vAlign w:val="center"/>
                </w:tcPr>
                <w:p w14:paraId="4A834A69">
                  <w:pPr>
                    <w:pStyle w:val="65"/>
                    <w:rPr>
                      <w:rFonts w:ascii="Times New Roman" w:hAnsi="Times New Roman" w:eastAsia="宋体" w:cs="Times New Roman"/>
                      <w:bCs/>
                      <w:color w:val="auto"/>
                      <w:sz w:val="21"/>
                      <w:lang w:val="en-US" w:eastAsia="zh-CN" w:bidi="ar-SA"/>
                    </w:rPr>
                  </w:pPr>
                  <w:r>
                    <w:rPr>
                      <w:rFonts w:hint="eastAsia"/>
                      <w:color w:val="auto"/>
                    </w:rPr>
                    <w:t>900-999-49</w:t>
                  </w:r>
                </w:p>
              </w:tc>
              <w:tc>
                <w:tcPr>
                  <w:tcW w:w="917" w:type="pct"/>
                  <w:shd w:val="clear" w:color="auto" w:fill="auto"/>
                  <w:vAlign w:val="center"/>
                </w:tcPr>
                <w:p w14:paraId="3DABC11F">
                  <w:pPr>
                    <w:pStyle w:val="65"/>
                    <w:rPr>
                      <w:rFonts w:ascii="Times New Roman" w:hAnsi="Times New Roman" w:eastAsia="宋体" w:cs="Times New Roman"/>
                      <w:bCs/>
                      <w:color w:val="auto"/>
                      <w:sz w:val="21"/>
                      <w:lang w:val="en-US" w:eastAsia="zh-CN" w:bidi="ar-SA"/>
                    </w:rPr>
                  </w:pPr>
                  <w:r>
                    <w:rPr>
                      <w:rFonts w:hint="eastAsia"/>
                      <w:color w:val="auto"/>
                    </w:rPr>
                    <w:t>被所有者申报废弃的，或者未申报废弃但被非法排放、倾倒、利用、处置的，以及有关部门依法收缴或者接收且需要销毁的列入《危险化学品目录》的危险化学品（不含该目录中仅具有“加压气体”物理危险性的危险化学品）</w:t>
                  </w:r>
                </w:p>
              </w:tc>
              <w:tc>
                <w:tcPr>
                  <w:tcW w:w="241" w:type="pct"/>
                  <w:shd w:val="clear" w:color="auto" w:fill="auto"/>
                  <w:vAlign w:val="center"/>
                </w:tcPr>
                <w:p w14:paraId="50D63652">
                  <w:pPr>
                    <w:pStyle w:val="65"/>
                    <w:rPr>
                      <w:rFonts w:ascii="Times New Roman" w:hAnsi="Times New Roman" w:eastAsia="宋体" w:cs="Times New Roman"/>
                      <w:bCs/>
                      <w:color w:val="auto"/>
                      <w:sz w:val="21"/>
                      <w:lang w:val="en-US" w:eastAsia="zh-CN" w:bidi="ar-SA"/>
                    </w:rPr>
                  </w:pPr>
                  <w:r>
                    <w:rPr>
                      <w:color w:val="auto"/>
                    </w:rPr>
                    <w:t>5</w:t>
                  </w:r>
                </w:p>
              </w:tc>
              <w:tc>
                <w:tcPr>
                  <w:tcW w:w="207" w:type="pct"/>
                  <w:shd w:val="clear" w:color="auto" w:fill="auto"/>
                  <w:vAlign w:val="center"/>
                </w:tcPr>
                <w:p w14:paraId="6257F621">
                  <w:pPr>
                    <w:pStyle w:val="65"/>
                    <w:rPr>
                      <w:rFonts w:ascii="Times New Roman" w:hAnsi="Times New Roman" w:eastAsia="宋体" w:cs="Times New Roman"/>
                      <w:bCs/>
                      <w:color w:val="auto"/>
                      <w:sz w:val="21"/>
                      <w:lang w:val="en-US" w:eastAsia="zh-CN" w:bidi="ar-SA"/>
                    </w:rPr>
                  </w:pPr>
                  <w:r>
                    <w:rPr>
                      <w:color w:val="auto"/>
                    </w:rPr>
                    <w:t>500</w:t>
                  </w:r>
                </w:p>
              </w:tc>
              <w:tc>
                <w:tcPr>
                  <w:tcW w:w="207" w:type="pct"/>
                  <w:vMerge w:val="continue"/>
                  <w:vAlign w:val="center"/>
                </w:tcPr>
                <w:p w14:paraId="61D4F05C">
                  <w:pPr>
                    <w:pStyle w:val="65"/>
                    <w:rPr>
                      <w:color w:val="auto"/>
                    </w:rPr>
                  </w:pPr>
                </w:p>
              </w:tc>
              <w:tc>
                <w:tcPr>
                  <w:tcW w:w="151" w:type="pct"/>
                  <w:shd w:val="clear" w:color="auto" w:fill="auto"/>
                  <w:vAlign w:val="center"/>
                </w:tcPr>
                <w:p w14:paraId="565DCABF">
                  <w:pPr>
                    <w:pStyle w:val="65"/>
                    <w:rPr>
                      <w:rFonts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4D091174">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restart"/>
                  <w:vAlign w:val="center"/>
                </w:tcPr>
                <w:p w14:paraId="1FDC89E7">
                  <w:pPr>
                    <w:pStyle w:val="66"/>
                    <w:numPr>
                      <w:ilvl w:val="0"/>
                      <w:numId w:val="3"/>
                    </w:numPr>
                    <w:rPr>
                      <w:color w:val="auto"/>
                      <w:lang w:val="pt-BR"/>
                    </w:rPr>
                  </w:pPr>
                </w:p>
              </w:tc>
              <w:tc>
                <w:tcPr>
                  <w:tcW w:w="275" w:type="pct"/>
                  <w:vMerge w:val="restart"/>
                  <w:vAlign w:val="center"/>
                </w:tcPr>
                <w:p w14:paraId="0C3A37D8">
                  <w:pPr>
                    <w:pStyle w:val="65"/>
                    <w:rPr>
                      <w:color w:val="auto"/>
                    </w:rPr>
                  </w:pPr>
                  <w:r>
                    <w:rPr>
                      <w:rFonts w:hint="eastAsia"/>
                      <w:color w:val="auto"/>
                    </w:rPr>
                    <w:t>HW50废催化剂</w:t>
                  </w:r>
                </w:p>
              </w:tc>
              <w:tc>
                <w:tcPr>
                  <w:tcW w:w="428" w:type="pct"/>
                  <w:vAlign w:val="center"/>
                </w:tcPr>
                <w:p w14:paraId="14BA97EE">
                  <w:pPr>
                    <w:pStyle w:val="65"/>
                    <w:rPr>
                      <w:color w:val="auto"/>
                    </w:rPr>
                  </w:pPr>
                  <w:r>
                    <w:rPr>
                      <w:rFonts w:hint="eastAsia"/>
                      <w:color w:val="auto"/>
                    </w:rPr>
                    <w:t>772-007-50</w:t>
                  </w:r>
                </w:p>
              </w:tc>
              <w:tc>
                <w:tcPr>
                  <w:tcW w:w="964" w:type="pct"/>
                  <w:vAlign w:val="center"/>
                </w:tcPr>
                <w:p w14:paraId="3569E85E">
                  <w:pPr>
                    <w:pStyle w:val="65"/>
                    <w:rPr>
                      <w:color w:val="auto"/>
                    </w:rPr>
                  </w:pPr>
                  <w:r>
                    <w:rPr>
                      <w:rFonts w:hint="eastAsia"/>
                      <w:color w:val="auto"/>
                    </w:rPr>
                    <w:t>烟气脱硝过程中产生的废钒钛系催化剂</w:t>
                  </w:r>
                </w:p>
              </w:tc>
              <w:tc>
                <w:tcPr>
                  <w:tcW w:w="247" w:type="pct"/>
                  <w:vAlign w:val="center"/>
                </w:tcPr>
                <w:p w14:paraId="78C48D1B">
                  <w:pPr>
                    <w:pStyle w:val="65"/>
                    <w:rPr>
                      <w:color w:val="auto"/>
                    </w:rPr>
                  </w:pPr>
                  <w:r>
                    <w:rPr>
                      <w:color w:val="auto"/>
                    </w:rPr>
                    <w:t>4</w:t>
                  </w:r>
                </w:p>
              </w:tc>
              <w:tc>
                <w:tcPr>
                  <w:tcW w:w="247" w:type="pct"/>
                  <w:vAlign w:val="center"/>
                </w:tcPr>
                <w:p w14:paraId="00AF81D2">
                  <w:pPr>
                    <w:pStyle w:val="65"/>
                    <w:rPr>
                      <w:color w:val="auto"/>
                    </w:rPr>
                  </w:pPr>
                  <w:r>
                    <w:rPr>
                      <w:color w:val="auto"/>
                    </w:rPr>
                    <w:t>200</w:t>
                  </w:r>
                </w:p>
              </w:tc>
              <w:tc>
                <w:tcPr>
                  <w:tcW w:w="220" w:type="pct"/>
                  <w:vMerge w:val="restart"/>
                  <w:vAlign w:val="center"/>
                </w:tcPr>
                <w:p w14:paraId="328088C5">
                  <w:pPr>
                    <w:pStyle w:val="65"/>
                    <w:rPr>
                      <w:color w:val="auto"/>
                    </w:rPr>
                  </w:pPr>
                  <w:r>
                    <w:rPr>
                      <w:rFonts w:hint="eastAsia"/>
                      <w:color w:val="auto"/>
                    </w:rPr>
                    <w:t>400</w:t>
                  </w:r>
                </w:p>
              </w:tc>
              <w:tc>
                <w:tcPr>
                  <w:tcW w:w="408" w:type="pct"/>
                  <w:vMerge w:val="restart"/>
                  <w:shd w:val="clear" w:color="auto" w:fill="auto"/>
                  <w:vAlign w:val="center"/>
                </w:tcPr>
                <w:p w14:paraId="7F9AD910">
                  <w:pPr>
                    <w:pStyle w:val="65"/>
                    <w:rPr>
                      <w:rFonts w:hint="eastAsia" w:ascii="Times New Roman" w:hAnsi="Times New Roman" w:eastAsia="宋体" w:cs="Times New Roman"/>
                      <w:bCs/>
                      <w:color w:val="auto"/>
                      <w:sz w:val="21"/>
                      <w:lang w:val="en-US" w:eastAsia="zh-CN" w:bidi="ar-SA"/>
                    </w:rPr>
                  </w:pPr>
                  <w:r>
                    <w:rPr>
                      <w:rFonts w:hint="eastAsia"/>
                      <w:color w:val="auto"/>
                    </w:rPr>
                    <w:t>HW50废催化剂</w:t>
                  </w:r>
                </w:p>
              </w:tc>
              <w:tc>
                <w:tcPr>
                  <w:tcW w:w="328" w:type="pct"/>
                  <w:shd w:val="clear" w:color="auto" w:fill="auto"/>
                  <w:vAlign w:val="center"/>
                </w:tcPr>
                <w:p w14:paraId="0008F270">
                  <w:pPr>
                    <w:pStyle w:val="65"/>
                    <w:rPr>
                      <w:rFonts w:hint="eastAsia" w:ascii="Times New Roman" w:hAnsi="Times New Roman" w:eastAsia="宋体" w:cs="Times New Roman"/>
                      <w:bCs/>
                      <w:color w:val="auto"/>
                      <w:sz w:val="21"/>
                      <w:lang w:val="en-US" w:eastAsia="zh-CN" w:bidi="ar-SA"/>
                    </w:rPr>
                  </w:pPr>
                  <w:r>
                    <w:rPr>
                      <w:rFonts w:hint="eastAsia"/>
                      <w:color w:val="auto"/>
                    </w:rPr>
                    <w:t>772-007-50</w:t>
                  </w:r>
                </w:p>
              </w:tc>
              <w:tc>
                <w:tcPr>
                  <w:tcW w:w="917" w:type="pct"/>
                  <w:shd w:val="clear" w:color="auto" w:fill="auto"/>
                  <w:vAlign w:val="center"/>
                </w:tcPr>
                <w:p w14:paraId="4D5EB0F5">
                  <w:pPr>
                    <w:pStyle w:val="65"/>
                    <w:rPr>
                      <w:rFonts w:hint="eastAsia" w:ascii="Times New Roman" w:hAnsi="Times New Roman" w:eastAsia="宋体" w:cs="Times New Roman"/>
                      <w:bCs/>
                      <w:color w:val="auto"/>
                      <w:sz w:val="21"/>
                      <w:lang w:val="en-US" w:eastAsia="zh-CN" w:bidi="ar-SA"/>
                    </w:rPr>
                  </w:pPr>
                  <w:r>
                    <w:rPr>
                      <w:rFonts w:hint="eastAsia"/>
                      <w:color w:val="auto"/>
                    </w:rPr>
                    <w:t>烟气脱硝过程中产生的废钒钛系催化剂</w:t>
                  </w:r>
                </w:p>
              </w:tc>
              <w:tc>
                <w:tcPr>
                  <w:tcW w:w="241" w:type="pct"/>
                  <w:shd w:val="clear" w:color="auto" w:fill="auto"/>
                  <w:vAlign w:val="center"/>
                </w:tcPr>
                <w:p w14:paraId="05570BD1">
                  <w:pPr>
                    <w:pStyle w:val="65"/>
                    <w:rPr>
                      <w:rFonts w:hint="eastAsia" w:ascii="Times New Roman" w:hAnsi="Times New Roman" w:eastAsia="宋体" w:cs="Times New Roman"/>
                      <w:bCs/>
                      <w:color w:val="auto"/>
                      <w:sz w:val="21"/>
                      <w:lang w:val="en-US" w:eastAsia="zh-CN" w:bidi="ar-SA"/>
                    </w:rPr>
                  </w:pPr>
                  <w:r>
                    <w:rPr>
                      <w:color w:val="auto"/>
                    </w:rPr>
                    <w:t>4</w:t>
                  </w:r>
                </w:p>
              </w:tc>
              <w:tc>
                <w:tcPr>
                  <w:tcW w:w="207" w:type="pct"/>
                  <w:shd w:val="clear" w:color="auto" w:fill="auto"/>
                  <w:vAlign w:val="center"/>
                </w:tcPr>
                <w:p w14:paraId="4FF72363">
                  <w:pPr>
                    <w:pStyle w:val="65"/>
                    <w:rPr>
                      <w:rFonts w:hint="eastAsia" w:ascii="Times New Roman" w:hAnsi="Times New Roman" w:eastAsia="宋体" w:cs="Times New Roman"/>
                      <w:bCs/>
                      <w:color w:val="auto"/>
                      <w:sz w:val="21"/>
                      <w:lang w:val="en-US" w:eastAsia="zh-CN" w:bidi="ar-SA"/>
                    </w:rPr>
                  </w:pPr>
                  <w:r>
                    <w:rPr>
                      <w:color w:val="auto"/>
                    </w:rPr>
                    <w:t>200</w:t>
                  </w:r>
                </w:p>
              </w:tc>
              <w:tc>
                <w:tcPr>
                  <w:tcW w:w="207" w:type="pct"/>
                  <w:vMerge w:val="restart"/>
                  <w:vAlign w:val="center"/>
                </w:tcPr>
                <w:p w14:paraId="43AC0236">
                  <w:pPr>
                    <w:pStyle w:val="65"/>
                    <w:rPr>
                      <w:rFonts w:hint="default" w:eastAsia="宋体"/>
                      <w:color w:val="auto"/>
                      <w:lang w:val="en-US" w:eastAsia="zh-CN"/>
                    </w:rPr>
                  </w:pPr>
                  <w:r>
                    <w:rPr>
                      <w:rFonts w:hint="eastAsia"/>
                      <w:color w:val="auto"/>
                      <w:lang w:val="en-US" w:eastAsia="zh-CN"/>
                    </w:rPr>
                    <w:t>400</w:t>
                  </w:r>
                </w:p>
              </w:tc>
              <w:tc>
                <w:tcPr>
                  <w:tcW w:w="151" w:type="pct"/>
                  <w:shd w:val="clear" w:color="auto" w:fill="auto"/>
                  <w:vAlign w:val="center"/>
                </w:tcPr>
                <w:p w14:paraId="0B084EE5">
                  <w:pPr>
                    <w:pStyle w:val="65"/>
                    <w:rPr>
                      <w:rFonts w:hint="eastAsia" w:ascii="Times New Roman" w:hAnsi="Times New Roman" w:eastAsia="宋体" w:cs="Times New Roman"/>
                      <w:b w:val="0"/>
                      <w:bCs/>
                      <w:color w:val="auto"/>
                      <w:sz w:val="21"/>
                      <w:lang w:val="en-US" w:eastAsia="zh-CN" w:bidi="ar-SA"/>
                    </w:rPr>
                  </w:pPr>
                  <w:r>
                    <w:rPr>
                      <w:rFonts w:hint="eastAsia"/>
                      <w:b w:val="0"/>
                      <w:bCs/>
                      <w:color w:val="auto"/>
                      <w:lang w:val="en-US" w:eastAsia="zh-CN"/>
                    </w:rPr>
                    <w:t>一致</w:t>
                  </w:r>
                </w:p>
              </w:tc>
            </w:tr>
            <w:tr w14:paraId="7383304A">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1" w:type="pct"/>
                  <w:vMerge w:val="continue"/>
                  <w:tcBorders>
                    <w:bottom w:val="single" w:color="auto" w:sz="4" w:space="0"/>
                  </w:tcBorders>
                  <w:vAlign w:val="center"/>
                </w:tcPr>
                <w:p w14:paraId="25911880">
                  <w:pPr>
                    <w:pStyle w:val="66"/>
                    <w:rPr>
                      <w:color w:val="auto"/>
                      <w:lang w:val="pt-BR"/>
                    </w:rPr>
                  </w:pPr>
                </w:p>
              </w:tc>
              <w:tc>
                <w:tcPr>
                  <w:tcW w:w="275" w:type="pct"/>
                  <w:vMerge w:val="continue"/>
                  <w:tcBorders>
                    <w:bottom w:val="single" w:color="auto" w:sz="4" w:space="0"/>
                  </w:tcBorders>
                  <w:vAlign w:val="center"/>
                </w:tcPr>
                <w:p w14:paraId="489A0E4E">
                  <w:pPr>
                    <w:pStyle w:val="65"/>
                    <w:rPr>
                      <w:color w:val="auto"/>
                    </w:rPr>
                  </w:pPr>
                </w:p>
              </w:tc>
              <w:tc>
                <w:tcPr>
                  <w:tcW w:w="428" w:type="pct"/>
                  <w:tcBorders>
                    <w:bottom w:val="single" w:color="auto" w:sz="4" w:space="0"/>
                  </w:tcBorders>
                  <w:vAlign w:val="center"/>
                </w:tcPr>
                <w:p w14:paraId="02D4B6A5">
                  <w:pPr>
                    <w:pStyle w:val="65"/>
                    <w:rPr>
                      <w:color w:val="auto"/>
                    </w:rPr>
                  </w:pPr>
                  <w:r>
                    <w:rPr>
                      <w:rFonts w:hint="eastAsia"/>
                      <w:color w:val="auto"/>
                    </w:rPr>
                    <w:t>900-049-50</w:t>
                  </w:r>
                </w:p>
              </w:tc>
              <w:tc>
                <w:tcPr>
                  <w:tcW w:w="964" w:type="pct"/>
                  <w:tcBorders>
                    <w:bottom w:val="single" w:color="auto" w:sz="4" w:space="0"/>
                  </w:tcBorders>
                  <w:vAlign w:val="center"/>
                </w:tcPr>
                <w:p w14:paraId="06CD58BA">
                  <w:pPr>
                    <w:pStyle w:val="65"/>
                    <w:rPr>
                      <w:color w:val="auto"/>
                    </w:rPr>
                  </w:pPr>
                  <w:r>
                    <w:rPr>
                      <w:rFonts w:hint="eastAsia"/>
                      <w:color w:val="auto"/>
                    </w:rPr>
                    <w:t>机动车和非道路移动机械尾气净化废催化剂</w:t>
                  </w:r>
                </w:p>
              </w:tc>
              <w:tc>
                <w:tcPr>
                  <w:tcW w:w="247" w:type="pct"/>
                  <w:tcBorders>
                    <w:bottom w:val="single" w:color="auto" w:sz="4" w:space="0"/>
                  </w:tcBorders>
                  <w:vAlign w:val="center"/>
                </w:tcPr>
                <w:p w14:paraId="70F4F736">
                  <w:pPr>
                    <w:pStyle w:val="65"/>
                    <w:rPr>
                      <w:color w:val="auto"/>
                    </w:rPr>
                  </w:pPr>
                  <w:r>
                    <w:rPr>
                      <w:color w:val="auto"/>
                    </w:rPr>
                    <w:t>4</w:t>
                  </w:r>
                </w:p>
              </w:tc>
              <w:tc>
                <w:tcPr>
                  <w:tcW w:w="247" w:type="pct"/>
                  <w:tcBorders>
                    <w:bottom w:val="single" w:color="auto" w:sz="4" w:space="0"/>
                  </w:tcBorders>
                  <w:vAlign w:val="center"/>
                </w:tcPr>
                <w:p w14:paraId="0D2FFFCC">
                  <w:pPr>
                    <w:pStyle w:val="65"/>
                    <w:rPr>
                      <w:color w:val="auto"/>
                    </w:rPr>
                  </w:pPr>
                  <w:r>
                    <w:rPr>
                      <w:color w:val="auto"/>
                    </w:rPr>
                    <w:t>200</w:t>
                  </w:r>
                </w:p>
              </w:tc>
              <w:tc>
                <w:tcPr>
                  <w:tcW w:w="220" w:type="pct"/>
                  <w:vMerge w:val="continue"/>
                  <w:tcBorders>
                    <w:bottom w:val="single" w:color="auto" w:sz="4" w:space="0"/>
                  </w:tcBorders>
                  <w:vAlign w:val="center"/>
                </w:tcPr>
                <w:p w14:paraId="0B813556">
                  <w:pPr>
                    <w:pStyle w:val="65"/>
                    <w:rPr>
                      <w:color w:val="auto"/>
                    </w:rPr>
                  </w:pPr>
                </w:p>
              </w:tc>
              <w:tc>
                <w:tcPr>
                  <w:tcW w:w="408" w:type="pct"/>
                  <w:vMerge w:val="continue"/>
                  <w:tcBorders>
                    <w:bottom w:val="single" w:color="auto" w:sz="4" w:space="0"/>
                  </w:tcBorders>
                  <w:vAlign w:val="center"/>
                </w:tcPr>
                <w:p w14:paraId="6CEA9840">
                  <w:pPr>
                    <w:pStyle w:val="65"/>
                    <w:rPr>
                      <w:color w:val="auto"/>
                    </w:rPr>
                  </w:pPr>
                </w:p>
              </w:tc>
              <w:tc>
                <w:tcPr>
                  <w:tcW w:w="328" w:type="pct"/>
                  <w:tcBorders>
                    <w:bottom w:val="single" w:color="auto" w:sz="4" w:space="0"/>
                  </w:tcBorders>
                  <w:shd w:val="clear" w:color="auto" w:fill="auto"/>
                  <w:vAlign w:val="center"/>
                </w:tcPr>
                <w:p w14:paraId="21A2761A">
                  <w:pPr>
                    <w:pStyle w:val="65"/>
                    <w:rPr>
                      <w:rFonts w:ascii="Times New Roman" w:hAnsi="Times New Roman" w:eastAsia="宋体" w:cs="Times New Roman"/>
                      <w:bCs/>
                      <w:color w:val="auto"/>
                      <w:sz w:val="21"/>
                      <w:lang w:val="en-US" w:eastAsia="zh-CN" w:bidi="ar-SA"/>
                    </w:rPr>
                  </w:pPr>
                  <w:r>
                    <w:rPr>
                      <w:rFonts w:hint="eastAsia"/>
                      <w:color w:val="auto"/>
                    </w:rPr>
                    <w:t>900-049-50</w:t>
                  </w:r>
                </w:p>
              </w:tc>
              <w:tc>
                <w:tcPr>
                  <w:tcW w:w="917" w:type="pct"/>
                  <w:tcBorders>
                    <w:bottom w:val="single" w:color="auto" w:sz="4" w:space="0"/>
                  </w:tcBorders>
                  <w:shd w:val="clear" w:color="auto" w:fill="auto"/>
                  <w:vAlign w:val="center"/>
                </w:tcPr>
                <w:p w14:paraId="738F4F6D">
                  <w:pPr>
                    <w:pStyle w:val="65"/>
                    <w:rPr>
                      <w:rFonts w:ascii="Times New Roman" w:hAnsi="Times New Roman" w:eastAsia="宋体" w:cs="Times New Roman"/>
                      <w:bCs/>
                      <w:color w:val="auto"/>
                      <w:sz w:val="21"/>
                      <w:lang w:val="en-US" w:eastAsia="zh-CN" w:bidi="ar-SA"/>
                    </w:rPr>
                  </w:pPr>
                  <w:r>
                    <w:rPr>
                      <w:rFonts w:hint="eastAsia"/>
                      <w:color w:val="auto"/>
                    </w:rPr>
                    <w:t>机动车和非道路移动机械尾气净化废催化剂</w:t>
                  </w:r>
                </w:p>
              </w:tc>
              <w:tc>
                <w:tcPr>
                  <w:tcW w:w="241" w:type="pct"/>
                  <w:tcBorders>
                    <w:bottom w:val="single" w:color="auto" w:sz="4" w:space="0"/>
                  </w:tcBorders>
                  <w:shd w:val="clear" w:color="auto" w:fill="auto"/>
                  <w:vAlign w:val="center"/>
                </w:tcPr>
                <w:p w14:paraId="6AB3EC9E">
                  <w:pPr>
                    <w:pStyle w:val="65"/>
                    <w:rPr>
                      <w:rFonts w:ascii="Times New Roman" w:hAnsi="Times New Roman" w:eastAsia="宋体" w:cs="Times New Roman"/>
                      <w:bCs/>
                      <w:color w:val="auto"/>
                      <w:sz w:val="21"/>
                      <w:lang w:val="en-US" w:eastAsia="zh-CN" w:bidi="ar-SA"/>
                    </w:rPr>
                  </w:pPr>
                  <w:r>
                    <w:rPr>
                      <w:color w:val="auto"/>
                    </w:rPr>
                    <w:t>4</w:t>
                  </w:r>
                </w:p>
              </w:tc>
              <w:tc>
                <w:tcPr>
                  <w:tcW w:w="207" w:type="pct"/>
                  <w:tcBorders>
                    <w:bottom w:val="single" w:color="auto" w:sz="4" w:space="0"/>
                  </w:tcBorders>
                  <w:shd w:val="clear" w:color="auto" w:fill="auto"/>
                  <w:vAlign w:val="center"/>
                </w:tcPr>
                <w:p w14:paraId="3565E293">
                  <w:pPr>
                    <w:pStyle w:val="65"/>
                    <w:rPr>
                      <w:rFonts w:ascii="Times New Roman" w:hAnsi="Times New Roman" w:eastAsia="宋体" w:cs="Times New Roman"/>
                      <w:bCs/>
                      <w:color w:val="auto"/>
                      <w:sz w:val="21"/>
                      <w:lang w:val="en-US" w:eastAsia="zh-CN" w:bidi="ar-SA"/>
                    </w:rPr>
                  </w:pPr>
                  <w:r>
                    <w:rPr>
                      <w:color w:val="auto"/>
                    </w:rPr>
                    <w:t>200</w:t>
                  </w:r>
                </w:p>
              </w:tc>
              <w:tc>
                <w:tcPr>
                  <w:tcW w:w="207" w:type="pct"/>
                  <w:vMerge w:val="continue"/>
                  <w:tcBorders>
                    <w:bottom w:val="single" w:color="auto" w:sz="4" w:space="0"/>
                  </w:tcBorders>
                  <w:vAlign w:val="center"/>
                </w:tcPr>
                <w:p w14:paraId="6C794FB6">
                  <w:pPr>
                    <w:pStyle w:val="65"/>
                    <w:rPr>
                      <w:color w:val="auto"/>
                    </w:rPr>
                  </w:pPr>
                </w:p>
              </w:tc>
              <w:tc>
                <w:tcPr>
                  <w:tcW w:w="151" w:type="pct"/>
                  <w:tcBorders>
                    <w:bottom w:val="single" w:color="auto" w:sz="4" w:space="0"/>
                  </w:tcBorders>
                  <w:vAlign w:val="center"/>
                </w:tcPr>
                <w:p w14:paraId="25FED8FA">
                  <w:pPr>
                    <w:pStyle w:val="65"/>
                    <w:rPr>
                      <w:b w:val="0"/>
                      <w:bCs/>
                      <w:color w:val="auto"/>
                    </w:rPr>
                  </w:pPr>
                  <w:r>
                    <w:rPr>
                      <w:rFonts w:hint="eastAsia"/>
                      <w:b w:val="0"/>
                      <w:bCs/>
                      <w:color w:val="auto"/>
                      <w:lang w:val="en-US" w:eastAsia="zh-CN"/>
                    </w:rPr>
                    <w:t>一致</w:t>
                  </w:r>
                </w:p>
              </w:tc>
            </w:tr>
            <w:tr w14:paraId="3A9A9BC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0" w:type="pct"/>
                  <w:gridSpan w:val="4"/>
                  <w:tcBorders>
                    <w:top w:val="single" w:color="auto" w:sz="4" w:space="0"/>
                    <w:bottom w:val="single" w:color="auto" w:sz="4" w:space="0"/>
                  </w:tcBorders>
                  <w:vAlign w:val="center"/>
                </w:tcPr>
                <w:p w14:paraId="0B70CA04">
                  <w:pPr>
                    <w:pStyle w:val="65"/>
                    <w:rPr>
                      <w:b/>
                      <w:bCs w:val="0"/>
                      <w:color w:val="auto"/>
                    </w:rPr>
                  </w:pPr>
                  <w:r>
                    <w:rPr>
                      <w:rFonts w:hint="eastAsia"/>
                      <w:b/>
                      <w:bCs w:val="0"/>
                      <w:color w:val="auto"/>
                    </w:rPr>
                    <w:t>合计</w:t>
                  </w:r>
                </w:p>
              </w:tc>
              <w:tc>
                <w:tcPr>
                  <w:tcW w:w="247" w:type="pct"/>
                  <w:tcBorders>
                    <w:top w:val="single" w:color="auto" w:sz="4" w:space="0"/>
                    <w:bottom w:val="single" w:color="auto" w:sz="4" w:space="0"/>
                  </w:tcBorders>
                  <w:vAlign w:val="center"/>
                </w:tcPr>
                <w:p w14:paraId="01185A62">
                  <w:pPr>
                    <w:pStyle w:val="65"/>
                    <w:rPr>
                      <w:b/>
                      <w:bCs w:val="0"/>
                      <w:color w:val="auto"/>
                    </w:rPr>
                  </w:pPr>
                  <w:r>
                    <w:rPr>
                      <w:rFonts w:hint="eastAsia"/>
                      <w:b/>
                      <w:bCs w:val="0"/>
                      <w:color w:val="auto"/>
                    </w:rPr>
                    <w:t>154</w:t>
                  </w:r>
                </w:p>
              </w:tc>
              <w:tc>
                <w:tcPr>
                  <w:tcW w:w="247" w:type="pct"/>
                  <w:tcBorders>
                    <w:top w:val="single" w:color="auto" w:sz="4" w:space="0"/>
                    <w:bottom w:val="single" w:color="auto" w:sz="4" w:space="0"/>
                  </w:tcBorders>
                  <w:vAlign w:val="center"/>
                </w:tcPr>
                <w:p w14:paraId="7DF2F0EF">
                  <w:pPr>
                    <w:pStyle w:val="65"/>
                    <w:rPr>
                      <w:b/>
                      <w:bCs w:val="0"/>
                      <w:color w:val="auto"/>
                    </w:rPr>
                  </w:pPr>
                  <w:r>
                    <w:rPr>
                      <w:rFonts w:hint="eastAsia"/>
                      <w:b/>
                      <w:bCs w:val="0"/>
                      <w:color w:val="auto"/>
                    </w:rPr>
                    <w:t>9860</w:t>
                  </w:r>
                </w:p>
              </w:tc>
              <w:tc>
                <w:tcPr>
                  <w:tcW w:w="220" w:type="pct"/>
                  <w:tcBorders>
                    <w:top w:val="single" w:color="auto" w:sz="4" w:space="0"/>
                    <w:bottom w:val="single" w:color="auto" w:sz="4" w:space="0"/>
                  </w:tcBorders>
                  <w:vAlign w:val="center"/>
                </w:tcPr>
                <w:p w14:paraId="69D01D7F">
                  <w:pPr>
                    <w:pStyle w:val="65"/>
                    <w:rPr>
                      <w:b/>
                      <w:bCs w:val="0"/>
                      <w:color w:val="auto"/>
                    </w:rPr>
                  </w:pPr>
                  <w:r>
                    <w:rPr>
                      <w:rFonts w:hint="eastAsia"/>
                      <w:b/>
                      <w:bCs w:val="0"/>
                      <w:color w:val="auto"/>
                    </w:rPr>
                    <w:t>9860</w:t>
                  </w:r>
                </w:p>
              </w:tc>
              <w:tc>
                <w:tcPr>
                  <w:tcW w:w="1654" w:type="pct"/>
                  <w:gridSpan w:val="3"/>
                  <w:tcBorders>
                    <w:top w:val="single" w:color="auto" w:sz="4" w:space="0"/>
                    <w:bottom w:val="single" w:color="auto" w:sz="4" w:space="0"/>
                  </w:tcBorders>
                  <w:vAlign w:val="center"/>
                </w:tcPr>
                <w:p w14:paraId="671B7EEE">
                  <w:pPr>
                    <w:pStyle w:val="65"/>
                    <w:rPr>
                      <w:rFonts w:hint="eastAsia" w:eastAsia="宋体"/>
                      <w:b/>
                      <w:bCs w:val="0"/>
                      <w:color w:val="auto"/>
                      <w:lang w:val="en-US" w:eastAsia="zh-CN"/>
                    </w:rPr>
                  </w:pPr>
                  <w:r>
                    <w:rPr>
                      <w:rFonts w:hint="eastAsia"/>
                      <w:b/>
                      <w:bCs w:val="0"/>
                      <w:color w:val="auto"/>
                      <w:lang w:val="en-US" w:eastAsia="zh-CN"/>
                    </w:rPr>
                    <w:t>/</w:t>
                  </w:r>
                </w:p>
              </w:tc>
              <w:tc>
                <w:tcPr>
                  <w:tcW w:w="241" w:type="pct"/>
                  <w:tcBorders>
                    <w:top w:val="single" w:color="auto" w:sz="4" w:space="0"/>
                    <w:bottom w:val="single" w:color="auto" w:sz="4" w:space="0"/>
                  </w:tcBorders>
                  <w:shd w:val="clear" w:color="auto" w:fill="auto"/>
                  <w:vAlign w:val="center"/>
                </w:tcPr>
                <w:p w14:paraId="5EE0DC9A">
                  <w:pPr>
                    <w:pStyle w:val="65"/>
                    <w:rPr>
                      <w:rFonts w:hint="eastAsia" w:ascii="Times New Roman" w:hAnsi="Times New Roman" w:eastAsia="宋体" w:cs="Times New Roman"/>
                      <w:b/>
                      <w:bCs w:val="0"/>
                      <w:color w:val="auto"/>
                      <w:sz w:val="21"/>
                      <w:lang w:val="en-US" w:eastAsia="zh-CN" w:bidi="ar-SA"/>
                    </w:rPr>
                  </w:pPr>
                  <w:r>
                    <w:rPr>
                      <w:rFonts w:hint="eastAsia"/>
                      <w:b/>
                      <w:bCs w:val="0"/>
                      <w:color w:val="auto"/>
                    </w:rPr>
                    <w:t>154</w:t>
                  </w:r>
                </w:p>
              </w:tc>
              <w:tc>
                <w:tcPr>
                  <w:tcW w:w="207" w:type="pct"/>
                  <w:tcBorders>
                    <w:top w:val="single" w:color="auto" w:sz="4" w:space="0"/>
                    <w:bottom w:val="single" w:color="auto" w:sz="4" w:space="0"/>
                  </w:tcBorders>
                  <w:shd w:val="clear" w:color="auto" w:fill="auto"/>
                  <w:vAlign w:val="center"/>
                </w:tcPr>
                <w:p w14:paraId="654F54B8">
                  <w:pPr>
                    <w:pStyle w:val="65"/>
                    <w:rPr>
                      <w:rFonts w:hint="eastAsia" w:ascii="Times New Roman" w:hAnsi="Times New Roman" w:eastAsia="宋体" w:cs="Times New Roman"/>
                      <w:b/>
                      <w:bCs w:val="0"/>
                      <w:color w:val="auto"/>
                      <w:sz w:val="21"/>
                      <w:lang w:val="en-US" w:eastAsia="zh-CN" w:bidi="ar-SA"/>
                    </w:rPr>
                  </w:pPr>
                  <w:r>
                    <w:rPr>
                      <w:rFonts w:hint="eastAsia"/>
                      <w:b/>
                      <w:bCs w:val="0"/>
                      <w:color w:val="auto"/>
                    </w:rPr>
                    <w:t>9860</w:t>
                  </w:r>
                </w:p>
              </w:tc>
              <w:tc>
                <w:tcPr>
                  <w:tcW w:w="207" w:type="pct"/>
                  <w:tcBorders>
                    <w:top w:val="single" w:color="auto" w:sz="4" w:space="0"/>
                    <w:bottom w:val="single" w:color="auto" w:sz="4" w:space="0"/>
                  </w:tcBorders>
                  <w:shd w:val="clear" w:color="auto" w:fill="auto"/>
                  <w:vAlign w:val="center"/>
                </w:tcPr>
                <w:p w14:paraId="568B5635">
                  <w:pPr>
                    <w:pStyle w:val="65"/>
                    <w:rPr>
                      <w:rFonts w:hint="eastAsia" w:ascii="Times New Roman" w:hAnsi="Times New Roman" w:eastAsia="宋体" w:cs="Times New Roman"/>
                      <w:b/>
                      <w:bCs w:val="0"/>
                      <w:color w:val="auto"/>
                      <w:sz w:val="21"/>
                      <w:lang w:val="en-US" w:eastAsia="zh-CN" w:bidi="ar-SA"/>
                    </w:rPr>
                  </w:pPr>
                  <w:r>
                    <w:rPr>
                      <w:rFonts w:hint="eastAsia"/>
                      <w:b/>
                      <w:bCs w:val="0"/>
                      <w:color w:val="auto"/>
                    </w:rPr>
                    <w:t>9860</w:t>
                  </w:r>
                </w:p>
              </w:tc>
              <w:tc>
                <w:tcPr>
                  <w:tcW w:w="151" w:type="pct"/>
                  <w:tcBorders>
                    <w:top w:val="single" w:color="auto" w:sz="4" w:space="0"/>
                    <w:bottom w:val="single" w:color="auto" w:sz="4" w:space="0"/>
                  </w:tcBorders>
                  <w:vAlign w:val="center"/>
                </w:tcPr>
                <w:p w14:paraId="13930F7D">
                  <w:pPr>
                    <w:pStyle w:val="65"/>
                    <w:rPr>
                      <w:rFonts w:hint="eastAsia" w:eastAsia="宋体"/>
                      <w:b/>
                      <w:bCs w:val="0"/>
                      <w:color w:val="auto"/>
                      <w:lang w:val="en-US" w:eastAsia="zh-CN"/>
                    </w:rPr>
                  </w:pPr>
                  <w:r>
                    <w:rPr>
                      <w:rFonts w:hint="eastAsia"/>
                      <w:b/>
                      <w:bCs w:val="0"/>
                      <w:color w:val="auto"/>
                      <w:lang w:val="en-US" w:eastAsia="zh-CN"/>
                    </w:rPr>
                    <w:t>一致</w:t>
                  </w:r>
                </w:p>
              </w:tc>
            </w:tr>
          </w:tbl>
          <w:p w14:paraId="7834916F">
            <w:pPr>
              <w:keepNext w:val="0"/>
              <w:keepLines w:val="0"/>
              <w:pageBreakBefore w:val="0"/>
              <w:widowControl/>
              <w:kinsoku/>
              <w:wordWrap/>
              <w:overflowPunct/>
              <w:topLinePunct w:val="0"/>
              <w:autoSpaceDE/>
              <w:autoSpaceDN/>
              <w:bidi w:val="0"/>
              <w:adjustRightInd w:val="0"/>
              <w:snapToGrid w:val="0"/>
              <w:spacing w:after="0" w:line="540" w:lineRule="exact"/>
              <w:ind w:firstLine="482" w:firstLineChars="200"/>
              <w:textAlignment w:val="auto"/>
              <w:rPr>
                <w:rFonts w:hint="eastAsia" w:eastAsia="宋体"/>
                <w:b/>
                <w:bCs/>
                <w:color w:val="auto"/>
                <w:kern w:val="2"/>
                <w:sz w:val="24"/>
                <w:szCs w:val="20"/>
                <w:lang w:val="en-US" w:eastAsia="zh-CN"/>
              </w:rPr>
            </w:pPr>
          </w:p>
          <w:p w14:paraId="3B67E937">
            <w:pPr>
              <w:spacing w:line="360" w:lineRule="auto"/>
              <w:rPr>
                <w:rFonts w:eastAsia="仿宋_GB2312"/>
                <w:color w:val="auto"/>
                <w:sz w:val="21"/>
                <w:szCs w:val="21"/>
                <w:vertAlign w:val="baseline"/>
              </w:rPr>
            </w:pPr>
          </w:p>
          <w:p w14:paraId="35B46DE3">
            <w:pPr>
              <w:spacing w:line="360" w:lineRule="auto"/>
              <w:rPr>
                <w:rFonts w:eastAsia="仿宋_GB2312"/>
                <w:color w:val="auto"/>
                <w:sz w:val="21"/>
                <w:szCs w:val="21"/>
                <w:vertAlign w:val="baseline"/>
              </w:rPr>
            </w:pPr>
          </w:p>
          <w:p w14:paraId="5F98376D">
            <w:pPr>
              <w:spacing w:line="360" w:lineRule="auto"/>
              <w:rPr>
                <w:rFonts w:eastAsia="仿宋_GB2312"/>
                <w:color w:val="auto"/>
                <w:sz w:val="21"/>
                <w:szCs w:val="21"/>
                <w:vertAlign w:val="baseline"/>
              </w:rPr>
            </w:pPr>
          </w:p>
          <w:p w14:paraId="6AC66C14">
            <w:pPr>
              <w:spacing w:line="360" w:lineRule="auto"/>
              <w:rPr>
                <w:rFonts w:eastAsia="仿宋_GB2312"/>
                <w:color w:val="auto"/>
                <w:sz w:val="21"/>
                <w:szCs w:val="21"/>
                <w:vertAlign w:val="baseline"/>
              </w:rPr>
            </w:pPr>
          </w:p>
          <w:p w14:paraId="3BB89EDD">
            <w:pPr>
              <w:spacing w:line="360" w:lineRule="auto"/>
              <w:rPr>
                <w:rFonts w:eastAsia="仿宋_GB2312"/>
                <w:color w:val="auto"/>
                <w:sz w:val="21"/>
                <w:szCs w:val="21"/>
                <w:vertAlign w:val="baseline"/>
              </w:rPr>
            </w:pPr>
          </w:p>
          <w:p w14:paraId="1C28AF16">
            <w:pPr>
              <w:spacing w:line="360" w:lineRule="auto"/>
              <w:rPr>
                <w:rFonts w:eastAsia="仿宋_GB2312"/>
                <w:color w:val="auto"/>
                <w:sz w:val="21"/>
                <w:szCs w:val="21"/>
                <w:vertAlign w:val="baseline"/>
              </w:rPr>
            </w:pPr>
          </w:p>
          <w:p w14:paraId="5459AC62">
            <w:pPr>
              <w:spacing w:line="360" w:lineRule="auto"/>
              <w:rPr>
                <w:rFonts w:eastAsia="仿宋_GB2312"/>
                <w:color w:val="auto"/>
                <w:sz w:val="21"/>
                <w:szCs w:val="21"/>
                <w:vertAlign w:val="baseline"/>
              </w:rPr>
            </w:pPr>
          </w:p>
          <w:p w14:paraId="7BF3DA91">
            <w:pPr>
              <w:spacing w:line="360" w:lineRule="auto"/>
              <w:rPr>
                <w:rFonts w:eastAsia="仿宋_GB2312"/>
                <w:color w:val="auto"/>
                <w:sz w:val="21"/>
                <w:szCs w:val="21"/>
                <w:vertAlign w:val="baseline"/>
              </w:rPr>
            </w:pPr>
          </w:p>
          <w:p w14:paraId="15AD9A1A">
            <w:pPr>
              <w:tabs>
                <w:tab w:val="left" w:pos="9020"/>
              </w:tabs>
              <w:spacing w:line="360" w:lineRule="auto"/>
              <w:rPr>
                <w:rFonts w:eastAsia="仿宋_GB2312"/>
                <w:color w:val="auto"/>
                <w:sz w:val="21"/>
                <w:szCs w:val="21"/>
                <w:vertAlign w:val="baseline"/>
              </w:rPr>
            </w:pPr>
          </w:p>
        </w:tc>
      </w:tr>
    </w:tbl>
    <w:p w14:paraId="4B8B7E8B">
      <w:pPr>
        <w:spacing w:line="360" w:lineRule="auto"/>
        <w:rPr>
          <w:rFonts w:eastAsia="仿宋_GB2312"/>
          <w:color w:val="auto"/>
          <w:sz w:val="21"/>
          <w:szCs w:val="21"/>
        </w:rPr>
        <w:sectPr>
          <w:pgSz w:w="16838" w:h="11906" w:orient="landscape"/>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1D6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tcPr>
          <w:p w14:paraId="3B782676">
            <w:pPr>
              <w:spacing w:after="0" w:line="540" w:lineRule="exact"/>
              <w:ind w:firstLine="482" w:firstLineChars="200"/>
              <w:rPr>
                <w:rFonts w:eastAsia="宋体"/>
                <w:b/>
                <w:bCs/>
                <w:color w:val="auto"/>
                <w:kern w:val="2"/>
                <w:sz w:val="24"/>
                <w:szCs w:val="20"/>
              </w:rPr>
            </w:pPr>
            <w:r>
              <w:rPr>
                <w:rFonts w:hint="eastAsia" w:eastAsia="宋体"/>
                <w:b/>
                <w:bCs/>
                <w:color w:val="auto"/>
                <w:kern w:val="2"/>
                <w:sz w:val="24"/>
                <w:szCs w:val="20"/>
                <w:lang w:val="en-US" w:eastAsia="zh-CN"/>
              </w:rPr>
              <w:t>7</w:t>
            </w:r>
            <w:r>
              <w:rPr>
                <w:rFonts w:eastAsia="宋体"/>
                <w:b/>
                <w:bCs/>
                <w:color w:val="auto"/>
                <w:kern w:val="2"/>
                <w:sz w:val="24"/>
                <w:szCs w:val="20"/>
              </w:rPr>
              <w:t>、</w:t>
            </w:r>
            <w:r>
              <w:rPr>
                <w:rFonts w:hint="eastAsia" w:eastAsia="宋体"/>
                <w:b/>
                <w:bCs/>
                <w:color w:val="auto"/>
                <w:kern w:val="2"/>
                <w:sz w:val="24"/>
                <w:szCs w:val="20"/>
              </w:rPr>
              <w:t>生产工艺流程</w:t>
            </w:r>
          </w:p>
          <w:p w14:paraId="2C9148EE">
            <w:pPr>
              <w:spacing w:after="0" w:line="440" w:lineRule="exact"/>
              <w:ind w:firstLine="480" w:firstLineChars="200"/>
              <w:rPr>
                <w:rFonts w:eastAsia="宋体"/>
                <w:color w:val="auto"/>
                <w:kern w:val="2"/>
                <w:sz w:val="24"/>
                <w:szCs w:val="20"/>
              </w:rPr>
            </w:pPr>
            <w:r>
              <w:rPr>
                <w:rFonts w:hint="eastAsia" w:eastAsia="宋体"/>
                <w:color w:val="auto"/>
                <w:kern w:val="2"/>
                <w:sz w:val="24"/>
                <w:szCs w:val="20"/>
              </w:rPr>
              <w:t>本项目环评批复和验收生产工艺流程一致，如下所示。</w:t>
            </w:r>
          </w:p>
          <w:p w14:paraId="5A06DEE9">
            <w:pPr>
              <w:pStyle w:val="41"/>
              <w:tabs>
                <w:tab w:val="left" w:pos="4063"/>
              </w:tabs>
              <w:adjustRightInd w:val="0"/>
              <w:snapToGrid w:val="0"/>
              <w:spacing w:line="240" w:lineRule="auto"/>
              <w:ind w:firstLine="0"/>
              <w:jc w:val="center"/>
              <w:rPr>
                <w:rFonts w:hint="eastAsia" w:ascii="Times New Roman" w:hAnsi="Times New Roman" w:cs="Courier New"/>
                <w:color w:val="auto"/>
                <w:sz w:val="24"/>
              </w:rPr>
            </w:pPr>
            <w:r>
              <w:rPr>
                <w:color w:val="auto"/>
              </w:rPr>
              <w:drawing>
                <wp:inline distT="0" distB="0" distL="0" distR="0">
                  <wp:extent cx="4501515" cy="1116330"/>
                  <wp:effectExtent l="0" t="0" r="13335" b="7620"/>
                  <wp:docPr id="19567813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81329" name="图片 2"/>
                          <pic:cNvPicPr>
                            <a:picLocks noChangeAspect="1" noChangeArrowheads="1"/>
                          </pic:cNvPicPr>
                        </pic:nvPicPr>
                        <pic:blipFill>
                          <a:blip r:embed="rId9"/>
                          <a:srcRect/>
                          <a:stretch>
                            <a:fillRect/>
                          </a:stretch>
                        </pic:blipFill>
                        <pic:spPr>
                          <a:xfrm>
                            <a:off x="0" y="0"/>
                            <a:ext cx="4501515" cy="1116330"/>
                          </a:xfrm>
                          <a:prstGeom prst="rect">
                            <a:avLst/>
                          </a:prstGeom>
                          <a:noFill/>
                          <a:ln>
                            <a:noFill/>
                          </a:ln>
                        </pic:spPr>
                      </pic:pic>
                    </a:graphicData>
                  </a:graphic>
                </wp:inline>
              </w:drawing>
            </w:r>
          </w:p>
          <w:p w14:paraId="5B07EE76">
            <w:pPr>
              <w:spacing w:after="0" w:line="460" w:lineRule="exact"/>
              <w:jc w:val="center"/>
              <w:rPr>
                <w:rFonts w:eastAsia="黑体"/>
                <w:color w:val="auto"/>
                <w:sz w:val="24"/>
              </w:rPr>
            </w:pPr>
            <w:r>
              <w:rPr>
                <w:rFonts w:eastAsia="黑体"/>
                <w:color w:val="auto"/>
                <w:sz w:val="24"/>
              </w:rPr>
              <w:t>图</w:t>
            </w:r>
            <w:r>
              <w:rPr>
                <w:rFonts w:hint="eastAsia" w:eastAsia="黑体"/>
                <w:color w:val="auto"/>
                <w:sz w:val="24"/>
                <w:lang w:val="en-US" w:eastAsia="zh-CN"/>
              </w:rPr>
              <w:t>4</w:t>
            </w:r>
            <w:r>
              <w:rPr>
                <w:rFonts w:eastAsia="黑体"/>
                <w:color w:val="auto"/>
                <w:sz w:val="24"/>
              </w:rPr>
              <w:t xml:space="preserve">     </w:t>
            </w:r>
            <w:r>
              <w:rPr>
                <w:rFonts w:hint="eastAsia" w:eastAsia="黑体"/>
                <w:color w:val="auto"/>
                <w:sz w:val="24"/>
              </w:rPr>
              <w:t>本项目</w:t>
            </w:r>
            <w:r>
              <w:rPr>
                <w:rFonts w:eastAsia="黑体"/>
                <w:color w:val="auto"/>
                <w:sz w:val="24"/>
                <w:szCs w:val="20"/>
              </w:rPr>
              <w:t>生产</w:t>
            </w:r>
            <w:r>
              <w:rPr>
                <w:rFonts w:ascii="Calibri" w:hAnsi="Calibri" w:eastAsia="黑体" w:cs="Calibri"/>
                <w:color w:val="auto"/>
                <w:sz w:val="24"/>
                <w:szCs w:val="20"/>
              </w:rPr>
              <w:t>工艺及产污环节流程图</w:t>
            </w:r>
          </w:p>
          <w:p w14:paraId="5D032285">
            <w:pPr>
              <w:spacing w:after="0" w:line="460" w:lineRule="exact"/>
              <w:ind w:firstLine="480" w:firstLineChars="200"/>
              <w:rPr>
                <w:rFonts w:hAnsiTheme="majorEastAsia" w:eastAsiaTheme="majorEastAsia"/>
                <w:color w:val="auto"/>
                <w:sz w:val="24"/>
                <w:szCs w:val="20"/>
              </w:rPr>
            </w:pPr>
            <w:r>
              <w:rPr>
                <w:rFonts w:hint="eastAsia" w:ascii="Times New Roman" w:cs="Times New Roman" w:hAnsiTheme="majorEastAsia" w:eastAsiaTheme="majorEastAsia"/>
                <w:color w:val="auto"/>
                <w:sz w:val="24"/>
                <w:szCs w:val="20"/>
              </w:rPr>
              <w:t>本项目营运期整体流程为危险废物的收集、贮存、转运，最终由有资质单位运输至最终有资质处置单位安全处置。</w:t>
            </w:r>
            <w:r>
              <w:rPr>
                <w:rFonts w:hint="eastAsia" w:hAnsiTheme="majorEastAsia" w:eastAsiaTheme="majorEastAsia"/>
                <w:color w:val="auto"/>
                <w:sz w:val="24"/>
                <w:szCs w:val="20"/>
              </w:rPr>
              <w:t>生产工艺流程详细说明如下：</w:t>
            </w:r>
          </w:p>
          <w:p w14:paraId="022593E9">
            <w:pPr>
              <w:spacing w:after="0" w:line="460" w:lineRule="exact"/>
              <w:ind w:firstLine="480" w:firstLineChars="200"/>
              <w:rPr>
                <w:rFonts w:hint="eastAsia" w:ascii="Times New Roman" w:cs="Times New Roman" w:hAnsiTheme="majorEastAsia" w:eastAsiaTheme="majorEastAsia"/>
                <w:color w:val="auto"/>
                <w:sz w:val="24"/>
                <w:szCs w:val="20"/>
              </w:rPr>
            </w:pPr>
            <w:r>
              <w:rPr>
                <w:rFonts w:hint="eastAsia" w:cs="Times New Roman" w:hAnsiTheme="majorEastAsia" w:eastAsiaTheme="majorEastAsia"/>
                <w:color w:val="auto"/>
                <w:sz w:val="24"/>
                <w:szCs w:val="20"/>
                <w:lang w:eastAsia="zh-CN"/>
              </w:rPr>
              <w:t>（</w:t>
            </w:r>
            <w:r>
              <w:rPr>
                <w:rFonts w:hint="eastAsia" w:cs="Times New Roman" w:hAnsiTheme="majorEastAsia" w:eastAsiaTheme="majorEastAsia"/>
                <w:color w:val="auto"/>
                <w:sz w:val="24"/>
                <w:szCs w:val="20"/>
                <w:lang w:val="en-US" w:eastAsia="zh-CN"/>
              </w:rPr>
              <w:t>1</w:t>
            </w:r>
            <w:r>
              <w:rPr>
                <w:rFonts w:hint="eastAsia" w:cs="Times New Roman" w:hAnsiTheme="majorEastAsia" w:eastAsiaTheme="majorEastAsia"/>
                <w:color w:val="auto"/>
                <w:sz w:val="24"/>
                <w:szCs w:val="20"/>
                <w:lang w:eastAsia="zh-CN"/>
              </w:rPr>
              <w:t>）</w:t>
            </w:r>
            <w:r>
              <w:rPr>
                <w:rFonts w:hint="eastAsia" w:ascii="Times New Roman" w:cs="Times New Roman" w:hAnsiTheme="majorEastAsia" w:eastAsiaTheme="majorEastAsia"/>
                <w:color w:val="auto"/>
                <w:sz w:val="24"/>
                <w:szCs w:val="20"/>
              </w:rPr>
              <w:t>收集</w:t>
            </w:r>
          </w:p>
          <w:p w14:paraId="47FCA837">
            <w:pPr>
              <w:spacing w:after="0" w:line="460" w:lineRule="exact"/>
              <w:ind w:firstLine="480" w:firstLineChars="200"/>
              <w:rPr>
                <w:rFonts w:hint="eastAsia" w:ascii="Times New Roman" w:cs="Times New Roman" w:hAnsiTheme="majorEastAsia" w:eastAsiaTheme="majorEastAsia"/>
                <w:color w:val="auto"/>
                <w:sz w:val="24"/>
                <w:szCs w:val="20"/>
              </w:rPr>
            </w:pPr>
            <w:r>
              <w:rPr>
                <w:rFonts w:hint="eastAsia" w:ascii="Times New Roman" w:cs="Times New Roman" w:hAnsiTheme="majorEastAsia" w:eastAsiaTheme="majorEastAsia"/>
                <w:color w:val="auto"/>
                <w:sz w:val="24"/>
                <w:szCs w:val="20"/>
              </w:rPr>
              <w:t>由各危废产生点进行收集，收集容器为各企业厂内自备容器或采用长垣市聚博环保科技有限公司提供的容器分类收集（液态类危废采用各种规格塑料桶或储罐进行密封储存，其他固态或半固态类物质采用覆膜吨袋密封储存），相关运输车辆配备定制的托盘，运输至本厂区内。</w:t>
            </w:r>
          </w:p>
          <w:p w14:paraId="35BDC6F9">
            <w:pPr>
              <w:spacing w:after="0" w:line="460" w:lineRule="exact"/>
              <w:ind w:firstLine="480" w:firstLineChars="200"/>
              <w:rPr>
                <w:rFonts w:hint="eastAsia" w:ascii="Times New Roman" w:cs="Times New Roman" w:hAnsiTheme="majorEastAsia" w:eastAsiaTheme="majorEastAsia"/>
                <w:color w:val="auto"/>
                <w:sz w:val="24"/>
                <w:szCs w:val="20"/>
              </w:rPr>
            </w:pPr>
            <w:r>
              <w:rPr>
                <w:rFonts w:hint="eastAsia" w:ascii="Times New Roman" w:cs="Times New Roman" w:hAnsiTheme="majorEastAsia" w:eastAsiaTheme="majorEastAsia"/>
                <w:color w:val="auto"/>
                <w:sz w:val="24"/>
                <w:szCs w:val="20"/>
              </w:rPr>
              <w:t>各产废企业业主为收集环节环保责任主体，主要负责收集过程中危废包装满足相关规范和要求；运输单位为运输过程环保责任主体，主要负责运输过程满足相关规范和要求。</w:t>
            </w:r>
          </w:p>
          <w:p w14:paraId="587738D0">
            <w:pPr>
              <w:spacing w:after="0" w:line="460" w:lineRule="exact"/>
              <w:ind w:firstLine="480" w:firstLineChars="200"/>
              <w:rPr>
                <w:rFonts w:hint="eastAsia" w:ascii="Times New Roman" w:cs="Times New Roman" w:hAnsiTheme="majorEastAsia" w:eastAsiaTheme="majorEastAsia"/>
                <w:color w:val="auto"/>
                <w:sz w:val="24"/>
                <w:szCs w:val="20"/>
              </w:rPr>
            </w:pPr>
            <w:r>
              <w:rPr>
                <w:rFonts w:hint="eastAsia" w:cs="Times New Roman" w:hAnsiTheme="majorEastAsia" w:eastAsiaTheme="majorEastAsia"/>
                <w:color w:val="auto"/>
                <w:sz w:val="24"/>
                <w:szCs w:val="20"/>
                <w:lang w:eastAsia="zh-CN"/>
              </w:rPr>
              <w:t>（</w:t>
            </w:r>
            <w:r>
              <w:rPr>
                <w:rFonts w:hint="eastAsia" w:cs="Times New Roman" w:hAnsiTheme="majorEastAsia" w:eastAsiaTheme="majorEastAsia"/>
                <w:color w:val="auto"/>
                <w:sz w:val="24"/>
                <w:szCs w:val="20"/>
                <w:lang w:val="en-US" w:eastAsia="zh-CN"/>
              </w:rPr>
              <w:t>2</w:t>
            </w:r>
            <w:r>
              <w:rPr>
                <w:rFonts w:hint="eastAsia" w:cs="Times New Roman" w:hAnsiTheme="majorEastAsia" w:eastAsiaTheme="majorEastAsia"/>
                <w:color w:val="auto"/>
                <w:sz w:val="24"/>
                <w:szCs w:val="20"/>
                <w:lang w:eastAsia="zh-CN"/>
              </w:rPr>
              <w:t>）</w:t>
            </w:r>
            <w:r>
              <w:rPr>
                <w:rFonts w:hint="eastAsia" w:ascii="Times New Roman" w:cs="Times New Roman" w:hAnsiTheme="majorEastAsia" w:eastAsiaTheme="majorEastAsia"/>
                <w:color w:val="auto"/>
                <w:sz w:val="24"/>
                <w:szCs w:val="20"/>
              </w:rPr>
              <w:t>储存</w:t>
            </w:r>
          </w:p>
          <w:p w14:paraId="39F4816D">
            <w:pPr>
              <w:spacing w:after="0" w:line="460" w:lineRule="exact"/>
              <w:ind w:firstLine="480" w:firstLineChars="200"/>
              <w:rPr>
                <w:rFonts w:hint="eastAsia" w:ascii="Times New Roman" w:cs="Times New Roman" w:hAnsiTheme="majorEastAsia" w:eastAsiaTheme="majorEastAsia"/>
                <w:color w:val="auto"/>
                <w:sz w:val="24"/>
                <w:szCs w:val="20"/>
              </w:rPr>
            </w:pPr>
            <w:r>
              <w:rPr>
                <w:rFonts w:hint="default" w:ascii="Calibri" w:hAnsi="Calibri" w:eastAsia="方正仿宋_GB2312" w:cs="Calibri"/>
                <w:color w:val="auto"/>
                <w:sz w:val="24"/>
                <w:szCs w:val="20"/>
              </w:rPr>
              <w:t>①</w:t>
            </w:r>
            <w:r>
              <w:rPr>
                <w:rFonts w:hint="eastAsia" w:ascii="Times New Roman" w:cs="Times New Roman" w:hAnsiTheme="majorEastAsia" w:eastAsiaTheme="majorEastAsia"/>
                <w:color w:val="auto"/>
                <w:sz w:val="24"/>
                <w:szCs w:val="20"/>
              </w:rPr>
              <w:t>厂内卸货：收集的车辆返回仓库后过磅称重记录，然后根据装卸区工况有序进厂，车辆进入室内装卸区小车停车位内后，用叉车卸货，叉车直接连同托盘装卸，不再进行分装。卸货后车辆换装空的托盘有序离场。不涉及转运容器和运输车辆的清洗。废矿物油通过油泵抽取的方式从运输车辆的油罐装卸到固定顶油罐中，所有有机物液体料输送均采用密闭管道输送，装车废气连接罐区气相平衡系统，装卸料过程挥发的废气有组织收集处理。</w:t>
            </w:r>
          </w:p>
          <w:p w14:paraId="706897B4">
            <w:pPr>
              <w:spacing w:after="0" w:line="460" w:lineRule="exact"/>
              <w:ind w:firstLine="480" w:firstLineChars="200"/>
              <w:rPr>
                <w:rFonts w:hint="eastAsia" w:ascii="Times New Roman" w:cs="Times New Roman" w:hAnsiTheme="majorEastAsia" w:eastAsiaTheme="majorEastAsia"/>
                <w:color w:val="auto"/>
                <w:sz w:val="24"/>
                <w:szCs w:val="20"/>
              </w:rPr>
            </w:pPr>
            <w:r>
              <w:rPr>
                <w:rFonts w:hint="default" w:ascii="Calibri" w:hAnsi="Calibri" w:cs="Calibri" w:eastAsiaTheme="majorEastAsia"/>
                <w:color w:val="auto"/>
                <w:sz w:val="24"/>
                <w:szCs w:val="20"/>
              </w:rPr>
              <w:t>②</w:t>
            </w:r>
            <w:r>
              <w:rPr>
                <w:rFonts w:hint="eastAsia" w:ascii="Times New Roman" w:cs="Times New Roman" w:hAnsiTheme="majorEastAsia" w:eastAsiaTheme="majorEastAsia"/>
                <w:color w:val="auto"/>
                <w:sz w:val="24"/>
                <w:szCs w:val="20"/>
              </w:rPr>
              <w:t>厂内贮存：将危险废物按危险废物的类别、形态、物理化学性质和污染防治要求分类分区堆放，不与不相容的物质或材料接触，不同贮存分区之间采用隔断墙隔离，储罐区设置围堰，并进行防腐防渗处理。</w:t>
            </w:r>
          </w:p>
          <w:p w14:paraId="3709722B">
            <w:pPr>
              <w:spacing w:after="0" w:line="460" w:lineRule="exact"/>
              <w:ind w:firstLine="480" w:firstLineChars="200"/>
              <w:rPr>
                <w:rFonts w:hint="eastAsia" w:ascii="Times New Roman" w:cs="Times New Roman" w:hAnsiTheme="majorEastAsia" w:eastAsiaTheme="majorEastAsia"/>
                <w:color w:val="auto"/>
                <w:sz w:val="24"/>
                <w:szCs w:val="20"/>
              </w:rPr>
            </w:pPr>
            <w:r>
              <w:rPr>
                <w:rFonts w:hint="eastAsia" w:cs="Times New Roman" w:hAnsiTheme="majorEastAsia" w:eastAsiaTheme="majorEastAsia"/>
                <w:color w:val="auto"/>
                <w:sz w:val="24"/>
                <w:szCs w:val="20"/>
                <w:lang w:eastAsia="zh-CN"/>
              </w:rPr>
              <w:t>（</w:t>
            </w:r>
            <w:r>
              <w:rPr>
                <w:rFonts w:hint="eastAsia" w:cs="Times New Roman" w:hAnsiTheme="majorEastAsia" w:eastAsiaTheme="majorEastAsia"/>
                <w:color w:val="auto"/>
                <w:sz w:val="24"/>
                <w:szCs w:val="20"/>
                <w:lang w:val="en-US" w:eastAsia="zh-CN"/>
              </w:rPr>
              <w:t>3</w:t>
            </w:r>
            <w:r>
              <w:rPr>
                <w:rFonts w:hint="eastAsia" w:cs="Times New Roman" w:hAnsiTheme="majorEastAsia" w:eastAsiaTheme="majorEastAsia"/>
                <w:color w:val="auto"/>
                <w:sz w:val="24"/>
                <w:szCs w:val="20"/>
                <w:lang w:eastAsia="zh-CN"/>
              </w:rPr>
              <w:t>）</w:t>
            </w:r>
            <w:r>
              <w:rPr>
                <w:rFonts w:hint="eastAsia" w:ascii="Times New Roman" w:cs="Times New Roman" w:hAnsiTheme="majorEastAsia" w:eastAsiaTheme="majorEastAsia"/>
                <w:color w:val="auto"/>
                <w:sz w:val="24"/>
                <w:szCs w:val="20"/>
              </w:rPr>
              <w:t>转移及转运</w:t>
            </w:r>
          </w:p>
          <w:p w14:paraId="44BB66F8">
            <w:pPr>
              <w:spacing w:after="0" w:line="460" w:lineRule="exact"/>
              <w:ind w:firstLine="480" w:firstLineChars="200"/>
              <w:rPr>
                <w:rFonts w:hint="eastAsia" w:ascii="Times New Roman" w:cs="Times New Roman" w:hAnsiTheme="majorEastAsia" w:eastAsiaTheme="majorEastAsia"/>
                <w:color w:val="auto"/>
                <w:sz w:val="24"/>
                <w:szCs w:val="20"/>
              </w:rPr>
            </w:pPr>
            <w:r>
              <w:rPr>
                <w:rFonts w:hint="eastAsia" w:ascii="Times New Roman" w:cs="Times New Roman" w:hAnsiTheme="majorEastAsia" w:eastAsiaTheme="majorEastAsia"/>
                <w:color w:val="auto"/>
                <w:sz w:val="24"/>
                <w:szCs w:val="20"/>
              </w:rPr>
              <w:t>本项目涉及的流程包括危险废物的收集、暂存过程，最终的外运及处置由有资质单位负责。</w:t>
            </w:r>
          </w:p>
          <w:p w14:paraId="20451C5A">
            <w:pPr>
              <w:widowControl w:val="0"/>
              <w:adjustRightInd/>
              <w:snapToGrid/>
              <w:spacing w:after="0" w:line="460" w:lineRule="exact"/>
              <w:ind w:firstLine="480" w:firstLineChars="200"/>
              <w:jc w:val="both"/>
              <w:rPr>
                <w:rFonts w:hint="eastAsia" w:eastAsia="宋体"/>
                <w:color w:val="auto"/>
                <w:kern w:val="2"/>
                <w:sz w:val="24"/>
                <w:szCs w:val="20"/>
                <w:lang w:eastAsia="zh-CN"/>
              </w:rPr>
            </w:pPr>
            <w:r>
              <w:rPr>
                <w:rFonts w:hint="eastAsia" w:eastAsia="宋体"/>
                <w:color w:val="auto"/>
                <w:kern w:val="2"/>
                <w:sz w:val="24"/>
                <w:szCs w:val="20"/>
              </w:rPr>
              <w:t>本项目营运期主要污染物、产污环节及防治措施详见下表</w:t>
            </w:r>
            <w:r>
              <w:rPr>
                <w:rFonts w:hint="eastAsia" w:eastAsia="宋体"/>
                <w:color w:val="auto"/>
                <w:kern w:val="2"/>
                <w:sz w:val="24"/>
                <w:szCs w:val="20"/>
                <w:lang w:eastAsia="zh-CN"/>
              </w:rPr>
              <w:t>。</w:t>
            </w:r>
          </w:p>
          <w:p w14:paraId="7539933B">
            <w:pPr>
              <w:pStyle w:val="68"/>
              <w:keepNext/>
              <w:keepLines w:val="0"/>
              <w:pageBreakBefore w:val="0"/>
              <w:widowControl w:val="0"/>
              <w:kinsoku/>
              <w:wordWrap/>
              <w:overflowPunct/>
              <w:topLinePunct w:val="0"/>
              <w:autoSpaceDE/>
              <w:autoSpaceDN/>
              <w:bidi w:val="0"/>
              <w:adjustRightInd w:val="0"/>
              <w:snapToGrid w:val="0"/>
              <w:spacing w:after="200"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产污环节一览表</w:t>
            </w:r>
          </w:p>
          <w:tbl>
            <w:tblPr>
              <w:tblStyle w:val="20"/>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193"/>
              <w:gridCol w:w="1500"/>
              <w:gridCol w:w="1056"/>
              <w:gridCol w:w="1482"/>
              <w:gridCol w:w="1087"/>
              <w:gridCol w:w="1522"/>
              <w:gridCol w:w="800"/>
            </w:tblGrid>
            <w:tr w14:paraId="75D96F4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35" w:type="pct"/>
                  <w:vMerge w:val="restart"/>
                  <w:vAlign w:val="center"/>
                </w:tcPr>
                <w:p w14:paraId="263ABD99">
                  <w:pPr>
                    <w:pStyle w:val="65"/>
                    <w:rPr>
                      <w:b/>
                      <w:bCs w:val="0"/>
                      <w:color w:val="auto"/>
                      <w:szCs w:val="20"/>
                    </w:rPr>
                  </w:pPr>
                  <w:r>
                    <w:rPr>
                      <w:b/>
                      <w:bCs w:val="0"/>
                      <w:color w:val="auto"/>
                      <w:szCs w:val="20"/>
                    </w:rPr>
                    <w:t>污染因素</w:t>
                  </w:r>
                </w:p>
              </w:tc>
              <w:tc>
                <w:tcPr>
                  <w:tcW w:w="658" w:type="pct"/>
                  <w:vMerge w:val="restart"/>
                  <w:vAlign w:val="center"/>
                </w:tcPr>
                <w:p w14:paraId="00E116BA">
                  <w:pPr>
                    <w:pStyle w:val="65"/>
                    <w:rPr>
                      <w:b/>
                      <w:bCs w:val="0"/>
                      <w:color w:val="auto"/>
                      <w:szCs w:val="20"/>
                    </w:rPr>
                  </w:pPr>
                  <w:r>
                    <w:rPr>
                      <w:b/>
                      <w:bCs w:val="0"/>
                      <w:color w:val="auto"/>
                      <w:szCs w:val="20"/>
                    </w:rPr>
                    <w:t>产污环节</w:t>
                  </w:r>
                </w:p>
              </w:tc>
              <w:tc>
                <w:tcPr>
                  <w:tcW w:w="827" w:type="pct"/>
                  <w:vMerge w:val="restart"/>
                  <w:vAlign w:val="center"/>
                </w:tcPr>
                <w:p w14:paraId="104884D9">
                  <w:pPr>
                    <w:pStyle w:val="65"/>
                    <w:rPr>
                      <w:b/>
                      <w:bCs w:val="0"/>
                      <w:color w:val="auto"/>
                      <w:szCs w:val="20"/>
                    </w:rPr>
                  </w:pPr>
                  <w:r>
                    <w:rPr>
                      <w:b/>
                      <w:bCs w:val="0"/>
                      <w:color w:val="auto"/>
                      <w:szCs w:val="20"/>
                    </w:rPr>
                    <w:t>污染物</w:t>
                  </w:r>
                </w:p>
              </w:tc>
              <w:tc>
                <w:tcPr>
                  <w:tcW w:w="2837" w:type="pct"/>
                  <w:gridSpan w:val="4"/>
                  <w:vAlign w:val="center"/>
                </w:tcPr>
                <w:p w14:paraId="010FBB3D">
                  <w:pPr>
                    <w:pStyle w:val="65"/>
                    <w:rPr>
                      <w:b/>
                      <w:bCs w:val="0"/>
                      <w:color w:val="auto"/>
                      <w:szCs w:val="20"/>
                    </w:rPr>
                  </w:pPr>
                  <w:r>
                    <w:rPr>
                      <w:b/>
                      <w:bCs w:val="0"/>
                      <w:color w:val="auto"/>
                      <w:szCs w:val="20"/>
                    </w:rPr>
                    <w:t>防治措施</w:t>
                  </w:r>
                </w:p>
              </w:tc>
              <w:tc>
                <w:tcPr>
                  <w:tcW w:w="441" w:type="pct"/>
                  <w:vMerge w:val="restart"/>
                  <w:vAlign w:val="center"/>
                </w:tcPr>
                <w:p w14:paraId="0EE4699D">
                  <w:pPr>
                    <w:pStyle w:val="65"/>
                    <w:rPr>
                      <w:rFonts w:hint="eastAsia" w:eastAsia="宋体"/>
                      <w:b/>
                      <w:bCs w:val="0"/>
                      <w:color w:val="auto"/>
                      <w:szCs w:val="20"/>
                      <w:lang w:val="en-US" w:eastAsia="zh-CN"/>
                    </w:rPr>
                  </w:pPr>
                  <w:r>
                    <w:rPr>
                      <w:rFonts w:hint="eastAsia"/>
                      <w:b/>
                      <w:bCs w:val="0"/>
                      <w:color w:val="auto"/>
                      <w:szCs w:val="20"/>
                      <w:lang w:val="en-US" w:eastAsia="zh-CN"/>
                    </w:rPr>
                    <w:t>备注</w:t>
                  </w:r>
                </w:p>
              </w:tc>
            </w:tr>
            <w:tr w14:paraId="09E789E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35" w:type="pct"/>
                  <w:vMerge w:val="continue"/>
                  <w:vAlign w:val="center"/>
                </w:tcPr>
                <w:p w14:paraId="2BB20E15">
                  <w:pPr>
                    <w:pStyle w:val="65"/>
                  </w:pPr>
                </w:p>
              </w:tc>
              <w:tc>
                <w:tcPr>
                  <w:tcW w:w="658" w:type="pct"/>
                  <w:vMerge w:val="continue"/>
                  <w:vAlign w:val="center"/>
                </w:tcPr>
                <w:p w14:paraId="0B43BA18">
                  <w:pPr>
                    <w:pStyle w:val="65"/>
                  </w:pPr>
                </w:p>
              </w:tc>
              <w:tc>
                <w:tcPr>
                  <w:tcW w:w="827" w:type="pct"/>
                  <w:vMerge w:val="continue"/>
                  <w:vAlign w:val="center"/>
                </w:tcPr>
                <w:p w14:paraId="394DE480">
                  <w:pPr>
                    <w:pStyle w:val="65"/>
                  </w:pPr>
                </w:p>
              </w:tc>
              <w:tc>
                <w:tcPr>
                  <w:tcW w:w="1399" w:type="pct"/>
                  <w:gridSpan w:val="2"/>
                  <w:vAlign w:val="center"/>
                </w:tcPr>
                <w:p w14:paraId="100C1858">
                  <w:pPr>
                    <w:pStyle w:val="65"/>
                    <w:rPr>
                      <w:rFonts w:hint="default" w:eastAsia="宋体"/>
                      <w:b/>
                      <w:bCs w:val="0"/>
                      <w:color w:val="auto"/>
                      <w:szCs w:val="20"/>
                      <w:lang w:val="en-US" w:eastAsia="zh-CN"/>
                    </w:rPr>
                  </w:pPr>
                  <w:r>
                    <w:rPr>
                      <w:rFonts w:hint="eastAsia"/>
                      <w:b/>
                      <w:bCs w:val="0"/>
                      <w:color w:val="auto"/>
                      <w:szCs w:val="20"/>
                      <w:lang w:val="en-US" w:eastAsia="zh-CN"/>
                    </w:rPr>
                    <w:t>环评及批复内容</w:t>
                  </w:r>
                </w:p>
              </w:tc>
              <w:tc>
                <w:tcPr>
                  <w:tcW w:w="1437" w:type="pct"/>
                  <w:gridSpan w:val="2"/>
                  <w:vAlign w:val="center"/>
                </w:tcPr>
                <w:p w14:paraId="3C4C7B5B">
                  <w:pPr>
                    <w:pStyle w:val="65"/>
                    <w:rPr>
                      <w:rFonts w:hint="default" w:eastAsia="宋体"/>
                      <w:b/>
                      <w:bCs w:val="0"/>
                      <w:color w:val="auto"/>
                      <w:szCs w:val="20"/>
                      <w:lang w:val="en-US" w:eastAsia="zh-CN"/>
                    </w:rPr>
                  </w:pPr>
                  <w:r>
                    <w:rPr>
                      <w:rFonts w:hint="eastAsia"/>
                      <w:b/>
                      <w:bCs w:val="0"/>
                      <w:color w:val="auto"/>
                      <w:szCs w:val="20"/>
                      <w:lang w:val="en-US" w:eastAsia="zh-CN"/>
                    </w:rPr>
                    <w:t>实际建设内容</w:t>
                  </w:r>
                </w:p>
              </w:tc>
              <w:tc>
                <w:tcPr>
                  <w:tcW w:w="441" w:type="pct"/>
                  <w:vMerge w:val="continue"/>
                  <w:vAlign w:val="center"/>
                </w:tcPr>
                <w:p w14:paraId="610E9006">
                  <w:pPr>
                    <w:pStyle w:val="65"/>
                    <w:rPr>
                      <w:b/>
                      <w:bCs w:val="0"/>
                      <w:color w:val="auto"/>
                      <w:szCs w:val="20"/>
                    </w:rPr>
                  </w:pPr>
                </w:p>
              </w:tc>
            </w:tr>
            <w:tr w14:paraId="153C6C0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Merge w:val="restart"/>
                  <w:vAlign w:val="center"/>
                </w:tcPr>
                <w:p w14:paraId="0E094C8C">
                  <w:pPr>
                    <w:pStyle w:val="65"/>
                    <w:rPr>
                      <w:color w:val="auto"/>
                      <w:szCs w:val="20"/>
                    </w:rPr>
                  </w:pPr>
                  <w:r>
                    <w:rPr>
                      <w:color w:val="auto"/>
                      <w:szCs w:val="20"/>
                    </w:rPr>
                    <w:t>废气</w:t>
                  </w:r>
                </w:p>
              </w:tc>
              <w:tc>
                <w:tcPr>
                  <w:tcW w:w="658" w:type="pct"/>
                  <w:vAlign w:val="center"/>
                </w:tcPr>
                <w:p w14:paraId="07D4DE58">
                  <w:pPr>
                    <w:pStyle w:val="65"/>
                    <w:rPr>
                      <w:color w:val="auto"/>
                      <w:szCs w:val="20"/>
                    </w:rPr>
                  </w:pPr>
                  <w:r>
                    <w:rPr>
                      <w:rFonts w:hint="eastAsia"/>
                      <w:color w:val="auto"/>
                      <w:szCs w:val="20"/>
                    </w:rPr>
                    <w:t>危废暂存间</w:t>
                  </w:r>
                </w:p>
              </w:tc>
              <w:tc>
                <w:tcPr>
                  <w:tcW w:w="827" w:type="pct"/>
                  <w:vAlign w:val="center"/>
                </w:tcPr>
                <w:p w14:paraId="0D4562B4">
                  <w:pPr>
                    <w:pStyle w:val="65"/>
                    <w:rPr>
                      <w:color w:val="auto"/>
                      <w:szCs w:val="20"/>
                    </w:rPr>
                  </w:pPr>
                  <w:r>
                    <w:rPr>
                      <w:rFonts w:hint="eastAsia"/>
                      <w:color w:val="auto"/>
                      <w:szCs w:val="20"/>
                    </w:rPr>
                    <w:t>非甲烷总烃</w:t>
                  </w:r>
                </w:p>
              </w:tc>
              <w:tc>
                <w:tcPr>
                  <w:tcW w:w="582" w:type="pct"/>
                  <w:vAlign w:val="center"/>
                </w:tcPr>
                <w:p w14:paraId="358280AC">
                  <w:pPr>
                    <w:pStyle w:val="65"/>
                    <w:rPr>
                      <w:color w:val="auto"/>
                      <w:szCs w:val="20"/>
                    </w:rPr>
                  </w:pPr>
                  <w:r>
                    <w:rPr>
                      <w:rFonts w:hint="eastAsia"/>
                      <w:color w:val="auto"/>
                      <w:szCs w:val="20"/>
                    </w:rPr>
                    <w:t>密闭间+集气罩</w:t>
                  </w:r>
                </w:p>
              </w:tc>
              <w:tc>
                <w:tcPr>
                  <w:tcW w:w="817" w:type="pct"/>
                  <w:vMerge w:val="restart"/>
                  <w:vAlign w:val="center"/>
                </w:tcPr>
                <w:p w14:paraId="248E143A">
                  <w:pPr>
                    <w:pStyle w:val="65"/>
                    <w:rPr>
                      <w:color w:val="auto"/>
                      <w:szCs w:val="20"/>
                    </w:rPr>
                  </w:pPr>
                  <w:r>
                    <w:rPr>
                      <w:rFonts w:hint="eastAsia"/>
                      <w:color w:val="auto"/>
                    </w:rPr>
                    <w:t>二级</w:t>
                  </w:r>
                  <w:r>
                    <w:rPr>
                      <w:color w:val="auto"/>
                    </w:rPr>
                    <w:t>活性炭吸附装置</w:t>
                  </w:r>
                  <w:r>
                    <w:rPr>
                      <w:rFonts w:hint="eastAsia"/>
                      <w:color w:val="auto"/>
                      <w:szCs w:val="20"/>
                    </w:rPr>
                    <w:t>（TA001）+</w:t>
                  </w:r>
                  <w:r>
                    <w:rPr>
                      <w:color w:val="auto"/>
                      <w:szCs w:val="20"/>
                    </w:rPr>
                    <w:t>15</w:t>
                  </w:r>
                  <w:r>
                    <w:rPr>
                      <w:rFonts w:hint="eastAsia"/>
                      <w:color w:val="auto"/>
                      <w:szCs w:val="20"/>
                    </w:rPr>
                    <w:t>m高排气筒（DA001）</w:t>
                  </w:r>
                </w:p>
              </w:tc>
              <w:tc>
                <w:tcPr>
                  <w:tcW w:w="599" w:type="pct"/>
                  <w:vAlign w:val="center"/>
                </w:tcPr>
                <w:p w14:paraId="6FB19FB0">
                  <w:pPr>
                    <w:pStyle w:val="65"/>
                    <w:rPr>
                      <w:rFonts w:hint="eastAsia"/>
                      <w:color w:val="auto"/>
                    </w:rPr>
                  </w:pPr>
                  <w:r>
                    <w:rPr>
                      <w:rFonts w:hint="eastAsia"/>
                      <w:color w:val="auto"/>
                      <w:szCs w:val="20"/>
                    </w:rPr>
                    <w:t>密闭间+集气罩</w:t>
                  </w:r>
                </w:p>
              </w:tc>
              <w:tc>
                <w:tcPr>
                  <w:tcW w:w="838" w:type="pct"/>
                  <w:vMerge w:val="restart"/>
                  <w:vAlign w:val="center"/>
                </w:tcPr>
                <w:p w14:paraId="15AE1F51">
                  <w:pPr>
                    <w:pStyle w:val="65"/>
                    <w:rPr>
                      <w:rFonts w:hint="eastAsia"/>
                      <w:color w:val="auto"/>
                    </w:rPr>
                  </w:pPr>
                  <w:r>
                    <w:rPr>
                      <w:rFonts w:hint="eastAsia"/>
                      <w:color w:val="auto"/>
                    </w:rPr>
                    <w:t>二级</w:t>
                  </w:r>
                  <w:r>
                    <w:rPr>
                      <w:color w:val="auto"/>
                    </w:rPr>
                    <w:t>活性炭吸附装置</w:t>
                  </w:r>
                  <w:r>
                    <w:rPr>
                      <w:rFonts w:hint="eastAsia"/>
                      <w:color w:val="auto"/>
                      <w:szCs w:val="20"/>
                    </w:rPr>
                    <w:t>（TA001）+</w:t>
                  </w:r>
                  <w:r>
                    <w:rPr>
                      <w:color w:val="auto"/>
                      <w:szCs w:val="20"/>
                    </w:rPr>
                    <w:t>15</w:t>
                  </w:r>
                  <w:r>
                    <w:rPr>
                      <w:rFonts w:hint="eastAsia"/>
                      <w:color w:val="auto"/>
                      <w:szCs w:val="20"/>
                    </w:rPr>
                    <w:t>m高排气筒（DA001）</w:t>
                  </w:r>
                </w:p>
              </w:tc>
              <w:tc>
                <w:tcPr>
                  <w:tcW w:w="441" w:type="pct"/>
                  <w:vAlign w:val="center"/>
                </w:tcPr>
                <w:p w14:paraId="5AB33907">
                  <w:pPr>
                    <w:pStyle w:val="65"/>
                    <w:rPr>
                      <w:rFonts w:hint="eastAsia" w:eastAsia="宋体"/>
                      <w:color w:val="auto"/>
                      <w:lang w:val="en-US" w:eastAsia="zh-CN"/>
                    </w:rPr>
                  </w:pPr>
                  <w:r>
                    <w:rPr>
                      <w:rFonts w:hint="eastAsia"/>
                      <w:color w:val="auto"/>
                      <w:lang w:val="en-US" w:eastAsia="zh-CN"/>
                    </w:rPr>
                    <w:t>一致</w:t>
                  </w:r>
                </w:p>
              </w:tc>
            </w:tr>
            <w:tr w14:paraId="1F5BAD7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Merge w:val="continue"/>
                  <w:vAlign w:val="center"/>
                </w:tcPr>
                <w:p w14:paraId="758D4339">
                  <w:pPr>
                    <w:pStyle w:val="65"/>
                    <w:rPr>
                      <w:color w:val="auto"/>
                      <w:szCs w:val="20"/>
                    </w:rPr>
                  </w:pPr>
                </w:p>
              </w:tc>
              <w:tc>
                <w:tcPr>
                  <w:tcW w:w="658" w:type="pct"/>
                  <w:vAlign w:val="center"/>
                </w:tcPr>
                <w:p w14:paraId="3823AAEE">
                  <w:pPr>
                    <w:pStyle w:val="65"/>
                    <w:rPr>
                      <w:color w:val="auto"/>
                      <w:szCs w:val="20"/>
                    </w:rPr>
                  </w:pPr>
                  <w:r>
                    <w:rPr>
                      <w:rFonts w:hint="eastAsia"/>
                      <w:color w:val="auto"/>
                      <w:szCs w:val="20"/>
                    </w:rPr>
                    <w:t>储罐</w:t>
                  </w:r>
                </w:p>
              </w:tc>
              <w:tc>
                <w:tcPr>
                  <w:tcW w:w="827" w:type="pct"/>
                  <w:vAlign w:val="center"/>
                </w:tcPr>
                <w:p w14:paraId="692949B3">
                  <w:pPr>
                    <w:pStyle w:val="65"/>
                    <w:rPr>
                      <w:color w:val="auto"/>
                      <w:szCs w:val="20"/>
                    </w:rPr>
                  </w:pPr>
                  <w:r>
                    <w:rPr>
                      <w:rFonts w:hint="eastAsia"/>
                      <w:color w:val="auto"/>
                      <w:szCs w:val="20"/>
                    </w:rPr>
                    <w:t>非甲烷总烃</w:t>
                  </w:r>
                </w:p>
              </w:tc>
              <w:tc>
                <w:tcPr>
                  <w:tcW w:w="582" w:type="pct"/>
                  <w:vAlign w:val="center"/>
                </w:tcPr>
                <w:p w14:paraId="2D21ACBE">
                  <w:pPr>
                    <w:pStyle w:val="65"/>
                    <w:rPr>
                      <w:color w:val="auto"/>
                      <w:szCs w:val="20"/>
                    </w:rPr>
                  </w:pPr>
                  <w:r>
                    <w:rPr>
                      <w:rFonts w:hint="eastAsia"/>
                      <w:color w:val="auto"/>
                      <w:szCs w:val="20"/>
                    </w:rPr>
                    <w:t>管道收集</w:t>
                  </w:r>
                </w:p>
              </w:tc>
              <w:tc>
                <w:tcPr>
                  <w:tcW w:w="817" w:type="pct"/>
                  <w:vMerge w:val="continue"/>
                  <w:vAlign w:val="center"/>
                </w:tcPr>
                <w:p w14:paraId="4F7BA3AE">
                  <w:pPr>
                    <w:pStyle w:val="65"/>
                    <w:rPr>
                      <w:color w:val="auto"/>
                      <w:szCs w:val="20"/>
                    </w:rPr>
                  </w:pPr>
                </w:p>
              </w:tc>
              <w:tc>
                <w:tcPr>
                  <w:tcW w:w="599" w:type="pct"/>
                  <w:vAlign w:val="center"/>
                </w:tcPr>
                <w:p w14:paraId="4E1063BE">
                  <w:pPr>
                    <w:pStyle w:val="65"/>
                    <w:rPr>
                      <w:color w:val="auto"/>
                      <w:szCs w:val="20"/>
                    </w:rPr>
                  </w:pPr>
                  <w:r>
                    <w:rPr>
                      <w:rFonts w:hint="eastAsia"/>
                      <w:color w:val="auto"/>
                      <w:szCs w:val="20"/>
                    </w:rPr>
                    <w:t>管道收集</w:t>
                  </w:r>
                </w:p>
              </w:tc>
              <w:tc>
                <w:tcPr>
                  <w:tcW w:w="838" w:type="pct"/>
                  <w:vMerge w:val="continue"/>
                  <w:vAlign w:val="center"/>
                </w:tcPr>
                <w:p w14:paraId="4AA6FDE2">
                  <w:pPr>
                    <w:pStyle w:val="65"/>
                    <w:rPr>
                      <w:color w:val="auto"/>
                      <w:szCs w:val="20"/>
                    </w:rPr>
                  </w:pPr>
                </w:p>
              </w:tc>
              <w:tc>
                <w:tcPr>
                  <w:tcW w:w="441" w:type="pct"/>
                  <w:vAlign w:val="center"/>
                </w:tcPr>
                <w:p w14:paraId="48A18D33">
                  <w:pPr>
                    <w:pStyle w:val="65"/>
                    <w:rPr>
                      <w:rFonts w:hint="eastAsia" w:eastAsia="宋体"/>
                      <w:color w:val="auto"/>
                      <w:szCs w:val="20"/>
                      <w:lang w:val="en-US" w:eastAsia="zh-CN"/>
                    </w:rPr>
                  </w:pPr>
                  <w:r>
                    <w:rPr>
                      <w:rFonts w:hint="eastAsia"/>
                      <w:color w:val="auto"/>
                      <w:szCs w:val="20"/>
                      <w:lang w:val="en-US" w:eastAsia="zh-CN"/>
                    </w:rPr>
                    <w:t>一致</w:t>
                  </w:r>
                </w:p>
              </w:tc>
            </w:tr>
            <w:tr w14:paraId="66E86BD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Align w:val="center"/>
                </w:tcPr>
                <w:p w14:paraId="00B3B0B1">
                  <w:pPr>
                    <w:pStyle w:val="65"/>
                    <w:rPr>
                      <w:color w:val="auto"/>
                      <w:szCs w:val="20"/>
                    </w:rPr>
                  </w:pPr>
                  <w:r>
                    <w:rPr>
                      <w:color w:val="auto"/>
                      <w:szCs w:val="20"/>
                    </w:rPr>
                    <w:t>噪声</w:t>
                  </w:r>
                </w:p>
              </w:tc>
              <w:tc>
                <w:tcPr>
                  <w:tcW w:w="658" w:type="pct"/>
                  <w:vAlign w:val="center"/>
                </w:tcPr>
                <w:p w14:paraId="11B7EDED">
                  <w:pPr>
                    <w:pStyle w:val="65"/>
                    <w:rPr>
                      <w:color w:val="auto"/>
                      <w:szCs w:val="20"/>
                    </w:rPr>
                  </w:pPr>
                  <w:r>
                    <w:rPr>
                      <w:rFonts w:hint="eastAsia"/>
                      <w:color w:val="auto"/>
                      <w:szCs w:val="20"/>
                      <w:lang w:val="pt-BR"/>
                    </w:rPr>
                    <w:t>运输车辆、风机等高噪声设备</w:t>
                  </w:r>
                </w:p>
              </w:tc>
              <w:tc>
                <w:tcPr>
                  <w:tcW w:w="827" w:type="pct"/>
                  <w:vAlign w:val="center"/>
                </w:tcPr>
                <w:p w14:paraId="7654DEA2">
                  <w:pPr>
                    <w:pStyle w:val="65"/>
                    <w:rPr>
                      <w:color w:val="auto"/>
                      <w:szCs w:val="20"/>
                    </w:rPr>
                  </w:pPr>
                  <w:r>
                    <w:rPr>
                      <w:color w:val="auto"/>
                      <w:szCs w:val="20"/>
                    </w:rPr>
                    <w:t>噪声</w:t>
                  </w:r>
                </w:p>
              </w:tc>
              <w:tc>
                <w:tcPr>
                  <w:tcW w:w="1399" w:type="pct"/>
                  <w:gridSpan w:val="2"/>
                  <w:vAlign w:val="center"/>
                </w:tcPr>
                <w:p w14:paraId="0F13B1F3">
                  <w:pPr>
                    <w:pStyle w:val="65"/>
                    <w:rPr>
                      <w:color w:val="auto"/>
                      <w:szCs w:val="20"/>
                    </w:rPr>
                  </w:pPr>
                  <w:r>
                    <w:rPr>
                      <w:color w:val="auto"/>
                      <w:szCs w:val="20"/>
                    </w:rPr>
                    <w:t>基础减振、厂房隔声</w:t>
                  </w:r>
                </w:p>
              </w:tc>
              <w:tc>
                <w:tcPr>
                  <w:tcW w:w="1437" w:type="pct"/>
                  <w:gridSpan w:val="2"/>
                  <w:shd w:val="clear" w:color="auto" w:fill="auto"/>
                  <w:vAlign w:val="center"/>
                </w:tcPr>
                <w:p w14:paraId="366FDE63">
                  <w:pPr>
                    <w:pStyle w:val="65"/>
                    <w:rPr>
                      <w:rFonts w:ascii="Times New Roman" w:hAnsi="Times New Roman" w:eastAsia="宋体" w:cs="Times New Roman"/>
                      <w:bCs/>
                      <w:color w:val="auto"/>
                      <w:sz w:val="21"/>
                      <w:szCs w:val="20"/>
                      <w:lang w:val="en-US" w:eastAsia="zh-CN" w:bidi="ar-SA"/>
                    </w:rPr>
                  </w:pPr>
                  <w:r>
                    <w:rPr>
                      <w:color w:val="auto"/>
                      <w:szCs w:val="20"/>
                    </w:rPr>
                    <w:t>基础减振、厂房隔声</w:t>
                  </w:r>
                </w:p>
              </w:tc>
              <w:tc>
                <w:tcPr>
                  <w:tcW w:w="441" w:type="pct"/>
                  <w:vAlign w:val="center"/>
                </w:tcPr>
                <w:p w14:paraId="2F74C749">
                  <w:pPr>
                    <w:pStyle w:val="65"/>
                    <w:rPr>
                      <w:color w:val="auto"/>
                      <w:szCs w:val="20"/>
                    </w:rPr>
                  </w:pPr>
                  <w:r>
                    <w:rPr>
                      <w:rFonts w:hint="eastAsia"/>
                      <w:color w:val="auto"/>
                      <w:szCs w:val="20"/>
                      <w:lang w:val="en-US" w:eastAsia="zh-CN"/>
                    </w:rPr>
                    <w:t>一致</w:t>
                  </w:r>
                </w:p>
              </w:tc>
            </w:tr>
            <w:tr w14:paraId="21501BF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Merge w:val="restart"/>
                  <w:vAlign w:val="center"/>
                </w:tcPr>
                <w:p w14:paraId="5EBFE93F">
                  <w:pPr>
                    <w:pStyle w:val="65"/>
                    <w:rPr>
                      <w:color w:val="auto"/>
                      <w:szCs w:val="20"/>
                    </w:rPr>
                  </w:pPr>
                  <w:r>
                    <w:rPr>
                      <w:color w:val="auto"/>
                      <w:szCs w:val="20"/>
                    </w:rPr>
                    <w:t>固废</w:t>
                  </w:r>
                </w:p>
              </w:tc>
              <w:tc>
                <w:tcPr>
                  <w:tcW w:w="658" w:type="pct"/>
                  <w:vAlign w:val="center"/>
                </w:tcPr>
                <w:p w14:paraId="2AB1B0A9">
                  <w:pPr>
                    <w:pStyle w:val="65"/>
                    <w:rPr>
                      <w:color w:val="auto"/>
                      <w:szCs w:val="20"/>
                    </w:rPr>
                  </w:pPr>
                  <w:r>
                    <w:rPr>
                      <w:rFonts w:hint="eastAsia"/>
                      <w:color w:val="auto"/>
                      <w:szCs w:val="20"/>
                    </w:rPr>
                    <w:t>职工生活</w:t>
                  </w:r>
                </w:p>
              </w:tc>
              <w:tc>
                <w:tcPr>
                  <w:tcW w:w="827" w:type="pct"/>
                  <w:vAlign w:val="center"/>
                </w:tcPr>
                <w:p w14:paraId="532B0F14">
                  <w:pPr>
                    <w:pStyle w:val="65"/>
                    <w:rPr>
                      <w:color w:val="auto"/>
                      <w:szCs w:val="20"/>
                    </w:rPr>
                  </w:pPr>
                  <w:r>
                    <w:rPr>
                      <w:rFonts w:hint="eastAsia"/>
                      <w:color w:val="auto"/>
                      <w:szCs w:val="20"/>
                    </w:rPr>
                    <w:t>生活垃圾</w:t>
                  </w:r>
                </w:p>
              </w:tc>
              <w:tc>
                <w:tcPr>
                  <w:tcW w:w="1399" w:type="pct"/>
                  <w:gridSpan w:val="2"/>
                  <w:vAlign w:val="center"/>
                </w:tcPr>
                <w:p w14:paraId="67AD8EEE">
                  <w:pPr>
                    <w:pStyle w:val="65"/>
                    <w:rPr>
                      <w:color w:val="auto"/>
                    </w:rPr>
                  </w:pPr>
                  <w:r>
                    <w:rPr>
                      <w:rFonts w:hint="eastAsia"/>
                      <w:color w:val="auto"/>
                    </w:rPr>
                    <w:t>经收集后定期由环卫清运</w:t>
                  </w:r>
                </w:p>
              </w:tc>
              <w:tc>
                <w:tcPr>
                  <w:tcW w:w="1437" w:type="pct"/>
                  <w:gridSpan w:val="2"/>
                  <w:shd w:val="clear" w:color="auto" w:fill="auto"/>
                  <w:vAlign w:val="center"/>
                </w:tcPr>
                <w:p w14:paraId="1B2E9BDC">
                  <w:pPr>
                    <w:pStyle w:val="65"/>
                    <w:rPr>
                      <w:rFonts w:hint="eastAsia" w:ascii="Times New Roman" w:hAnsi="Times New Roman" w:eastAsia="宋体" w:cs="Times New Roman"/>
                      <w:bCs/>
                      <w:color w:val="auto"/>
                      <w:sz w:val="21"/>
                      <w:lang w:val="en-US" w:eastAsia="zh-CN" w:bidi="ar-SA"/>
                    </w:rPr>
                  </w:pPr>
                  <w:r>
                    <w:rPr>
                      <w:rFonts w:hint="eastAsia"/>
                      <w:color w:val="auto"/>
                    </w:rPr>
                    <w:t>经收集后定期由环卫清运</w:t>
                  </w:r>
                </w:p>
              </w:tc>
              <w:tc>
                <w:tcPr>
                  <w:tcW w:w="441" w:type="pct"/>
                  <w:vAlign w:val="center"/>
                </w:tcPr>
                <w:p w14:paraId="5629F237">
                  <w:pPr>
                    <w:pStyle w:val="65"/>
                    <w:rPr>
                      <w:rFonts w:hint="eastAsia"/>
                      <w:color w:val="auto"/>
                    </w:rPr>
                  </w:pPr>
                  <w:r>
                    <w:rPr>
                      <w:rFonts w:hint="eastAsia"/>
                      <w:color w:val="auto"/>
                      <w:szCs w:val="20"/>
                      <w:lang w:val="en-US" w:eastAsia="zh-CN"/>
                    </w:rPr>
                    <w:t>一致</w:t>
                  </w:r>
                </w:p>
              </w:tc>
            </w:tr>
            <w:tr w14:paraId="2DA0550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Merge w:val="continue"/>
                  <w:vAlign w:val="center"/>
                </w:tcPr>
                <w:p w14:paraId="384B544B">
                  <w:pPr>
                    <w:pStyle w:val="65"/>
                    <w:rPr>
                      <w:color w:val="auto"/>
                      <w:szCs w:val="20"/>
                    </w:rPr>
                  </w:pPr>
                </w:p>
              </w:tc>
              <w:tc>
                <w:tcPr>
                  <w:tcW w:w="658" w:type="pct"/>
                  <w:vAlign w:val="center"/>
                </w:tcPr>
                <w:p w14:paraId="634190EB">
                  <w:pPr>
                    <w:pStyle w:val="65"/>
                    <w:rPr>
                      <w:color w:val="auto"/>
                      <w:szCs w:val="20"/>
                    </w:rPr>
                  </w:pPr>
                  <w:r>
                    <w:rPr>
                      <w:rFonts w:hint="eastAsia"/>
                      <w:color w:val="auto"/>
                      <w:szCs w:val="20"/>
                    </w:rPr>
                    <w:t>废气治理</w:t>
                  </w:r>
                </w:p>
              </w:tc>
              <w:tc>
                <w:tcPr>
                  <w:tcW w:w="827" w:type="pct"/>
                  <w:vAlign w:val="center"/>
                </w:tcPr>
                <w:p w14:paraId="095FA995">
                  <w:pPr>
                    <w:pStyle w:val="65"/>
                    <w:rPr>
                      <w:color w:val="auto"/>
                      <w:szCs w:val="20"/>
                    </w:rPr>
                  </w:pPr>
                  <w:r>
                    <w:rPr>
                      <w:rFonts w:hint="eastAsia"/>
                      <w:color w:val="auto"/>
                      <w:szCs w:val="20"/>
                    </w:rPr>
                    <w:t>废活性炭</w:t>
                  </w:r>
                </w:p>
              </w:tc>
              <w:tc>
                <w:tcPr>
                  <w:tcW w:w="1399" w:type="pct"/>
                  <w:gridSpan w:val="2"/>
                  <w:vMerge w:val="restart"/>
                  <w:vAlign w:val="center"/>
                </w:tcPr>
                <w:p w14:paraId="31809637">
                  <w:pPr>
                    <w:pStyle w:val="65"/>
                    <w:rPr>
                      <w:color w:val="auto"/>
                      <w:szCs w:val="20"/>
                    </w:rPr>
                  </w:pPr>
                  <w:r>
                    <w:rPr>
                      <w:rFonts w:hint="eastAsia"/>
                      <w:color w:val="auto"/>
                    </w:rPr>
                    <w:t>采用专用密闭容器收集后在</w:t>
                  </w:r>
                  <w:r>
                    <w:rPr>
                      <w:rFonts w:hint="eastAsia"/>
                      <w:color w:val="auto"/>
                      <w:lang w:val="pt-BR"/>
                    </w:rPr>
                    <w:t>厂房</w:t>
                  </w:r>
                  <w:r>
                    <w:rPr>
                      <w:rFonts w:hint="eastAsia"/>
                      <w:color w:val="auto"/>
                    </w:rPr>
                    <w:t>内按危废种类分类分区暂存，定期送至有相应资质的危废处理单位处置</w:t>
                  </w:r>
                </w:p>
              </w:tc>
              <w:tc>
                <w:tcPr>
                  <w:tcW w:w="1437" w:type="pct"/>
                  <w:gridSpan w:val="2"/>
                  <w:vMerge w:val="restart"/>
                  <w:shd w:val="clear" w:color="auto" w:fill="auto"/>
                  <w:vAlign w:val="center"/>
                </w:tcPr>
                <w:p w14:paraId="27B03274">
                  <w:pPr>
                    <w:pStyle w:val="65"/>
                    <w:rPr>
                      <w:rFonts w:hint="eastAsia" w:ascii="Times New Roman" w:hAnsi="Times New Roman" w:eastAsia="宋体" w:cs="Times New Roman"/>
                      <w:bCs/>
                      <w:color w:val="auto"/>
                      <w:sz w:val="21"/>
                      <w:szCs w:val="20"/>
                      <w:lang w:val="en-US" w:eastAsia="zh-CN" w:bidi="ar-SA"/>
                    </w:rPr>
                  </w:pPr>
                  <w:r>
                    <w:rPr>
                      <w:rFonts w:hint="eastAsia"/>
                      <w:color w:val="auto"/>
                    </w:rPr>
                    <w:t>采用专用密闭容器收集后在</w:t>
                  </w:r>
                  <w:r>
                    <w:rPr>
                      <w:rFonts w:hint="eastAsia"/>
                      <w:color w:val="auto"/>
                      <w:lang w:val="pt-BR"/>
                    </w:rPr>
                    <w:t>厂房</w:t>
                  </w:r>
                  <w:r>
                    <w:rPr>
                      <w:rFonts w:hint="eastAsia"/>
                      <w:color w:val="auto"/>
                    </w:rPr>
                    <w:t>内按危废种类分类分区暂存，定期送至有相应资质的危废处理单位处置</w:t>
                  </w:r>
                </w:p>
              </w:tc>
              <w:tc>
                <w:tcPr>
                  <w:tcW w:w="441" w:type="pct"/>
                  <w:vAlign w:val="center"/>
                </w:tcPr>
                <w:p w14:paraId="21D34F68">
                  <w:pPr>
                    <w:pStyle w:val="65"/>
                    <w:rPr>
                      <w:rFonts w:hint="eastAsia"/>
                      <w:color w:val="auto"/>
                    </w:rPr>
                  </w:pPr>
                  <w:r>
                    <w:rPr>
                      <w:rFonts w:hint="eastAsia"/>
                      <w:color w:val="auto"/>
                      <w:szCs w:val="20"/>
                      <w:lang w:val="en-US" w:eastAsia="zh-CN"/>
                    </w:rPr>
                    <w:t>一致</w:t>
                  </w:r>
                </w:p>
              </w:tc>
            </w:tr>
            <w:tr w14:paraId="5911EE7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Merge w:val="continue"/>
                  <w:vAlign w:val="center"/>
                </w:tcPr>
                <w:p w14:paraId="6A539435">
                  <w:pPr>
                    <w:pStyle w:val="65"/>
                    <w:rPr>
                      <w:color w:val="auto"/>
                      <w:szCs w:val="20"/>
                    </w:rPr>
                  </w:pPr>
                </w:p>
              </w:tc>
              <w:tc>
                <w:tcPr>
                  <w:tcW w:w="658" w:type="pct"/>
                  <w:vAlign w:val="center"/>
                </w:tcPr>
                <w:p w14:paraId="0B85E4C5">
                  <w:pPr>
                    <w:pStyle w:val="65"/>
                    <w:rPr>
                      <w:color w:val="auto"/>
                      <w:szCs w:val="20"/>
                    </w:rPr>
                  </w:pPr>
                  <w:r>
                    <w:rPr>
                      <w:rFonts w:hint="eastAsia"/>
                      <w:color w:val="auto"/>
                      <w:szCs w:val="20"/>
                    </w:rPr>
                    <w:t>油类贮存</w:t>
                  </w:r>
                </w:p>
              </w:tc>
              <w:tc>
                <w:tcPr>
                  <w:tcW w:w="827" w:type="pct"/>
                  <w:vAlign w:val="center"/>
                </w:tcPr>
                <w:p w14:paraId="387D62D6">
                  <w:pPr>
                    <w:pStyle w:val="65"/>
                    <w:rPr>
                      <w:color w:val="auto"/>
                      <w:szCs w:val="20"/>
                    </w:rPr>
                  </w:pPr>
                  <w:r>
                    <w:rPr>
                      <w:rFonts w:hint="eastAsia"/>
                      <w:color w:val="auto"/>
                      <w:szCs w:val="20"/>
                    </w:rPr>
                    <w:t>储罐底油</w:t>
                  </w:r>
                </w:p>
              </w:tc>
              <w:tc>
                <w:tcPr>
                  <w:tcW w:w="1399" w:type="pct"/>
                  <w:gridSpan w:val="2"/>
                  <w:vMerge w:val="continue"/>
                  <w:vAlign w:val="center"/>
                </w:tcPr>
                <w:p w14:paraId="687C9657">
                  <w:pPr>
                    <w:pStyle w:val="65"/>
                    <w:rPr>
                      <w:color w:val="auto"/>
                    </w:rPr>
                  </w:pPr>
                </w:p>
              </w:tc>
              <w:tc>
                <w:tcPr>
                  <w:tcW w:w="1437" w:type="pct"/>
                  <w:gridSpan w:val="2"/>
                  <w:vMerge w:val="continue"/>
                  <w:vAlign w:val="center"/>
                </w:tcPr>
                <w:p w14:paraId="7FE77225">
                  <w:pPr>
                    <w:pStyle w:val="65"/>
                    <w:rPr>
                      <w:color w:val="auto"/>
                    </w:rPr>
                  </w:pPr>
                </w:p>
              </w:tc>
              <w:tc>
                <w:tcPr>
                  <w:tcW w:w="441" w:type="pct"/>
                  <w:vAlign w:val="center"/>
                </w:tcPr>
                <w:p w14:paraId="484A629B">
                  <w:pPr>
                    <w:pStyle w:val="65"/>
                    <w:rPr>
                      <w:color w:val="auto"/>
                    </w:rPr>
                  </w:pPr>
                  <w:r>
                    <w:rPr>
                      <w:rFonts w:hint="eastAsia"/>
                      <w:color w:val="auto"/>
                      <w:szCs w:val="20"/>
                      <w:lang w:val="en-US" w:eastAsia="zh-CN"/>
                    </w:rPr>
                    <w:t>一致</w:t>
                  </w:r>
                </w:p>
              </w:tc>
            </w:tr>
            <w:tr w14:paraId="3F2976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Merge w:val="continue"/>
                  <w:vAlign w:val="center"/>
                </w:tcPr>
                <w:p w14:paraId="44EE1DF8">
                  <w:pPr>
                    <w:pStyle w:val="65"/>
                    <w:rPr>
                      <w:color w:val="auto"/>
                      <w:szCs w:val="20"/>
                    </w:rPr>
                  </w:pPr>
                </w:p>
              </w:tc>
              <w:tc>
                <w:tcPr>
                  <w:tcW w:w="658" w:type="pct"/>
                  <w:vMerge w:val="restart"/>
                  <w:vAlign w:val="center"/>
                </w:tcPr>
                <w:p w14:paraId="6995B8E8">
                  <w:pPr>
                    <w:pStyle w:val="65"/>
                    <w:rPr>
                      <w:color w:val="auto"/>
                      <w:szCs w:val="20"/>
                    </w:rPr>
                  </w:pPr>
                  <w:r>
                    <w:rPr>
                      <w:rFonts w:hint="eastAsia"/>
                      <w:color w:val="auto"/>
                      <w:szCs w:val="20"/>
                    </w:rPr>
                    <w:t>日常运营</w:t>
                  </w:r>
                </w:p>
              </w:tc>
              <w:tc>
                <w:tcPr>
                  <w:tcW w:w="827" w:type="pct"/>
                  <w:vAlign w:val="center"/>
                </w:tcPr>
                <w:p w14:paraId="601A9230">
                  <w:pPr>
                    <w:pStyle w:val="65"/>
                    <w:rPr>
                      <w:color w:val="auto"/>
                      <w:szCs w:val="20"/>
                    </w:rPr>
                  </w:pPr>
                  <w:r>
                    <w:rPr>
                      <w:rFonts w:hint="eastAsia"/>
                      <w:color w:val="auto"/>
                      <w:szCs w:val="20"/>
                    </w:rPr>
                    <w:t>废沙土</w:t>
                  </w:r>
                </w:p>
              </w:tc>
              <w:tc>
                <w:tcPr>
                  <w:tcW w:w="1399" w:type="pct"/>
                  <w:gridSpan w:val="2"/>
                  <w:vMerge w:val="continue"/>
                  <w:vAlign w:val="center"/>
                </w:tcPr>
                <w:p w14:paraId="118BB652">
                  <w:pPr>
                    <w:pStyle w:val="65"/>
                    <w:rPr>
                      <w:color w:val="auto"/>
                    </w:rPr>
                  </w:pPr>
                </w:p>
              </w:tc>
              <w:tc>
                <w:tcPr>
                  <w:tcW w:w="1437" w:type="pct"/>
                  <w:gridSpan w:val="2"/>
                  <w:vMerge w:val="continue"/>
                  <w:vAlign w:val="center"/>
                </w:tcPr>
                <w:p w14:paraId="4FBB0F60">
                  <w:pPr>
                    <w:pStyle w:val="65"/>
                    <w:rPr>
                      <w:color w:val="auto"/>
                    </w:rPr>
                  </w:pPr>
                </w:p>
              </w:tc>
              <w:tc>
                <w:tcPr>
                  <w:tcW w:w="441" w:type="pct"/>
                  <w:vAlign w:val="center"/>
                </w:tcPr>
                <w:p w14:paraId="42FC8BF7">
                  <w:pPr>
                    <w:pStyle w:val="65"/>
                    <w:rPr>
                      <w:color w:val="auto"/>
                    </w:rPr>
                  </w:pPr>
                  <w:r>
                    <w:rPr>
                      <w:rFonts w:hint="eastAsia"/>
                      <w:color w:val="auto"/>
                      <w:szCs w:val="20"/>
                      <w:lang w:val="en-US" w:eastAsia="zh-CN"/>
                    </w:rPr>
                    <w:t>一致</w:t>
                  </w:r>
                </w:p>
              </w:tc>
            </w:tr>
            <w:tr w14:paraId="7623DA2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5" w:type="pct"/>
                  <w:vMerge w:val="continue"/>
                  <w:vAlign w:val="center"/>
                </w:tcPr>
                <w:p w14:paraId="078104C1">
                  <w:pPr>
                    <w:pStyle w:val="65"/>
                    <w:rPr>
                      <w:color w:val="auto"/>
                      <w:szCs w:val="20"/>
                    </w:rPr>
                  </w:pPr>
                </w:p>
              </w:tc>
              <w:tc>
                <w:tcPr>
                  <w:tcW w:w="658" w:type="pct"/>
                  <w:vMerge w:val="continue"/>
                  <w:vAlign w:val="center"/>
                </w:tcPr>
                <w:p w14:paraId="1DE4CC08">
                  <w:pPr>
                    <w:pStyle w:val="65"/>
                    <w:rPr>
                      <w:color w:val="auto"/>
                      <w:szCs w:val="20"/>
                    </w:rPr>
                  </w:pPr>
                </w:p>
              </w:tc>
              <w:tc>
                <w:tcPr>
                  <w:tcW w:w="827" w:type="pct"/>
                  <w:vAlign w:val="center"/>
                </w:tcPr>
                <w:p w14:paraId="466CA59C">
                  <w:pPr>
                    <w:pStyle w:val="65"/>
                    <w:rPr>
                      <w:color w:val="auto"/>
                      <w:szCs w:val="20"/>
                    </w:rPr>
                  </w:pPr>
                  <w:r>
                    <w:rPr>
                      <w:rFonts w:hint="eastAsia"/>
                      <w:color w:val="auto"/>
                      <w:szCs w:val="20"/>
                    </w:rPr>
                    <w:t>废含油抹布</w:t>
                  </w:r>
                </w:p>
              </w:tc>
              <w:tc>
                <w:tcPr>
                  <w:tcW w:w="1399" w:type="pct"/>
                  <w:gridSpan w:val="2"/>
                  <w:vMerge w:val="continue"/>
                  <w:vAlign w:val="center"/>
                </w:tcPr>
                <w:p w14:paraId="474826A7">
                  <w:pPr>
                    <w:pStyle w:val="65"/>
                    <w:rPr>
                      <w:color w:val="auto"/>
                    </w:rPr>
                  </w:pPr>
                </w:p>
              </w:tc>
              <w:tc>
                <w:tcPr>
                  <w:tcW w:w="1437" w:type="pct"/>
                  <w:gridSpan w:val="2"/>
                  <w:vMerge w:val="continue"/>
                  <w:vAlign w:val="center"/>
                </w:tcPr>
                <w:p w14:paraId="29B37E26">
                  <w:pPr>
                    <w:pStyle w:val="65"/>
                    <w:rPr>
                      <w:color w:val="auto"/>
                    </w:rPr>
                  </w:pPr>
                </w:p>
              </w:tc>
              <w:tc>
                <w:tcPr>
                  <w:tcW w:w="441" w:type="pct"/>
                  <w:vAlign w:val="center"/>
                </w:tcPr>
                <w:p w14:paraId="5A17ED55">
                  <w:pPr>
                    <w:pStyle w:val="65"/>
                    <w:rPr>
                      <w:color w:val="auto"/>
                    </w:rPr>
                  </w:pPr>
                  <w:r>
                    <w:rPr>
                      <w:rFonts w:hint="eastAsia"/>
                      <w:color w:val="auto"/>
                      <w:szCs w:val="20"/>
                      <w:lang w:val="en-US" w:eastAsia="zh-CN"/>
                    </w:rPr>
                    <w:t>一致</w:t>
                  </w:r>
                </w:p>
              </w:tc>
            </w:tr>
          </w:tbl>
          <w:p w14:paraId="04096ABF">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50B4F032">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7EECB7D8">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4812D8E4">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5386DE59">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4BA1500D">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5E4BDC62">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70FF035A">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522A7761">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5EDFD77A">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5F8E9102">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24E160DB">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395AC128">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13F3A005">
            <w:pPr>
              <w:widowControl w:val="0"/>
              <w:adjustRightInd/>
              <w:snapToGrid/>
              <w:spacing w:after="0" w:line="460" w:lineRule="exact"/>
              <w:ind w:firstLine="480" w:firstLineChars="200"/>
              <w:jc w:val="both"/>
              <w:rPr>
                <w:rFonts w:hint="eastAsia" w:eastAsia="宋体"/>
                <w:color w:val="auto"/>
                <w:kern w:val="2"/>
                <w:sz w:val="24"/>
                <w:szCs w:val="20"/>
                <w:lang w:eastAsia="zh-CN"/>
              </w:rPr>
            </w:pPr>
          </w:p>
          <w:p w14:paraId="6FAD3CBC">
            <w:pPr>
              <w:spacing w:line="360" w:lineRule="auto"/>
              <w:rPr>
                <w:rFonts w:eastAsia="仿宋_GB2312"/>
                <w:color w:val="auto"/>
                <w:sz w:val="21"/>
                <w:szCs w:val="21"/>
                <w:vertAlign w:val="baseline"/>
              </w:rPr>
            </w:pPr>
          </w:p>
        </w:tc>
      </w:tr>
    </w:tbl>
    <w:p w14:paraId="1C674CF9">
      <w:pPr>
        <w:spacing w:line="360" w:lineRule="auto"/>
        <w:rPr>
          <w:rFonts w:eastAsia="仿宋_GB2312"/>
          <w:color w:val="auto"/>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589AE1CC">
      <w:pPr>
        <w:spacing w:after="0" w:line="240" w:lineRule="exact"/>
        <w:rPr>
          <w:rFonts w:eastAsia="仿宋_GB2312"/>
          <w:b/>
          <w:color w:val="auto"/>
          <w:sz w:val="21"/>
          <w:szCs w:val="21"/>
        </w:rPr>
      </w:pPr>
      <w:r>
        <w:rPr>
          <w:rFonts w:eastAsia="仿宋_GB2312"/>
          <w:b/>
          <w:color w:val="auto"/>
          <w:sz w:val="21"/>
          <w:szCs w:val="21"/>
        </w:rPr>
        <w:t>表三</w:t>
      </w:r>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288"/>
      </w:tblGrid>
      <w:tr w14:paraId="4031A7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588" w:hRule="atLeast"/>
          <w:jc w:val="center"/>
        </w:trPr>
        <w:tc>
          <w:tcPr>
            <w:tcW w:w="5000" w:type="pct"/>
          </w:tcPr>
          <w:p w14:paraId="60600013">
            <w:pPr>
              <w:spacing w:after="0" w:line="460" w:lineRule="exact"/>
              <w:rPr>
                <w:rFonts w:hint="eastAsia" w:ascii="Times New Roman" w:hAnsi="Times New Roman" w:eastAsia="宋体"/>
                <w:color w:val="auto"/>
                <w:sz w:val="24"/>
                <w:szCs w:val="24"/>
              </w:rPr>
            </w:pPr>
            <w:r>
              <w:rPr>
                <w:rFonts w:ascii="Times New Roman" w:hAnsi="Times New Roman" w:eastAsia="宋体"/>
                <w:color w:val="auto"/>
                <w:sz w:val="24"/>
                <w:szCs w:val="24"/>
              </w:rPr>
              <w:t>主要污染源、污染物处理和排放</w:t>
            </w:r>
          </w:p>
          <w:p w14:paraId="38BB33F8">
            <w:pPr>
              <w:spacing w:after="0" w:line="460" w:lineRule="exact"/>
              <w:ind w:firstLine="480" w:firstLineChars="200"/>
              <w:rPr>
                <w:rFonts w:eastAsia="宋体"/>
                <w:color w:val="auto"/>
                <w:kern w:val="2"/>
                <w:sz w:val="24"/>
                <w:szCs w:val="20"/>
              </w:rPr>
            </w:pPr>
            <w:r>
              <w:rPr>
                <w:rFonts w:eastAsia="宋体"/>
                <w:color w:val="auto"/>
                <w:kern w:val="2"/>
                <w:sz w:val="24"/>
                <w:szCs w:val="20"/>
              </w:rPr>
              <w:t>1、废水</w:t>
            </w:r>
          </w:p>
          <w:p w14:paraId="21CE5819">
            <w:pPr>
              <w:spacing w:after="0" w:line="460" w:lineRule="exact"/>
              <w:ind w:firstLine="480" w:firstLineChars="200"/>
              <w:jc w:val="both"/>
              <w:rPr>
                <w:rFonts w:hint="default" w:eastAsia="宋体"/>
                <w:color w:val="auto"/>
                <w:kern w:val="2"/>
                <w:sz w:val="24"/>
                <w:szCs w:val="20"/>
                <w:lang w:val="en-US" w:eastAsia="zh-CN"/>
              </w:rPr>
            </w:pPr>
            <w:bookmarkStart w:id="9" w:name="_Hlk156578746"/>
            <w:r>
              <w:rPr>
                <w:rFonts w:hint="eastAsia" w:eastAsia="宋体"/>
                <w:color w:val="auto"/>
                <w:kern w:val="2"/>
                <w:sz w:val="24"/>
                <w:szCs w:val="20"/>
              </w:rPr>
              <w:t>本项目</w:t>
            </w:r>
            <w:r>
              <w:rPr>
                <w:rFonts w:hint="eastAsia" w:eastAsia="宋体"/>
                <w:color w:val="auto"/>
                <w:kern w:val="2"/>
                <w:sz w:val="24"/>
                <w:szCs w:val="20"/>
                <w:lang w:val="en-US" w:eastAsia="zh-CN"/>
              </w:rPr>
              <w:t>不新增废水排放。</w:t>
            </w:r>
          </w:p>
          <w:bookmarkEnd w:id="9"/>
          <w:p w14:paraId="492253B9">
            <w:pPr>
              <w:spacing w:after="0" w:line="460" w:lineRule="exact"/>
              <w:ind w:firstLine="480" w:firstLineChars="200"/>
              <w:rPr>
                <w:rFonts w:eastAsia="宋体"/>
                <w:color w:val="auto"/>
                <w:kern w:val="2"/>
                <w:sz w:val="24"/>
                <w:szCs w:val="20"/>
              </w:rPr>
            </w:pPr>
            <w:r>
              <w:rPr>
                <w:rFonts w:eastAsia="宋体"/>
                <w:color w:val="auto"/>
                <w:kern w:val="2"/>
                <w:sz w:val="24"/>
                <w:szCs w:val="20"/>
              </w:rPr>
              <w:t>2、废气</w:t>
            </w:r>
          </w:p>
          <w:p w14:paraId="2EC93428">
            <w:pPr>
              <w:spacing w:after="0" w:line="460" w:lineRule="exact"/>
              <w:ind w:firstLine="480" w:firstLineChars="200"/>
              <w:jc w:val="both"/>
              <w:rPr>
                <w:rFonts w:hint="eastAsia" w:eastAsia="宋体"/>
                <w:color w:val="auto"/>
                <w:kern w:val="2"/>
                <w:sz w:val="24"/>
                <w:szCs w:val="20"/>
                <w:lang w:val="en-US" w:eastAsia="zh-CN"/>
              </w:rPr>
            </w:pPr>
            <w:bookmarkStart w:id="10" w:name="_Hlk123228410"/>
            <w:r>
              <w:rPr>
                <w:rFonts w:hint="eastAsia" w:eastAsia="宋体"/>
                <w:color w:val="auto"/>
                <w:kern w:val="2"/>
                <w:sz w:val="24"/>
                <w:szCs w:val="20"/>
                <w:lang w:val="en-US" w:eastAsia="zh-CN"/>
              </w:rPr>
              <w:t>本项目废气主要包括危废暂存间废气、储罐废气。危废暂存间废气经密闭间+集气罩收集后于储罐废气一同进入二级活性炭装置处理，废气经处理后通过1根15m高排气筒DA001排放</w:t>
            </w:r>
            <w:r>
              <w:rPr>
                <w:rFonts w:hint="eastAsia" w:eastAsia="宋体"/>
                <w:color w:val="auto"/>
                <w:kern w:val="2"/>
                <w:sz w:val="24"/>
                <w:szCs w:val="20"/>
                <w:lang w:val="zh-CN"/>
              </w:rPr>
              <w:t>。</w:t>
            </w:r>
          </w:p>
          <w:p w14:paraId="075E8345">
            <w:pPr>
              <w:spacing w:after="0" w:line="240" w:lineRule="auto"/>
              <w:jc w:val="center"/>
              <w:rPr>
                <w:rFonts w:eastAsia="黑体"/>
                <w:color w:val="auto"/>
                <w:kern w:val="2"/>
                <w:sz w:val="24"/>
                <w:szCs w:val="20"/>
              </w:rPr>
            </w:pPr>
            <w:r>
              <w:rPr>
                <w:rFonts w:eastAsia="宋体"/>
                <w:color w:val="auto"/>
                <w:kern w:val="2"/>
                <w:sz w:val="24"/>
                <w:szCs w:val="20"/>
              </w:rPr>
              <w:object>
                <v:shape id="_x0000_i1025" o:spt="75" type="#_x0000_t75" style="height:128.25pt;width:465pt;" o:ole="t" filled="f" o:preferrelative="t" stroked="f" coordsize="21600,21600">
                  <v:path/>
                  <v:fill on="f" focussize="0,0"/>
                  <v:stroke on="f"/>
                  <v:imagedata r:id="rId11" o:title=""/>
                  <o:lock v:ext="edit" aspectratio="f"/>
                  <w10:wrap type="none"/>
                  <w10:anchorlock/>
                </v:shape>
                <o:OLEObject Type="Embed" ProgID="Visio.Drawing.11" ShapeID="_x0000_i1025" DrawAspect="Content" ObjectID="_1468075725" r:id="rId10">
                  <o:LockedField>false</o:LockedField>
                </o:OLEObject>
              </w:object>
            </w:r>
            <w:bookmarkEnd w:id="10"/>
            <w:r>
              <w:rPr>
                <w:rFonts w:eastAsia="黑体"/>
                <w:color w:val="auto"/>
                <w:kern w:val="2"/>
                <w:sz w:val="24"/>
                <w:szCs w:val="20"/>
              </w:rPr>
              <w:t>图</w:t>
            </w:r>
            <w:r>
              <w:rPr>
                <w:rFonts w:hint="eastAsia" w:eastAsia="黑体"/>
                <w:color w:val="auto"/>
                <w:kern w:val="2"/>
                <w:sz w:val="24"/>
                <w:szCs w:val="20"/>
                <w:lang w:val="en-US" w:eastAsia="zh-CN"/>
              </w:rPr>
              <w:t>6</w:t>
            </w:r>
            <w:r>
              <w:rPr>
                <w:rFonts w:hint="eastAsia" w:eastAsia="黑体"/>
                <w:color w:val="auto"/>
                <w:kern w:val="2"/>
                <w:sz w:val="24"/>
                <w:szCs w:val="20"/>
              </w:rPr>
              <w:t xml:space="preserve">  </w:t>
            </w:r>
            <w:r>
              <w:rPr>
                <w:rFonts w:eastAsia="黑体"/>
                <w:color w:val="auto"/>
                <w:kern w:val="2"/>
                <w:sz w:val="24"/>
                <w:szCs w:val="20"/>
              </w:rPr>
              <w:t>废气治理流程示意图</w:t>
            </w:r>
          </w:p>
          <w:p w14:paraId="1EF904CA">
            <w:pPr>
              <w:spacing w:after="0" w:line="460" w:lineRule="exact"/>
              <w:ind w:firstLine="480" w:firstLineChars="200"/>
              <w:jc w:val="both"/>
              <w:rPr>
                <w:rFonts w:eastAsia="宋体"/>
                <w:color w:val="auto"/>
                <w:kern w:val="2"/>
                <w:sz w:val="24"/>
                <w:szCs w:val="20"/>
              </w:rPr>
            </w:pPr>
            <w:r>
              <w:rPr>
                <w:rFonts w:hint="eastAsia" w:eastAsia="宋体"/>
                <w:color w:val="auto"/>
                <w:kern w:val="2"/>
                <w:sz w:val="24"/>
                <w:szCs w:val="20"/>
              </w:rPr>
              <w:t>3</w:t>
            </w:r>
            <w:r>
              <w:rPr>
                <w:rFonts w:eastAsia="宋体"/>
                <w:color w:val="auto"/>
                <w:kern w:val="2"/>
                <w:sz w:val="24"/>
                <w:szCs w:val="20"/>
              </w:rPr>
              <w:t>、</w:t>
            </w:r>
            <w:r>
              <w:rPr>
                <w:rFonts w:hint="eastAsia" w:eastAsia="宋体"/>
                <w:color w:val="auto"/>
                <w:kern w:val="2"/>
                <w:sz w:val="24"/>
                <w:szCs w:val="20"/>
              </w:rPr>
              <w:t>噪声</w:t>
            </w:r>
          </w:p>
          <w:p w14:paraId="56C10B49">
            <w:pPr>
              <w:spacing w:after="0" w:line="460" w:lineRule="exact"/>
              <w:ind w:firstLine="480" w:firstLineChars="200"/>
              <w:jc w:val="both"/>
              <w:rPr>
                <w:rFonts w:eastAsia="宋体"/>
                <w:color w:val="auto"/>
                <w:kern w:val="2"/>
                <w:sz w:val="24"/>
                <w:szCs w:val="20"/>
              </w:rPr>
            </w:pPr>
            <w:r>
              <w:rPr>
                <w:rFonts w:eastAsia="宋体"/>
                <w:color w:val="auto"/>
                <w:kern w:val="2"/>
                <w:sz w:val="24"/>
                <w:szCs w:val="20"/>
              </w:rPr>
              <w:t>本</w:t>
            </w:r>
            <w:r>
              <w:rPr>
                <w:rFonts w:hint="eastAsia" w:eastAsia="宋体"/>
                <w:color w:val="auto"/>
                <w:kern w:val="2"/>
                <w:sz w:val="24"/>
                <w:szCs w:val="20"/>
              </w:rPr>
              <w:t>项目噪声经过基础减振、厂房隔声等，厂界噪声能够满足《工业企业厂界环境噪声排放标准》（GB12348-2008）</w:t>
            </w:r>
            <w:r>
              <w:rPr>
                <w:rFonts w:hint="eastAsia" w:eastAsia="宋体"/>
                <w:color w:val="auto"/>
                <w:kern w:val="2"/>
                <w:sz w:val="24"/>
                <w:szCs w:val="20"/>
                <w:lang w:val="en-US" w:eastAsia="zh-CN"/>
              </w:rPr>
              <w:t>2</w:t>
            </w:r>
            <w:r>
              <w:rPr>
                <w:rFonts w:hint="eastAsia" w:eastAsia="宋体"/>
                <w:color w:val="auto"/>
                <w:kern w:val="2"/>
                <w:sz w:val="24"/>
                <w:szCs w:val="20"/>
              </w:rPr>
              <w:t>类昼间6</w:t>
            </w:r>
            <w:r>
              <w:rPr>
                <w:rFonts w:hint="eastAsia" w:eastAsia="宋体"/>
                <w:color w:val="auto"/>
                <w:kern w:val="2"/>
                <w:sz w:val="24"/>
                <w:szCs w:val="20"/>
                <w:lang w:val="en-US" w:eastAsia="zh-CN"/>
              </w:rPr>
              <w:t>0</w:t>
            </w:r>
            <w:r>
              <w:rPr>
                <w:rFonts w:hint="eastAsia" w:eastAsia="宋体"/>
                <w:color w:val="auto"/>
                <w:kern w:val="2"/>
                <w:sz w:val="24"/>
                <w:szCs w:val="20"/>
              </w:rPr>
              <w:t>dB(A)</w:t>
            </w:r>
            <w:r>
              <w:rPr>
                <w:rFonts w:hint="eastAsia" w:eastAsia="宋体"/>
                <w:color w:val="auto"/>
                <w:kern w:val="2"/>
                <w:sz w:val="24"/>
                <w:szCs w:val="20"/>
                <w:lang w:eastAsia="zh-CN"/>
              </w:rPr>
              <w:t>、</w:t>
            </w:r>
            <w:r>
              <w:rPr>
                <w:rFonts w:hint="eastAsia" w:eastAsia="宋体"/>
                <w:color w:val="auto"/>
                <w:kern w:val="2"/>
                <w:sz w:val="24"/>
                <w:szCs w:val="20"/>
                <w:lang w:val="en-US" w:eastAsia="zh-CN"/>
              </w:rPr>
              <w:t>夜间50</w:t>
            </w:r>
            <w:r>
              <w:rPr>
                <w:rFonts w:hint="eastAsia" w:eastAsia="宋体"/>
                <w:color w:val="auto"/>
                <w:kern w:val="2"/>
                <w:sz w:val="24"/>
                <w:szCs w:val="20"/>
              </w:rPr>
              <w:t>dB(A)的标准要求。</w:t>
            </w:r>
          </w:p>
          <w:p w14:paraId="753B07CF">
            <w:pPr>
              <w:spacing w:before="240" w:beforeLines="100" w:after="0" w:line="360" w:lineRule="auto"/>
              <w:jc w:val="center"/>
              <w:rPr>
                <w:rFonts w:eastAsia="宋体"/>
                <w:color w:val="auto"/>
                <w:kern w:val="2"/>
                <w:sz w:val="24"/>
                <w:szCs w:val="20"/>
              </w:rPr>
            </w:pPr>
            <w:r>
              <w:rPr>
                <w:color w:val="auto"/>
              </w:rPr>
              <w:object>
                <v:shape id="_x0000_i1026" o:spt="75" type="#_x0000_t75" style="height:33.4pt;width:348.15pt;" o:ole="t" filled="f" o:preferrelative="t" stroked="f" coordsize="21600,21600">
                  <v:path/>
                  <v:fill on="f" focussize="0,0"/>
                  <v:stroke on="f"/>
                  <v:imagedata r:id="rId13" o:title=""/>
                  <o:lock v:ext="edit" aspectratio="t"/>
                  <w10:wrap type="none"/>
                  <w10:anchorlock/>
                </v:shape>
                <o:OLEObject Type="Embed" ProgID="Visio.Drawing.15" ShapeID="_x0000_i1026" DrawAspect="Content" ObjectID="_1468075726" r:id="rId12">
                  <o:LockedField>false</o:LockedField>
                </o:OLEObject>
              </w:object>
            </w:r>
          </w:p>
          <w:p w14:paraId="74A77A85">
            <w:pPr>
              <w:spacing w:after="0" w:line="460" w:lineRule="exact"/>
              <w:jc w:val="center"/>
              <w:textAlignment w:val="baseline"/>
              <w:rPr>
                <w:rFonts w:eastAsia="黑体"/>
                <w:color w:val="auto"/>
                <w:kern w:val="2"/>
                <w:sz w:val="24"/>
                <w:szCs w:val="20"/>
              </w:rPr>
            </w:pPr>
            <w:r>
              <w:rPr>
                <w:rFonts w:eastAsia="黑体"/>
                <w:color w:val="auto"/>
                <w:kern w:val="2"/>
                <w:sz w:val="24"/>
                <w:szCs w:val="20"/>
              </w:rPr>
              <w:t>图</w:t>
            </w:r>
            <w:r>
              <w:rPr>
                <w:rFonts w:hint="eastAsia" w:eastAsia="黑体"/>
                <w:color w:val="auto"/>
                <w:kern w:val="2"/>
                <w:sz w:val="24"/>
                <w:szCs w:val="20"/>
                <w:lang w:val="en-US" w:eastAsia="zh-CN"/>
              </w:rPr>
              <w:t>7</w:t>
            </w:r>
            <w:r>
              <w:rPr>
                <w:rFonts w:eastAsia="黑体"/>
                <w:color w:val="auto"/>
                <w:kern w:val="2"/>
                <w:sz w:val="24"/>
                <w:szCs w:val="20"/>
              </w:rPr>
              <w:t xml:space="preserve">  噪声治理流程示意图</w:t>
            </w:r>
          </w:p>
          <w:p w14:paraId="581436ED">
            <w:pPr>
              <w:spacing w:after="0" w:line="460" w:lineRule="exact"/>
              <w:ind w:firstLine="480" w:firstLineChars="200"/>
              <w:rPr>
                <w:rFonts w:eastAsia="宋体"/>
                <w:color w:val="auto"/>
                <w:kern w:val="2"/>
                <w:sz w:val="24"/>
                <w:szCs w:val="20"/>
              </w:rPr>
            </w:pPr>
            <w:r>
              <w:rPr>
                <w:rFonts w:eastAsia="宋体"/>
                <w:color w:val="auto"/>
                <w:kern w:val="2"/>
                <w:sz w:val="24"/>
                <w:szCs w:val="20"/>
              </w:rPr>
              <w:t>4、固废</w:t>
            </w:r>
          </w:p>
          <w:p w14:paraId="72E7D986">
            <w:pPr>
              <w:spacing w:after="0" w:line="460" w:lineRule="exact"/>
              <w:ind w:firstLine="480" w:firstLineChars="200"/>
              <w:jc w:val="both"/>
              <w:rPr>
                <w:rFonts w:hint="eastAsia" w:ascii="Times New Roman" w:hAnsi="Times New Roman" w:eastAsia="宋体"/>
                <w:color w:val="auto"/>
                <w:sz w:val="24"/>
                <w:szCs w:val="24"/>
              </w:rPr>
            </w:pPr>
            <w:r>
              <w:rPr>
                <w:rFonts w:hint="eastAsia" w:ascii="Times New Roman" w:hAnsi="Times New Roman" w:eastAsia="宋体"/>
                <w:color w:val="auto"/>
                <w:sz w:val="24"/>
                <w:szCs w:val="24"/>
              </w:rPr>
              <w:t>本项目产生的固体废物</w:t>
            </w:r>
            <w:r>
              <w:rPr>
                <w:rFonts w:hint="eastAsia" w:eastAsia="宋体"/>
                <w:color w:val="auto"/>
                <w:sz w:val="24"/>
                <w:szCs w:val="24"/>
                <w:lang w:val="en-US" w:eastAsia="zh-CN"/>
              </w:rPr>
              <w:t>包括一般固废及</w:t>
            </w:r>
            <w:r>
              <w:rPr>
                <w:rFonts w:hint="eastAsia" w:ascii="Times New Roman" w:hAnsi="Times New Roman" w:eastAsia="宋体"/>
                <w:color w:val="auto"/>
                <w:sz w:val="24"/>
                <w:szCs w:val="24"/>
              </w:rPr>
              <w:t>危险废物。其中一般固废主要为职工生活垃圾，危险废物包括废活性炭、储罐底油、废含油抹布、废沙土。</w:t>
            </w:r>
          </w:p>
          <w:p w14:paraId="0C4BF557">
            <w:pPr>
              <w:spacing w:after="0" w:line="460" w:lineRule="exact"/>
              <w:ind w:firstLine="480" w:firstLineChars="200"/>
              <w:jc w:val="both"/>
              <w:rPr>
                <w:rFonts w:hint="eastAsia" w:ascii="Times New Roman" w:hAnsi="Times New Roman" w:eastAsia="宋体"/>
                <w:color w:val="auto"/>
                <w:sz w:val="24"/>
                <w:szCs w:val="24"/>
              </w:rPr>
            </w:pPr>
            <w:r>
              <w:rPr>
                <w:rFonts w:hint="eastAsia" w:eastAsia="宋体"/>
                <w:color w:val="auto"/>
                <w:sz w:val="24"/>
                <w:szCs w:val="24"/>
                <w:lang w:val="en-US" w:eastAsia="zh-CN"/>
              </w:rPr>
              <w:t>一般固废经收集后于一般固废暂存间暂存，定期由环卫清运，</w:t>
            </w:r>
            <w:r>
              <w:rPr>
                <w:rFonts w:hint="eastAsia" w:ascii="Times New Roman" w:hAnsi="Times New Roman" w:eastAsia="宋体"/>
                <w:color w:val="auto"/>
                <w:sz w:val="24"/>
                <w:szCs w:val="24"/>
              </w:rPr>
              <w:t>危险废物分类分区收集至危废暂存</w:t>
            </w:r>
            <w:r>
              <w:rPr>
                <w:rFonts w:hint="eastAsia" w:eastAsia="宋体"/>
                <w:color w:val="auto"/>
                <w:sz w:val="24"/>
                <w:szCs w:val="24"/>
                <w:lang w:val="en-US" w:eastAsia="zh-CN"/>
              </w:rPr>
              <w:t>间</w:t>
            </w:r>
            <w:r>
              <w:rPr>
                <w:rFonts w:hint="eastAsia" w:ascii="Times New Roman" w:hAnsi="Times New Roman" w:eastAsia="宋体"/>
                <w:color w:val="auto"/>
                <w:sz w:val="24"/>
                <w:szCs w:val="24"/>
              </w:rPr>
              <w:t>暂存后，定期委托有相应处置资质的单位进行安全处置。</w:t>
            </w:r>
          </w:p>
          <w:p w14:paraId="0CE4DBEF">
            <w:pPr>
              <w:spacing w:after="0" w:line="460" w:lineRule="exact"/>
              <w:ind w:firstLine="480" w:firstLineChars="200"/>
              <w:jc w:val="both"/>
              <w:rPr>
                <w:rFonts w:hint="eastAsia" w:ascii="Times New Roman" w:hAnsi="Times New Roman" w:eastAsia="宋体"/>
                <w:color w:val="auto"/>
                <w:sz w:val="24"/>
                <w:szCs w:val="24"/>
                <w:lang w:eastAsia="zh-CN"/>
              </w:rPr>
            </w:pPr>
            <w:r>
              <w:rPr>
                <w:rFonts w:hint="eastAsia" w:ascii="Times New Roman" w:hAnsi="Times New Roman" w:eastAsia="宋体"/>
                <w:color w:val="auto"/>
                <w:sz w:val="24"/>
                <w:szCs w:val="24"/>
              </w:rPr>
              <w:t>本项目</w:t>
            </w:r>
            <w:r>
              <w:rPr>
                <w:rFonts w:hint="eastAsia" w:eastAsia="宋体"/>
                <w:color w:val="auto"/>
                <w:sz w:val="24"/>
                <w:szCs w:val="24"/>
                <w:lang w:eastAsia="zh-CN"/>
              </w:rPr>
              <w:t>危废贮存</w:t>
            </w:r>
            <w:r>
              <w:rPr>
                <w:rFonts w:hint="eastAsia" w:eastAsia="宋体"/>
                <w:color w:val="auto"/>
                <w:sz w:val="24"/>
                <w:szCs w:val="24"/>
                <w:lang w:val="en-US" w:eastAsia="zh-CN"/>
              </w:rPr>
              <w:t>间</w:t>
            </w:r>
            <w:r>
              <w:rPr>
                <w:rFonts w:hint="eastAsia" w:eastAsia="宋体"/>
                <w:color w:val="auto"/>
                <w:sz w:val="24"/>
                <w:szCs w:val="24"/>
                <w:lang w:eastAsia="zh-CN"/>
              </w:rPr>
              <w:t>满足《危险废物贮存污染控制标准》（GB18597-2023）的要求。危险废物在危废贮存</w:t>
            </w:r>
            <w:r>
              <w:rPr>
                <w:rFonts w:hint="eastAsia" w:eastAsia="宋体"/>
                <w:color w:val="auto"/>
                <w:sz w:val="24"/>
                <w:szCs w:val="24"/>
                <w:lang w:val="en-US" w:eastAsia="zh-CN"/>
              </w:rPr>
              <w:t>间</w:t>
            </w:r>
            <w:r>
              <w:rPr>
                <w:rFonts w:hint="eastAsia" w:eastAsia="宋体"/>
                <w:color w:val="auto"/>
                <w:sz w:val="24"/>
                <w:szCs w:val="24"/>
                <w:lang w:eastAsia="zh-CN"/>
              </w:rPr>
              <w:t>采用专用密闭容器储存，危废贮存库采取防风、防晒、防雨淋、防扬散、防流失、防渗漏措施。</w:t>
            </w:r>
          </w:p>
          <w:p w14:paraId="493BE7A2">
            <w:pPr>
              <w:spacing w:after="0" w:line="240" w:lineRule="auto"/>
              <w:ind w:firstLine="480" w:firstLineChars="200"/>
              <w:jc w:val="center"/>
              <w:rPr>
                <w:rFonts w:eastAsia="宋体"/>
                <w:color w:val="auto"/>
                <w:kern w:val="2"/>
                <w:sz w:val="24"/>
                <w:szCs w:val="20"/>
              </w:rPr>
            </w:pPr>
            <w:r>
              <w:rPr>
                <w:rFonts w:eastAsia="宋体"/>
                <w:color w:val="auto"/>
                <w:kern w:val="2"/>
                <w:sz w:val="24"/>
                <w:szCs w:val="20"/>
              </w:rPr>
              <w:object>
                <v:shape id="_x0000_i1027" o:spt="75" type="#_x0000_t75" style="height:263.25pt;width:342pt;" o:ole="t" filled="f" o:preferrelative="t" stroked="f" coordsize="21600,21600">
                  <v:path/>
                  <v:fill on="f" focussize="0,0"/>
                  <v:stroke on="f"/>
                  <v:imagedata r:id="rId15" o:title=""/>
                  <o:lock v:ext="edit" aspectratio="f"/>
                  <w10:wrap type="none"/>
                  <w10:anchorlock/>
                </v:shape>
                <o:OLEObject Type="Embed" ProgID="Visio.Drawing.11" ShapeID="_x0000_i1027" DrawAspect="Content" ObjectID="_1468075727" r:id="rId14">
                  <o:LockedField>false</o:LockedField>
                </o:OLEObject>
              </w:object>
            </w:r>
          </w:p>
          <w:p w14:paraId="12B7B623">
            <w:pPr>
              <w:spacing w:after="0" w:line="460" w:lineRule="exact"/>
              <w:jc w:val="center"/>
              <w:textAlignment w:val="baseline"/>
              <w:rPr>
                <w:rFonts w:eastAsia="黑体"/>
                <w:color w:val="auto"/>
                <w:kern w:val="2"/>
                <w:sz w:val="24"/>
                <w:szCs w:val="20"/>
              </w:rPr>
            </w:pPr>
            <w:r>
              <w:rPr>
                <w:rFonts w:eastAsia="黑体"/>
                <w:color w:val="auto"/>
                <w:kern w:val="2"/>
                <w:sz w:val="24"/>
                <w:szCs w:val="20"/>
              </w:rPr>
              <w:t>图</w:t>
            </w:r>
            <w:r>
              <w:rPr>
                <w:rFonts w:hint="eastAsia" w:eastAsia="黑体"/>
                <w:color w:val="auto"/>
                <w:kern w:val="2"/>
                <w:sz w:val="24"/>
                <w:szCs w:val="20"/>
              </w:rPr>
              <w:t>7</w:t>
            </w:r>
            <w:r>
              <w:rPr>
                <w:rFonts w:eastAsia="黑体"/>
                <w:color w:val="auto"/>
                <w:kern w:val="2"/>
                <w:sz w:val="24"/>
                <w:szCs w:val="20"/>
              </w:rPr>
              <w:t xml:space="preserve">  </w:t>
            </w:r>
            <w:r>
              <w:rPr>
                <w:rFonts w:hint="eastAsia" w:eastAsia="黑体"/>
                <w:color w:val="auto"/>
                <w:kern w:val="2"/>
                <w:sz w:val="24"/>
                <w:szCs w:val="20"/>
                <w:lang w:val="en-US" w:eastAsia="zh-CN"/>
              </w:rPr>
              <w:t>项目固体废物</w:t>
            </w:r>
            <w:r>
              <w:rPr>
                <w:rFonts w:eastAsia="黑体"/>
                <w:color w:val="auto"/>
                <w:kern w:val="2"/>
                <w:sz w:val="24"/>
                <w:szCs w:val="20"/>
              </w:rPr>
              <w:t>处置流程示意图</w:t>
            </w:r>
          </w:p>
          <w:p w14:paraId="2CD31F41">
            <w:pPr>
              <w:spacing w:after="0" w:line="460" w:lineRule="exact"/>
              <w:ind w:firstLine="480" w:firstLineChars="200"/>
              <w:rPr>
                <w:rFonts w:eastAsia="宋体"/>
                <w:color w:val="auto"/>
                <w:kern w:val="2"/>
                <w:sz w:val="24"/>
                <w:szCs w:val="20"/>
              </w:rPr>
            </w:pPr>
            <w:r>
              <w:rPr>
                <w:rFonts w:eastAsia="宋体"/>
                <w:color w:val="auto"/>
                <w:kern w:val="2"/>
                <w:sz w:val="24"/>
                <w:szCs w:val="20"/>
              </w:rPr>
              <w:t>5、环保设施</w:t>
            </w:r>
            <w:r>
              <w:rPr>
                <w:rFonts w:hint="eastAsia" w:eastAsia="宋体"/>
                <w:color w:val="auto"/>
                <w:kern w:val="2"/>
                <w:sz w:val="24"/>
                <w:szCs w:val="20"/>
              </w:rPr>
              <w:t>“三同时”</w:t>
            </w:r>
            <w:r>
              <w:rPr>
                <w:rFonts w:eastAsia="宋体"/>
                <w:color w:val="auto"/>
                <w:kern w:val="2"/>
                <w:sz w:val="24"/>
                <w:szCs w:val="20"/>
              </w:rPr>
              <w:t>落实情况</w:t>
            </w:r>
          </w:p>
          <w:p w14:paraId="3A62BF7B">
            <w:pPr>
              <w:spacing w:after="0" w:line="460" w:lineRule="exact"/>
              <w:ind w:firstLine="480" w:firstLineChars="200"/>
              <w:rPr>
                <w:rFonts w:eastAsia="宋体"/>
                <w:color w:val="auto"/>
                <w:kern w:val="2"/>
                <w:sz w:val="24"/>
                <w:szCs w:val="20"/>
              </w:rPr>
            </w:pPr>
            <w:r>
              <w:rPr>
                <w:rFonts w:eastAsia="宋体"/>
                <w:color w:val="auto"/>
                <w:kern w:val="2"/>
                <w:sz w:val="24"/>
                <w:szCs w:val="20"/>
              </w:rPr>
              <w:t>本项目严格按照环评及批复要求建设了相应的环保治理设施，详见下表。</w:t>
            </w:r>
          </w:p>
          <w:p w14:paraId="7958945E">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项目环保治理设施一览表</w:t>
            </w:r>
          </w:p>
          <w:tbl>
            <w:tblPr>
              <w:tblStyle w:val="20"/>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61"/>
              <w:gridCol w:w="1067"/>
              <w:gridCol w:w="75"/>
              <w:gridCol w:w="1142"/>
              <w:gridCol w:w="1075"/>
              <w:gridCol w:w="1075"/>
              <w:gridCol w:w="2033"/>
              <w:gridCol w:w="1944"/>
            </w:tblGrid>
            <w:tr w14:paraId="23B6F61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restart"/>
                  <w:vAlign w:val="center"/>
                </w:tcPr>
                <w:p w14:paraId="15F108AD">
                  <w:pPr>
                    <w:pStyle w:val="65"/>
                    <w:bidi w:val="0"/>
                    <w:rPr>
                      <w:rFonts w:hint="eastAsia"/>
                      <w:b/>
                      <w:bCs w:val="0"/>
                      <w:color w:val="auto"/>
                      <w:lang w:val="en-US" w:eastAsia="zh-CN"/>
                    </w:rPr>
                  </w:pPr>
                  <w:r>
                    <w:rPr>
                      <w:rFonts w:hint="eastAsia"/>
                      <w:b/>
                      <w:bCs w:val="0"/>
                      <w:color w:val="auto"/>
                      <w:lang w:val="en-US" w:eastAsia="zh-CN"/>
                    </w:rPr>
                    <w:t>污染因素</w:t>
                  </w:r>
                </w:p>
              </w:tc>
              <w:tc>
                <w:tcPr>
                  <w:tcW w:w="2284" w:type="dxa"/>
                  <w:gridSpan w:val="3"/>
                  <w:vMerge w:val="restart"/>
                  <w:vAlign w:val="center"/>
                </w:tcPr>
                <w:p w14:paraId="2368D428">
                  <w:pPr>
                    <w:pStyle w:val="65"/>
                    <w:bidi w:val="0"/>
                    <w:rPr>
                      <w:rFonts w:hint="eastAsia"/>
                      <w:b/>
                      <w:bCs w:val="0"/>
                      <w:color w:val="auto"/>
                      <w:lang w:val="en-US" w:eastAsia="zh-CN"/>
                    </w:rPr>
                  </w:pPr>
                  <w:r>
                    <w:rPr>
                      <w:rFonts w:hint="eastAsia"/>
                      <w:b/>
                      <w:bCs w:val="0"/>
                      <w:color w:val="auto"/>
                      <w:lang w:val="en-US" w:eastAsia="zh-CN"/>
                    </w:rPr>
                    <w:t>产污环节</w:t>
                  </w:r>
                </w:p>
              </w:tc>
              <w:tc>
                <w:tcPr>
                  <w:tcW w:w="2150" w:type="dxa"/>
                  <w:gridSpan w:val="2"/>
                  <w:vMerge w:val="restart"/>
                  <w:vAlign w:val="center"/>
                </w:tcPr>
                <w:p w14:paraId="6EBA357B">
                  <w:pPr>
                    <w:pStyle w:val="65"/>
                    <w:bidi w:val="0"/>
                    <w:rPr>
                      <w:rFonts w:hint="eastAsia"/>
                      <w:b/>
                      <w:bCs w:val="0"/>
                      <w:color w:val="auto"/>
                      <w:lang w:val="en-US" w:eastAsia="zh-CN"/>
                    </w:rPr>
                  </w:pPr>
                  <w:r>
                    <w:rPr>
                      <w:rFonts w:hint="eastAsia"/>
                      <w:b/>
                      <w:bCs w:val="0"/>
                      <w:color w:val="auto"/>
                      <w:lang w:val="en-US" w:eastAsia="zh-CN"/>
                    </w:rPr>
                    <w:t>污染物</w:t>
                  </w:r>
                </w:p>
              </w:tc>
              <w:tc>
                <w:tcPr>
                  <w:tcW w:w="3977" w:type="dxa"/>
                  <w:gridSpan w:val="2"/>
                  <w:vAlign w:val="center"/>
                </w:tcPr>
                <w:p w14:paraId="210AE9B0">
                  <w:pPr>
                    <w:pStyle w:val="65"/>
                    <w:bidi w:val="0"/>
                    <w:rPr>
                      <w:rFonts w:hint="eastAsia"/>
                      <w:b/>
                      <w:bCs w:val="0"/>
                      <w:color w:val="auto"/>
                      <w:lang w:val="en-US" w:eastAsia="zh-CN"/>
                    </w:rPr>
                  </w:pPr>
                  <w:r>
                    <w:rPr>
                      <w:rFonts w:hint="eastAsia"/>
                      <w:b/>
                      <w:bCs w:val="0"/>
                      <w:color w:val="auto"/>
                      <w:lang w:val="en-US" w:eastAsia="zh-CN"/>
                    </w:rPr>
                    <w:t>防治措施</w:t>
                  </w:r>
                </w:p>
              </w:tc>
            </w:tr>
            <w:tr w14:paraId="38AF8A9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2B1FABDA">
                  <w:pPr>
                    <w:pStyle w:val="65"/>
                    <w:bidi w:val="0"/>
                    <w:rPr>
                      <w:rFonts w:hint="eastAsia"/>
                      <w:b/>
                      <w:bCs w:val="0"/>
                      <w:color w:val="auto"/>
                      <w:lang w:val="en-US" w:eastAsia="zh-CN"/>
                    </w:rPr>
                  </w:pPr>
                </w:p>
              </w:tc>
              <w:tc>
                <w:tcPr>
                  <w:tcW w:w="2284" w:type="dxa"/>
                  <w:gridSpan w:val="3"/>
                  <w:vMerge w:val="continue"/>
                  <w:vAlign w:val="center"/>
                </w:tcPr>
                <w:p w14:paraId="24703FC9">
                  <w:pPr>
                    <w:pStyle w:val="65"/>
                    <w:bidi w:val="0"/>
                    <w:rPr>
                      <w:rFonts w:hint="eastAsia"/>
                      <w:b/>
                      <w:bCs w:val="0"/>
                      <w:color w:val="auto"/>
                      <w:lang w:val="en-US" w:eastAsia="zh-CN"/>
                    </w:rPr>
                  </w:pPr>
                </w:p>
              </w:tc>
              <w:tc>
                <w:tcPr>
                  <w:tcW w:w="2150" w:type="dxa"/>
                  <w:gridSpan w:val="2"/>
                  <w:vMerge w:val="continue"/>
                  <w:vAlign w:val="center"/>
                </w:tcPr>
                <w:p w14:paraId="509A6536">
                  <w:pPr>
                    <w:pStyle w:val="65"/>
                    <w:bidi w:val="0"/>
                    <w:rPr>
                      <w:rFonts w:hint="eastAsia"/>
                      <w:b/>
                      <w:bCs w:val="0"/>
                      <w:color w:val="auto"/>
                      <w:lang w:val="en-US" w:eastAsia="zh-CN"/>
                    </w:rPr>
                  </w:pPr>
                </w:p>
              </w:tc>
              <w:tc>
                <w:tcPr>
                  <w:tcW w:w="2033" w:type="dxa"/>
                  <w:vAlign w:val="center"/>
                </w:tcPr>
                <w:p w14:paraId="36F734AE">
                  <w:pPr>
                    <w:pStyle w:val="65"/>
                    <w:bidi w:val="0"/>
                    <w:rPr>
                      <w:rFonts w:hint="default"/>
                      <w:b/>
                      <w:bCs w:val="0"/>
                      <w:color w:val="auto"/>
                      <w:lang w:val="en-US" w:eastAsia="zh-CN"/>
                    </w:rPr>
                  </w:pPr>
                  <w:r>
                    <w:rPr>
                      <w:rFonts w:hint="eastAsia"/>
                      <w:b/>
                      <w:bCs w:val="0"/>
                      <w:color w:val="auto"/>
                      <w:lang w:val="en-US" w:eastAsia="zh-CN"/>
                    </w:rPr>
                    <w:t>环评内容</w:t>
                  </w:r>
                </w:p>
              </w:tc>
              <w:tc>
                <w:tcPr>
                  <w:tcW w:w="1944" w:type="dxa"/>
                  <w:vAlign w:val="center"/>
                </w:tcPr>
                <w:p w14:paraId="6FEDB16B">
                  <w:pPr>
                    <w:pStyle w:val="65"/>
                    <w:bidi w:val="0"/>
                    <w:rPr>
                      <w:rFonts w:hint="default"/>
                      <w:b/>
                      <w:bCs w:val="0"/>
                      <w:color w:val="auto"/>
                      <w:lang w:val="en-US" w:eastAsia="zh-CN"/>
                    </w:rPr>
                  </w:pPr>
                  <w:r>
                    <w:rPr>
                      <w:rFonts w:hint="eastAsia"/>
                      <w:b/>
                      <w:bCs w:val="0"/>
                      <w:color w:val="auto"/>
                      <w:lang w:val="en-US" w:eastAsia="zh-CN"/>
                    </w:rPr>
                    <w:t>实际建设</w:t>
                  </w:r>
                </w:p>
              </w:tc>
            </w:tr>
            <w:tr w14:paraId="6D5A695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7" w:hRule="atLeast"/>
                <w:jc w:val="center"/>
              </w:trPr>
              <w:tc>
                <w:tcPr>
                  <w:tcW w:w="661" w:type="dxa"/>
                  <w:vMerge w:val="restart"/>
                  <w:vAlign w:val="center"/>
                </w:tcPr>
                <w:p w14:paraId="539F35CE">
                  <w:pPr>
                    <w:pStyle w:val="65"/>
                    <w:bidi w:val="0"/>
                    <w:rPr>
                      <w:rFonts w:hint="eastAsia"/>
                      <w:color w:val="auto"/>
                      <w:lang w:val="en-US" w:eastAsia="zh-CN"/>
                    </w:rPr>
                  </w:pPr>
                  <w:r>
                    <w:rPr>
                      <w:rFonts w:hint="eastAsia"/>
                      <w:color w:val="auto"/>
                      <w:lang w:val="en-US" w:eastAsia="zh-CN"/>
                    </w:rPr>
                    <w:t>废气</w:t>
                  </w:r>
                </w:p>
              </w:tc>
              <w:tc>
                <w:tcPr>
                  <w:tcW w:w="1142" w:type="dxa"/>
                  <w:gridSpan w:val="2"/>
                  <w:shd w:val="clear" w:color="auto" w:fill="auto"/>
                  <w:vAlign w:val="center"/>
                </w:tcPr>
                <w:p w14:paraId="7AA92263">
                  <w:pPr>
                    <w:pStyle w:val="65"/>
                    <w:bidi w:val="0"/>
                    <w:rPr>
                      <w:rFonts w:hint="eastAsia"/>
                      <w:color w:val="auto"/>
                      <w:lang w:val="en-US" w:eastAsia="zh-CN"/>
                    </w:rPr>
                  </w:pPr>
                  <w:r>
                    <w:rPr>
                      <w:rFonts w:hint="eastAsia"/>
                      <w:color w:val="auto"/>
                      <w:lang w:val="en-US" w:eastAsia="zh-CN"/>
                    </w:rPr>
                    <w:t>危废暂存间</w:t>
                  </w:r>
                </w:p>
              </w:tc>
              <w:tc>
                <w:tcPr>
                  <w:tcW w:w="1142" w:type="dxa"/>
                  <w:vAlign w:val="center"/>
                </w:tcPr>
                <w:p w14:paraId="10CB09B0">
                  <w:pPr>
                    <w:pStyle w:val="65"/>
                    <w:bidi w:val="0"/>
                    <w:rPr>
                      <w:rFonts w:hint="default"/>
                      <w:color w:val="auto"/>
                      <w:lang w:val="en-US" w:eastAsia="zh-CN"/>
                    </w:rPr>
                  </w:pPr>
                  <w:r>
                    <w:rPr>
                      <w:rFonts w:hint="eastAsia"/>
                      <w:color w:val="auto"/>
                      <w:lang w:val="en-US" w:eastAsia="zh-CN"/>
                    </w:rPr>
                    <w:t>非甲烷总烃</w:t>
                  </w:r>
                </w:p>
              </w:tc>
              <w:tc>
                <w:tcPr>
                  <w:tcW w:w="1075" w:type="dxa"/>
                  <w:vAlign w:val="center"/>
                </w:tcPr>
                <w:p w14:paraId="21DAD82F">
                  <w:pPr>
                    <w:pStyle w:val="65"/>
                    <w:bidi w:val="0"/>
                    <w:rPr>
                      <w:rFonts w:hint="eastAsia"/>
                      <w:color w:val="auto"/>
                      <w:lang w:val="en-US" w:eastAsia="zh-CN"/>
                    </w:rPr>
                  </w:pPr>
                  <w:r>
                    <w:rPr>
                      <w:rFonts w:hint="eastAsia"/>
                      <w:color w:val="auto"/>
                      <w:lang w:val="en-US" w:eastAsia="zh-CN"/>
                    </w:rPr>
                    <w:t>危废暂存间</w:t>
                  </w:r>
                </w:p>
              </w:tc>
              <w:tc>
                <w:tcPr>
                  <w:tcW w:w="1075" w:type="dxa"/>
                  <w:vAlign w:val="center"/>
                </w:tcPr>
                <w:p w14:paraId="05013C34">
                  <w:pPr>
                    <w:pStyle w:val="65"/>
                    <w:bidi w:val="0"/>
                    <w:rPr>
                      <w:rFonts w:hint="eastAsia"/>
                      <w:color w:val="auto"/>
                      <w:lang w:val="en-US" w:eastAsia="zh-CN"/>
                    </w:rPr>
                  </w:pPr>
                  <w:r>
                    <w:rPr>
                      <w:rFonts w:hint="eastAsia"/>
                      <w:color w:val="auto"/>
                      <w:lang w:val="en-US" w:eastAsia="zh-CN"/>
                    </w:rPr>
                    <w:t>非甲烷总烃</w:t>
                  </w:r>
                </w:p>
              </w:tc>
              <w:tc>
                <w:tcPr>
                  <w:tcW w:w="2033" w:type="dxa"/>
                  <w:vMerge w:val="restart"/>
                  <w:shd w:val="clear" w:color="auto" w:fill="auto"/>
                  <w:vAlign w:val="center"/>
                </w:tcPr>
                <w:p w14:paraId="66CF353F">
                  <w:pPr>
                    <w:pStyle w:val="65"/>
                    <w:bidi w:val="0"/>
                    <w:rPr>
                      <w:rFonts w:hint="eastAsia"/>
                      <w:color w:val="auto"/>
                      <w:lang w:val="en-US" w:eastAsia="zh-CN"/>
                    </w:rPr>
                  </w:pPr>
                  <w:r>
                    <w:rPr>
                      <w:rFonts w:hint="eastAsia"/>
                      <w:color w:val="auto"/>
                    </w:rPr>
                    <w:t>1套二级活性炭吸附装置（TA001）+1根15m高排气筒（DA001）</w:t>
                  </w:r>
                </w:p>
              </w:tc>
              <w:tc>
                <w:tcPr>
                  <w:tcW w:w="1944" w:type="dxa"/>
                  <w:vMerge w:val="restart"/>
                  <w:vAlign w:val="center"/>
                </w:tcPr>
                <w:p w14:paraId="5D1C092D">
                  <w:pPr>
                    <w:pStyle w:val="65"/>
                    <w:bidi w:val="0"/>
                    <w:rPr>
                      <w:rFonts w:hint="eastAsia"/>
                      <w:color w:val="auto"/>
                      <w:lang w:val="en-US" w:eastAsia="zh-CN"/>
                    </w:rPr>
                  </w:pPr>
                  <w:r>
                    <w:rPr>
                      <w:rFonts w:hint="eastAsia"/>
                      <w:color w:val="auto"/>
                    </w:rPr>
                    <w:t>1套二级活性炭吸附装置（TA001）+1根15m高排气筒（DA001）</w:t>
                  </w:r>
                </w:p>
              </w:tc>
            </w:tr>
            <w:tr w14:paraId="4B701E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48" w:hRule="atLeast"/>
                <w:jc w:val="center"/>
              </w:trPr>
              <w:tc>
                <w:tcPr>
                  <w:tcW w:w="661" w:type="dxa"/>
                  <w:vMerge w:val="continue"/>
                  <w:vAlign w:val="center"/>
                </w:tcPr>
                <w:p w14:paraId="113EABC4">
                  <w:pPr>
                    <w:pStyle w:val="65"/>
                    <w:bidi w:val="0"/>
                    <w:rPr>
                      <w:rFonts w:hint="eastAsia"/>
                      <w:color w:val="auto"/>
                      <w:lang w:val="en-US" w:eastAsia="zh-CN"/>
                    </w:rPr>
                  </w:pPr>
                </w:p>
              </w:tc>
              <w:tc>
                <w:tcPr>
                  <w:tcW w:w="1142" w:type="dxa"/>
                  <w:gridSpan w:val="2"/>
                  <w:shd w:val="clear" w:color="auto" w:fill="auto"/>
                  <w:vAlign w:val="center"/>
                </w:tcPr>
                <w:p w14:paraId="49BF7998">
                  <w:pPr>
                    <w:pStyle w:val="65"/>
                    <w:bidi w:val="0"/>
                    <w:rPr>
                      <w:rFonts w:hint="eastAsia"/>
                      <w:color w:val="auto"/>
                      <w:lang w:val="en-US" w:eastAsia="zh-CN"/>
                    </w:rPr>
                  </w:pPr>
                  <w:r>
                    <w:rPr>
                      <w:rFonts w:hint="eastAsia"/>
                      <w:color w:val="auto"/>
                      <w:lang w:val="en-US" w:eastAsia="zh-CN"/>
                    </w:rPr>
                    <w:t>储罐</w:t>
                  </w:r>
                </w:p>
              </w:tc>
              <w:tc>
                <w:tcPr>
                  <w:tcW w:w="1142" w:type="dxa"/>
                  <w:vAlign w:val="center"/>
                </w:tcPr>
                <w:p w14:paraId="385E7F99">
                  <w:pPr>
                    <w:pStyle w:val="65"/>
                    <w:bidi w:val="0"/>
                    <w:rPr>
                      <w:rFonts w:hint="eastAsia"/>
                      <w:color w:val="auto"/>
                      <w:lang w:val="en-US" w:eastAsia="zh-CN"/>
                    </w:rPr>
                  </w:pPr>
                  <w:r>
                    <w:rPr>
                      <w:rFonts w:hint="eastAsia"/>
                      <w:color w:val="auto"/>
                      <w:lang w:val="en-US" w:eastAsia="zh-CN"/>
                    </w:rPr>
                    <w:t>非甲烷总烃</w:t>
                  </w:r>
                </w:p>
              </w:tc>
              <w:tc>
                <w:tcPr>
                  <w:tcW w:w="1075" w:type="dxa"/>
                  <w:vAlign w:val="center"/>
                </w:tcPr>
                <w:p w14:paraId="510F7ED8">
                  <w:pPr>
                    <w:pStyle w:val="65"/>
                    <w:bidi w:val="0"/>
                    <w:rPr>
                      <w:rFonts w:hint="eastAsia"/>
                      <w:color w:val="auto"/>
                      <w:lang w:val="en-US" w:eastAsia="zh-CN"/>
                    </w:rPr>
                  </w:pPr>
                  <w:r>
                    <w:rPr>
                      <w:rFonts w:hint="eastAsia"/>
                      <w:color w:val="auto"/>
                      <w:lang w:val="en-US" w:eastAsia="zh-CN"/>
                    </w:rPr>
                    <w:t>储罐</w:t>
                  </w:r>
                </w:p>
              </w:tc>
              <w:tc>
                <w:tcPr>
                  <w:tcW w:w="1075" w:type="dxa"/>
                  <w:vAlign w:val="center"/>
                </w:tcPr>
                <w:p w14:paraId="793E1C51">
                  <w:pPr>
                    <w:pStyle w:val="65"/>
                    <w:bidi w:val="0"/>
                    <w:rPr>
                      <w:rFonts w:hint="eastAsia"/>
                      <w:color w:val="auto"/>
                      <w:lang w:val="en-US" w:eastAsia="zh-CN"/>
                    </w:rPr>
                  </w:pPr>
                  <w:r>
                    <w:rPr>
                      <w:rFonts w:hint="eastAsia"/>
                      <w:color w:val="auto"/>
                      <w:lang w:val="en-US" w:eastAsia="zh-CN"/>
                    </w:rPr>
                    <w:t>非甲烷总烃</w:t>
                  </w:r>
                </w:p>
              </w:tc>
              <w:tc>
                <w:tcPr>
                  <w:tcW w:w="2033" w:type="dxa"/>
                  <w:vMerge w:val="continue"/>
                  <w:vAlign w:val="center"/>
                </w:tcPr>
                <w:p w14:paraId="2188840C">
                  <w:pPr>
                    <w:pStyle w:val="65"/>
                    <w:bidi w:val="0"/>
                    <w:rPr>
                      <w:rFonts w:hint="eastAsia"/>
                      <w:color w:val="auto"/>
                      <w:lang w:val="en-US" w:eastAsia="zh-CN"/>
                    </w:rPr>
                  </w:pPr>
                </w:p>
              </w:tc>
              <w:tc>
                <w:tcPr>
                  <w:tcW w:w="1944" w:type="dxa"/>
                  <w:vMerge w:val="continue"/>
                  <w:vAlign w:val="center"/>
                </w:tcPr>
                <w:p w14:paraId="25F3ED67">
                  <w:pPr>
                    <w:pStyle w:val="65"/>
                    <w:bidi w:val="0"/>
                    <w:rPr>
                      <w:rFonts w:hint="eastAsia"/>
                      <w:color w:val="auto"/>
                      <w:lang w:val="en-US" w:eastAsia="zh-CN"/>
                    </w:rPr>
                  </w:pPr>
                </w:p>
              </w:tc>
            </w:tr>
            <w:tr w14:paraId="0229D7B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Align w:val="center"/>
                </w:tcPr>
                <w:p w14:paraId="1AF04B6E">
                  <w:pPr>
                    <w:pStyle w:val="65"/>
                    <w:bidi w:val="0"/>
                    <w:rPr>
                      <w:rFonts w:hint="eastAsia"/>
                      <w:color w:val="auto"/>
                      <w:lang w:val="en-US" w:eastAsia="zh-CN"/>
                    </w:rPr>
                  </w:pPr>
                  <w:r>
                    <w:rPr>
                      <w:rFonts w:hint="eastAsia"/>
                      <w:color w:val="auto"/>
                      <w:lang w:val="en-US" w:eastAsia="zh-CN"/>
                    </w:rPr>
                    <w:t>噪声</w:t>
                  </w:r>
                </w:p>
              </w:tc>
              <w:tc>
                <w:tcPr>
                  <w:tcW w:w="2284" w:type="dxa"/>
                  <w:gridSpan w:val="3"/>
                  <w:vAlign w:val="center"/>
                </w:tcPr>
                <w:p w14:paraId="000EA4FC">
                  <w:pPr>
                    <w:pStyle w:val="65"/>
                    <w:bidi w:val="0"/>
                    <w:rPr>
                      <w:rFonts w:hint="eastAsia"/>
                      <w:color w:val="auto"/>
                      <w:lang w:val="en-US" w:eastAsia="zh-CN"/>
                    </w:rPr>
                  </w:pPr>
                  <w:r>
                    <w:rPr>
                      <w:rFonts w:hint="eastAsia"/>
                      <w:color w:val="auto"/>
                      <w:lang w:val="en-US" w:eastAsia="zh-CN"/>
                    </w:rPr>
                    <w:t>风机等</w:t>
                  </w:r>
                </w:p>
              </w:tc>
              <w:tc>
                <w:tcPr>
                  <w:tcW w:w="2150" w:type="dxa"/>
                  <w:gridSpan w:val="2"/>
                  <w:vAlign w:val="center"/>
                </w:tcPr>
                <w:p w14:paraId="2670FCD3">
                  <w:pPr>
                    <w:pStyle w:val="65"/>
                    <w:bidi w:val="0"/>
                    <w:rPr>
                      <w:rFonts w:hint="eastAsia"/>
                      <w:color w:val="auto"/>
                      <w:lang w:val="en-US" w:eastAsia="zh-CN"/>
                    </w:rPr>
                  </w:pPr>
                  <w:r>
                    <w:rPr>
                      <w:rFonts w:hint="eastAsia"/>
                      <w:color w:val="auto"/>
                      <w:lang w:val="en-US" w:eastAsia="zh-CN"/>
                    </w:rPr>
                    <w:t>噪声</w:t>
                  </w:r>
                </w:p>
              </w:tc>
              <w:tc>
                <w:tcPr>
                  <w:tcW w:w="2033" w:type="dxa"/>
                  <w:vAlign w:val="center"/>
                </w:tcPr>
                <w:p w14:paraId="39762594">
                  <w:pPr>
                    <w:pStyle w:val="65"/>
                    <w:bidi w:val="0"/>
                    <w:rPr>
                      <w:rFonts w:hint="eastAsia"/>
                      <w:color w:val="auto"/>
                      <w:lang w:val="en-US" w:eastAsia="zh-CN"/>
                    </w:rPr>
                  </w:pPr>
                  <w:r>
                    <w:rPr>
                      <w:rFonts w:hint="eastAsia"/>
                      <w:color w:val="auto"/>
                      <w:lang w:val="en-US" w:eastAsia="zh-CN"/>
                    </w:rPr>
                    <w:t>基础减振、厂房隔声等</w:t>
                  </w:r>
                </w:p>
              </w:tc>
              <w:tc>
                <w:tcPr>
                  <w:tcW w:w="1944" w:type="dxa"/>
                  <w:vAlign w:val="center"/>
                </w:tcPr>
                <w:p w14:paraId="0C5B9CE0">
                  <w:pPr>
                    <w:pStyle w:val="65"/>
                    <w:bidi w:val="0"/>
                    <w:rPr>
                      <w:rFonts w:hint="eastAsia"/>
                      <w:color w:val="auto"/>
                      <w:lang w:val="en-US" w:eastAsia="zh-CN"/>
                    </w:rPr>
                  </w:pPr>
                  <w:r>
                    <w:rPr>
                      <w:rFonts w:hint="eastAsia"/>
                      <w:color w:val="auto"/>
                      <w:lang w:val="en-US" w:eastAsia="zh-CN"/>
                    </w:rPr>
                    <w:t>基础减振、厂房隔声等</w:t>
                  </w:r>
                </w:p>
              </w:tc>
            </w:tr>
            <w:tr w14:paraId="683A42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restart"/>
                  <w:vAlign w:val="center"/>
                </w:tcPr>
                <w:p w14:paraId="698D3BFB">
                  <w:pPr>
                    <w:pStyle w:val="65"/>
                    <w:bidi w:val="0"/>
                    <w:rPr>
                      <w:rFonts w:hint="eastAsia"/>
                      <w:color w:val="auto"/>
                      <w:lang w:val="en-US" w:eastAsia="zh-CN"/>
                    </w:rPr>
                  </w:pPr>
                  <w:r>
                    <w:rPr>
                      <w:rFonts w:hint="eastAsia"/>
                      <w:color w:val="auto"/>
                      <w:lang w:val="en-US" w:eastAsia="zh-CN"/>
                    </w:rPr>
                    <w:t>固废</w:t>
                  </w:r>
                </w:p>
              </w:tc>
              <w:tc>
                <w:tcPr>
                  <w:tcW w:w="1067" w:type="dxa"/>
                  <w:vAlign w:val="center"/>
                </w:tcPr>
                <w:p w14:paraId="4FC92F8F">
                  <w:pPr>
                    <w:pStyle w:val="65"/>
                    <w:bidi w:val="0"/>
                    <w:rPr>
                      <w:rFonts w:hint="eastAsia"/>
                      <w:color w:val="auto"/>
                      <w:lang w:val="en-US" w:eastAsia="zh-CN"/>
                    </w:rPr>
                  </w:pPr>
                  <w:r>
                    <w:rPr>
                      <w:rFonts w:hint="eastAsia"/>
                      <w:color w:val="auto"/>
                      <w:lang w:val="en-US" w:eastAsia="zh-CN"/>
                    </w:rPr>
                    <w:t>一般固废</w:t>
                  </w:r>
                </w:p>
              </w:tc>
              <w:tc>
                <w:tcPr>
                  <w:tcW w:w="1217" w:type="dxa"/>
                  <w:gridSpan w:val="2"/>
                  <w:vAlign w:val="center"/>
                </w:tcPr>
                <w:p w14:paraId="15C50503">
                  <w:pPr>
                    <w:pStyle w:val="65"/>
                    <w:bidi w:val="0"/>
                    <w:rPr>
                      <w:rFonts w:hint="eastAsia"/>
                      <w:color w:val="auto"/>
                      <w:lang w:val="en-US" w:eastAsia="zh-CN"/>
                    </w:rPr>
                  </w:pPr>
                  <w:r>
                    <w:rPr>
                      <w:rFonts w:hint="eastAsia"/>
                      <w:color w:val="auto"/>
                    </w:rPr>
                    <w:t>职工生活</w:t>
                  </w:r>
                </w:p>
              </w:tc>
              <w:tc>
                <w:tcPr>
                  <w:tcW w:w="2150" w:type="dxa"/>
                  <w:gridSpan w:val="2"/>
                  <w:vAlign w:val="center"/>
                </w:tcPr>
                <w:p w14:paraId="32AD177C">
                  <w:pPr>
                    <w:pStyle w:val="65"/>
                    <w:bidi w:val="0"/>
                    <w:rPr>
                      <w:rFonts w:hint="eastAsia"/>
                      <w:color w:val="auto"/>
                      <w:lang w:val="en-US" w:eastAsia="zh-CN"/>
                    </w:rPr>
                  </w:pPr>
                  <w:r>
                    <w:rPr>
                      <w:rFonts w:hint="eastAsia"/>
                      <w:color w:val="auto"/>
                    </w:rPr>
                    <w:t>生活垃圾</w:t>
                  </w:r>
                </w:p>
              </w:tc>
              <w:tc>
                <w:tcPr>
                  <w:tcW w:w="2033" w:type="dxa"/>
                  <w:vAlign w:val="center"/>
                </w:tcPr>
                <w:p w14:paraId="575AA00A">
                  <w:pPr>
                    <w:pStyle w:val="65"/>
                    <w:bidi w:val="0"/>
                    <w:rPr>
                      <w:rFonts w:hint="eastAsia"/>
                      <w:color w:val="auto"/>
                      <w:lang w:val="en-US" w:eastAsia="zh-CN"/>
                    </w:rPr>
                  </w:pPr>
                  <w:r>
                    <w:rPr>
                      <w:rFonts w:hint="eastAsia"/>
                      <w:color w:val="auto"/>
                    </w:rPr>
                    <w:t>经收集后由环卫定期清运</w:t>
                  </w:r>
                </w:p>
              </w:tc>
              <w:tc>
                <w:tcPr>
                  <w:tcW w:w="1944" w:type="dxa"/>
                  <w:vAlign w:val="center"/>
                </w:tcPr>
                <w:p w14:paraId="5DF5EAF1">
                  <w:pPr>
                    <w:pStyle w:val="65"/>
                    <w:bidi w:val="0"/>
                    <w:rPr>
                      <w:rFonts w:hint="eastAsia"/>
                      <w:color w:val="auto"/>
                      <w:lang w:val="en-US" w:eastAsia="zh-CN"/>
                    </w:rPr>
                  </w:pPr>
                  <w:r>
                    <w:rPr>
                      <w:rFonts w:hint="eastAsia"/>
                      <w:color w:val="auto"/>
                    </w:rPr>
                    <w:t>经收集后由环卫定期清运</w:t>
                  </w:r>
                </w:p>
              </w:tc>
            </w:tr>
            <w:tr w14:paraId="66D5F0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6E54165E">
                  <w:pPr>
                    <w:pStyle w:val="65"/>
                    <w:bidi w:val="0"/>
                    <w:rPr>
                      <w:rFonts w:hint="eastAsia"/>
                      <w:color w:val="auto"/>
                      <w:lang w:val="en-US" w:eastAsia="zh-CN"/>
                    </w:rPr>
                  </w:pPr>
                </w:p>
              </w:tc>
              <w:tc>
                <w:tcPr>
                  <w:tcW w:w="1067" w:type="dxa"/>
                  <w:vMerge w:val="restart"/>
                  <w:vAlign w:val="center"/>
                </w:tcPr>
                <w:p w14:paraId="68A30842">
                  <w:pPr>
                    <w:pStyle w:val="65"/>
                    <w:bidi w:val="0"/>
                    <w:rPr>
                      <w:rFonts w:hint="eastAsia"/>
                      <w:color w:val="auto"/>
                      <w:lang w:val="en-US" w:eastAsia="zh-CN"/>
                    </w:rPr>
                  </w:pPr>
                  <w:r>
                    <w:rPr>
                      <w:rFonts w:hint="eastAsia"/>
                      <w:color w:val="auto"/>
                      <w:lang w:val="en-US" w:eastAsia="zh-CN"/>
                    </w:rPr>
                    <w:t>危险废物</w:t>
                  </w:r>
                </w:p>
              </w:tc>
              <w:tc>
                <w:tcPr>
                  <w:tcW w:w="1217" w:type="dxa"/>
                  <w:gridSpan w:val="2"/>
                  <w:shd w:val="clear" w:color="auto" w:fill="auto"/>
                  <w:vAlign w:val="center"/>
                </w:tcPr>
                <w:p w14:paraId="32BA3D6F">
                  <w:pPr>
                    <w:pStyle w:val="65"/>
                    <w:bidi w:val="0"/>
                    <w:rPr>
                      <w:rFonts w:hint="eastAsia"/>
                      <w:color w:val="auto"/>
                      <w:lang w:val="en-US" w:eastAsia="zh-CN"/>
                    </w:rPr>
                  </w:pPr>
                  <w:r>
                    <w:rPr>
                      <w:rFonts w:hint="eastAsia"/>
                      <w:color w:val="auto"/>
                    </w:rPr>
                    <w:t>废气治理</w:t>
                  </w:r>
                </w:p>
              </w:tc>
              <w:tc>
                <w:tcPr>
                  <w:tcW w:w="2150" w:type="dxa"/>
                  <w:gridSpan w:val="2"/>
                  <w:shd w:val="clear" w:color="auto" w:fill="auto"/>
                  <w:vAlign w:val="center"/>
                </w:tcPr>
                <w:p w14:paraId="673C7863">
                  <w:pPr>
                    <w:pStyle w:val="65"/>
                    <w:bidi w:val="0"/>
                    <w:rPr>
                      <w:rFonts w:hint="eastAsia"/>
                      <w:color w:val="auto"/>
                      <w:lang w:val="en-US" w:eastAsia="zh-CN"/>
                    </w:rPr>
                  </w:pPr>
                  <w:r>
                    <w:rPr>
                      <w:rFonts w:hint="eastAsia"/>
                      <w:color w:val="auto"/>
                    </w:rPr>
                    <w:t>废活性炭</w:t>
                  </w:r>
                </w:p>
              </w:tc>
              <w:tc>
                <w:tcPr>
                  <w:tcW w:w="2033" w:type="dxa"/>
                  <w:vMerge w:val="restart"/>
                  <w:vAlign w:val="center"/>
                </w:tcPr>
                <w:p w14:paraId="465D66D9">
                  <w:pPr>
                    <w:pStyle w:val="65"/>
                    <w:bidi w:val="0"/>
                    <w:rPr>
                      <w:rFonts w:hint="eastAsia"/>
                      <w:color w:val="auto"/>
                      <w:lang w:val="en-US" w:eastAsia="zh-CN"/>
                    </w:rPr>
                  </w:pPr>
                  <w:r>
                    <w:rPr>
                      <w:rFonts w:hint="eastAsia"/>
                      <w:color w:val="auto"/>
                    </w:rPr>
                    <w:t>经收集后暂存于危废暂存间内，定期交由有资质公司安全处置</w:t>
                  </w:r>
                </w:p>
              </w:tc>
              <w:tc>
                <w:tcPr>
                  <w:tcW w:w="1944" w:type="dxa"/>
                  <w:vMerge w:val="restart"/>
                  <w:vAlign w:val="center"/>
                </w:tcPr>
                <w:p w14:paraId="79D25A78">
                  <w:pPr>
                    <w:pStyle w:val="65"/>
                    <w:bidi w:val="0"/>
                    <w:rPr>
                      <w:rFonts w:hint="eastAsia"/>
                      <w:color w:val="auto"/>
                      <w:lang w:val="en-US" w:eastAsia="zh-CN"/>
                    </w:rPr>
                  </w:pPr>
                  <w:r>
                    <w:rPr>
                      <w:rFonts w:hint="eastAsia"/>
                      <w:color w:val="auto"/>
                    </w:rPr>
                    <w:t>经收集后暂存于危废暂存间内，定期交由有资质公司安全处置</w:t>
                  </w:r>
                </w:p>
              </w:tc>
            </w:tr>
            <w:tr w14:paraId="4ECF13A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10955B86">
                  <w:pPr>
                    <w:pStyle w:val="65"/>
                    <w:bidi w:val="0"/>
                    <w:rPr>
                      <w:rFonts w:hint="eastAsia"/>
                      <w:color w:val="auto"/>
                      <w:lang w:val="en-US" w:eastAsia="zh-CN"/>
                    </w:rPr>
                  </w:pPr>
                </w:p>
              </w:tc>
              <w:tc>
                <w:tcPr>
                  <w:tcW w:w="1067" w:type="dxa"/>
                  <w:vMerge w:val="continue"/>
                  <w:vAlign w:val="center"/>
                </w:tcPr>
                <w:p w14:paraId="3B731536">
                  <w:pPr>
                    <w:pStyle w:val="65"/>
                    <w:bidi w:val="0"/>
                    <w:rPr>
                      <w:rFonts w:hint="eastAsia"/>
                      <w:color w:val="auto"/>
                      <w:lang w:val="en-US" w:eastAsia="zh-CN"/>
                    </w:rPr>
                  </w:pPr>
                </w:p>
              </w:tc>
              <w:tc>
                <w:tcPr>
                  <w:tcW w:w="1217" w:type="dxa"/>
                  <w:gridSpan w:val="2"/>
                  <w:vMerge w:val="restart"/>
                  <w:shd w:val="clear" w:color="auto" w:fill="auto"/>
                  <w:vAlign w:val="center"/>
                </w:tcPr>
                <w:p w14:paraId="2A64525F">
                  <w:pPr>
                    <w:pStyle w:val="65"/>
                    <w:bidi w:val="0"/>
                    <w:rPr>
                      <w:rFonts w:hint="eastAsia"/>
                      <w:color w:val="auto"/>
                      <w:lang w:val="en-US" w:eastAsia="zh-CN"/>
                    </w:rPr>
                  </w:pPr>
                  <w:r>
                    <w:rPr>
                      <w:rFonts w:hint="eastAsia"/>
                      <w:color w:val="auto"/>
                    </w:rPr>
                    <w:t>日常运营</w:t>
                  </w:r>
                </w:p>
              </w:tc>
              <w:tc>
                <w:tcPr>
                  <w:tcW w:w="2150" w:type="dxa"/>
                  <w:gridSpan w:val="2"/>
                  <w:shd w:val="clear" w:color="auto" w:fill="auto"/>
                  <w:vAlign w:val="center"/>
                </w:tcPr>
                <w:p w14:paraId="4B570AAE">
                  <w:pPr>
                    <w:pStyle w:val="65"/>
                    <w:bidi w:val="0"/>
                    <w:rPr>
                      <w:rFonts w:hint="eastAsia"/>
                      <w:color w:val="auto"/>
                      <w:lang w:val="en-US" w:eastAsia="zh-CN"/>
                    </w:rPr>
                  </w:pPr>
                  <w:r>
                    <w:rPr>
                      <w:rFonts w:hint="eastAsia"/>
                      <w:color w:val="auto"/>
                    </w:rPr>
                    <w:t>储罐底油</w:t>
                  </w:r>
                </w:p>
              </w:tc>
              <w:tc>
                <w:tcPr>
                  <w:tcW w:w="2033" w:type="dxa"/>
                  <w:vMerge w:val="continue"/>
                  <w:vAlign w:val="center"/>
                </w:tcPr>
                <w:p w14:paraId="56DE74A6">
                  <w:pPr>
                    <w:pStyle w:val="65"/>
                    <w:bidi w:val="0"/>
                    <w:rPr>
                      <w:rFonts w:hint="eastAsia"/>
                      <w:color w:val="auto"/>
                      <w:lang w:val="en-US" w:eastAsia="zh-CN"/>
                    </w:rPr>
                  </w:pPr>
                </w:p>
              </w:tc>
              <w:tc>
                <w:tcPr>
                  <w:tcW w:w="1944" w:type="dxa"/>
                  <w:vMerge w:val="continue"/>
                  <w:vAlign w:val="center"/>
                </w:tcPr>
                <w:p w14:paraId="308B0FA0">
                  <w:pPr>
                    <w:pStyle w:val="65"/>
                    <w:bidi w:val="0"/>
                    <w:rPr>
                      <w:rFonts w:hint="eastAsia"/>
                      <w:color w:val="auto"/>
                      <w:lang w:val="en-US" w:eastAsia="zh-CN"/>
                    </w:rPr>
                  </w:pPr>
                </w:p>
              </w:tc>
            </w:tr>
            <w:tr w14:paraId="504D982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57D81A4F">
                  <w:pPr>
                    <w:pStyle w:val="65"/>
                    <w:bidi w:val="0"/>
                    <w:rPr>
                      <w:rFonts w:hint="eastAsia"/>
                      <w:color w:val="auto"/>
                      <w:lang w:val="en-US" w:eastAsia="zh-CN"/>
                    </w:rPr>
                  </w:pPr>
                </w:p>
              </w:tc>
              <w:tc>
                <w:tcPr>
                  <w:tcW w:w="1067" w:type="dxa"/>
                  <w:vMerge w:val="continue"/>
                  <w:vAlign w:val="center"/>
                </w:tcPr>
                <w:p w14:paraId="7DEDD2A8">
                  <w:pPr>
                    <w:pStyle w:val="65"/>
                    <w:bidi w:val="0"/>
                    <w:rPr>
                      <w:rFonts w:hint="eastAsia"/>
                      <w:color w:val="auto"/>
                      <w:lang w:val="en-US" w:eastAsia="zh-CN"/>
                    </w:rPr>
                  </w:pPr>
                </w:p>
              </w:tc>
              <w:tc>
                <w:tcPr>
                  <w:tcW w:w="1217" w:type="dxa"/>
                  <w:gridSpan w:val="2"/>
                  <w:vMerge w:val="continue"/>
                  <w:vAlign w:val="center"/>
                </w:tcPr>
                <w:p w14:paraId="4307C069">
                  <w:pPr>
                    <w:pStyle w:val="65"/>
                    <w:bidi w:val="0"/>
                    <w:rPr>
                      <w:rFonts w:hint="eastAsia"/>
                      <w:color w:val="auto"/>
                      <w:lang w:val="en-US" w:eastAsia="zh-CN"/>
                    </w:rPr>
                  </w:pPr>
                </w:p>
              </w:tc>
              <w:tc>
                <w:tcPr>
                  <w:tcW w:w="2150" w:type="dxa"/>
                  <w:gridSpan w:val="2"/>
                  <w:shd w:val="clear" w:color="auto" w:fill="auto"/>
                  <w:vAlign w:val="center"/>
                </w:tcPr>
                <w:p w14:paraId="17381E47">
                  <w:pPr>
                    <w:pStyle w:val="65"/>
                    <w:bidi w:val="0"/>
                    <w:rPr>
                      <w:rFonts w:hint="eastAsia"/>
                      <w:color w:val="auto"/>
                      <w:lang w:val="en-US" w:eastAsia="zh-CN"/>
                    </w:rPr>
                  </w:pPr>
                  <w:r>
                    <w:rPr>
                      <w:rFonts w:hint="eastAsia"/>
                      <w:color w:val="auto"/>
                    </w:rPr>
                    <w:t>废沙土</w:t>
                  </w:r>
                </w:p>
              </w:tc>
              <w:tc>
                <w:tcPr>
                  <w:tcW w:w="2033" w:type="dxa"/>
                  <w:vMerge w:val="continue"/>
                  <w:vAlign w:val="center"/>
                </w:tcPr>
                <w:p w14:paraId="138F1773">
                  <w:pPr>
                    <w:pStyle w:val="65"/>
                    <w:bidi w:val="0"/>
                    <w:rPr>
                      <w:rFonts w:hint="eastAsia"/>
                      <w:color w:val="auto"/>
                      <w:lang w:val="en-US" w:eastAsia="zh-CN"/>
                    </w:rPr>
                  </w:pPr>
                </w:p>
              </w:tc>
              <w:tc>
                <w:tcPr>
                  <w:tcW w:w="1944" w:type="dxa"/>
                  <w:vMerge w:val="continue"/>
                  <w:vAlign w:val="center"/>
                </w:tcPr>
                <w:p w14:paraId="1195C709">
                  <w:pPr>
                    <w:pStyle w:val="65"/>
                    <w:bidi w:val="0"/>
                    <w:rPr>
                      <w:rFonts w:hint="eastAsia"/>
                      <w:color w:val="auto"/>
                      <w:lang w:val="en-US" w:eastAsia="zh-CN"/>
                    </w:rPr>
                  </w:pPr>
                </w:p>
              </w:tc>
            </w:tr>
            <w:tr w14:paraId="531D91E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61" w:type="dxa"/>
                  <w:vMerge w:val="continue"/>
                  <w:vAlign w:val="center"/>
                </w:tcPr>
                <w:p w14:paraId="2348D254">
                  <w:pPr>
                    <w:pStyle w:val="65"/>
                    <w:bidi w:val="0"/>
                    <w:rPr>
                      <w:rFonts w:hint="eastAsia"/>
                      <w:color w:val="auto"/>
                      <w:lang w:val="en-US" w:eastAsia="zh-CN"/>
                    </w:rPr>
                  </w:pPr>
                </w:p>
              </w:tc>
              <w:tc>
                <w:tcPr>
                  <w:tcW w:w="1067" w:type="dxa"/>
                  <w:vMerge w:val="continue"/>
                  <w:vAlign w:val="center"/>
                </w:tcPr>
                <w:p w14:paraId="4541428B">
                  <w:pPr>
                    <w:pStyle w:val="65"/>
                    <w:bidi w:val="0"/>
                    <w:rPr>
                      <w:rFonts w:hint="eastAsia"/>
                      <w:color w:val="auto"/>
                      <w:lang w:val="en-US" w:eastAsia="zh-CN"/>
                    </w:rPr>
                  </w:pPr>
                </w:p>
              </w:tc>
              <w:tc>
                <w:tcPr>
                  <w:tcW w:w="1217" w:type="dxa"/>
                  <w:gridSpan w:val="2"/>
                  <w:vMerge w:val="continue"/>
                  <w:vAlign w:val="center"/>
                </w:tcPr>
                <w:p w14:paraId="29AE32EB">
                  <w:pPr>
                    <w:pStyle w:val="65"/>
                    <w:bidi w:val="0"/>
                    <w:rPr>
                      <w:rFonts w:hint="eastAsia"/>
                      <w:color w:val="auto"/>
                      <w:lang w:val="en-US" w:eastAsia="zh-CN"/>
                    </w:rPr>
                  </w:pPr>
                </w:p>
              </w:tc>
              <w:tc>
                <w:tcPr>
                  <w:tcW w:w="2150" w:type="dxa"/>
                  <w:gridSpan w:val="2"/>
                  <w:shd w:val="clear" w:color="auto" w:fill="auto"/>
                  <w:vAlign w:val="center"/>
                </w:tcPr>
                <w:p w14:paraId="5BE0DEE0">
                  <w:pPr>
                    <w:pStyle w:val="65"/>
                    <w:bidi w:val="0"/>
                    <w:rPr>
                      <w:rFonts w:hint="eastAsia"/>
                      <w:color w:val="auto"/>
                      <w:lang w:val="en-US" w:eastAsia="zh-CN"/>
                    </w:rPr>
                  </w:pPr>
                  <w:r>
                    <w:rPr>
                      <w:rFonts w:hint="eastAsia"/>
                      <w:color w:val="auto"/>
                    </w:rPr>
                    <w:t>废含油抹布</w:t>
                  </w:r>
                </w:p>
              </w:tc>
              <w:tc>
                <w:tcPr>
                  <w:tcW w:w="2033" w:type="dxa"/>
                  <w:vMerge w:val="continue"/>
                  <w:vAlign w:val="center"/>
                </w:tcPr>
                <w:p w14:paraId="6FF6FD92">
                  <w:pPr>
                    <w:pStyle w:val="65"/>
                    <w:bidi w:val="0"/>
                    <w:rPr>
                      <w:rFonts w:hint="eastAsia"/>
                      <w:color w:val="auto"/>
                      <w:lang w:val="en-US" w:eastAsia="zh-CN"/>
                    </w:rPr>
                  </w:pPr>
                </w:p>
              </w:tc>
              <w:tc>
                <w:tcPr>
                  <w:tcW w:w="1944" w:type="dxa"/>
                  <w:vMerge w:val="continue"/>
                  <w:vAlign w:val="center"/>
                </w:tcPr>
                <w:p w14:paraId="1389B150">
                  <w:pPr>
                    <w:pStyle w:val="65"/>
                    <w:bidi w:val="0"/>
                    <w:rPr>
                      <w:rFonts w:hint="eastAsia"/>
                      <w:color w:val="auto"/>
                      <w:lang w:val="en-US" w:eastAsia="zh-CN"/>
                    </w:rPr>
                  </w:pPr>
                </w:p>
              </w:tc>
            </w:tr>
          </w:tbl>
          <w:p w14:paraId="0863EF8A">
            <w:pPr>
              <w:spacing w:after="0" w:line="460" w:lineRule="exact"/>
              <w:ind w:firstLine="480" w:firstLineChars="200"/>
              <w:rPr>
                <w:rFonts w:eastAsia="宋体"/>
                <w:color w:val="auto"/>
                <w:kern w:val="2"/>
                <w:sz w:val="24"/>
                <w:szCs w:val="20"/>
              </w:rPr>
            </w:pPr>
            <w:r>
              <w:rPr>
                <w:rFonts w:eastAsia="宋体"/>
                <w:color w:val="auto"/>
                <w:kern w:val="2"/>
                <w:sz w:val="24"/>
                <w:szCs w:val="20"/>
              </w:rPr>
              <w:t>6、厂区平面布置及监测点位图</w:t>
            </w:r>
          </w:p>
          <w:p w14:paraId="504952D6">
            <w:pPr>
              <w:spacing w:after="0"/>
              <w:jc w:val="center"/>
              <w:rPr>
                <w:rFonts w:eastAsia="黑体"/>
                <w:color w:val="auto"/>
                <w:kern w:val="2"/>
                <w:sz w:val="24"/>
                <w:szCs w:val="20"/>
              </w:rPr>
            </w:pPr>
            <w:r>
              <w:drawing>
                <wp:inline distT="0" distB="0" distL="114300" distR="114300">
                  <wp:extent cx="4599305" cy="2812415"/>
                  <wp:effectExtent l="0" t="0" r="10795" b="6985"/>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6"/>
                          <a:stretch>
                            <a:fillRect/>
                          </a:stretch>
                        </pic:blipFill>
                        <pic:spPr>
                          <a:xfrm>
                            <a:off x="0" y="0"/>
                            <a:ext cx="4599305" cy="2812415"/>
                          </a:xfrm>
                          <a:prstGeom prst="rect">
                            <a:avLst/>
                          </a:prstGeom>
                          <a:noFill/>
                          <a:ln>
                            <a:noFill/>
                          </a:ln>
                        </pic:spPr>
                      </pic:pic>
                    </a:graphicData>
                  </a:graphic>
                </wp:inline>
              </w:drawing>
            </w:r>
          </w:p>
          <w:p w14:paraId="6D2EF159">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center"/>
              <w:textAlignment w:val="auto"/>
              <w:rPr>
                <w:rFonts w:eastAsia="黑体"/>
                <w:color w:val="auto"/>
                <w:kern w:val="2"/>
                <w:sz w:val="24"/>
                <w:szCs w:val="20"/>
              </w:rPr>
            </w:pPr>
            <w:r>
              <w:rPr>
                <w:rFonts w:eastAsia="黑体"/>
                <w:color w:val="auto"/>
                <w:kern w:val="2"/>
                <w:sz w:val="24"/>
                <w:szCs w:val="20"/>
              </w:rPr>
              <w:t>图</w:t>
            </w:r>
            <w:r>
              <w:rPr>
                <w:rFonts w:hint="eastAsia" w:eastAsia="黑体"/>
                <w:color w:val="auto"/>
                <w:kern w:val="2"/>
                <w:sz w:val="24"/>
                <w:szCs w:val="20"/>
              </w:rPr>
              <w:t>8</w:t>
            </w:r>
            <w:r>
              <w:rPr>
                <w:rFonts w:eastAsia="黑体"/>
                <w:color w:val="auto"/>
                <w:kern w:val="2"/>
                <w:sz w:val="24"/>
                <w:szCs w:val="20"/>
              </w:rPr>
              <w:t xml:space="preserve">  </w:t>
            </w:r>
            <w:bookmarkStart w:id="11" w:name="_Hlk123228781"/>
            <w:r>
              <w:rPr>
                <w:rFonts w:eastAsia="黑体"/>
                <w:color w:val="auto"/>
                <w:kern w:val="2"/>
                <w:sz w:val="24"/>
                <w:szCs w:val="20"/>
              </w:rPr>
              <w:t>本项目监测点位</w:t>
            </w:r>
            <w:bookmarkEnd w:id="11"/>
            <w:r>
              <w:rPr>
                <w:rFonts w:hint="eastAsia" w:eastAsia="黑体"/>
                <w:color w:val="auto"/>
                <w:kern w:val="2"/>
                <w:sz w:val="24"/>
                <w:szCs w:val="20"/>
              </w:rPr>
              <w:t>图</w:t>
            </w:r>
          </w:p>
          <w:p w14:paraId="3CEDDC6B">
            <w:pPr>
              <w:spacing w:after="0" w:line="460" w:lineRule="exact"/>
              <w:ind w:firstLine="480" w:firstLineChars="200"/>
              <w:rPr>
                <w:rFonts w:eastAsia="宋体"/>
                <w:color w:val="auto"/>
                <w:kern w:val="2"/>
                <w:sz w:val="24"/>
                <w:szCs w:val="20"/>
              </w:rPr>
            </w:pPr>
            <w:r>
              <w:rPr>
                <w:rFonts w:eastAsia="宋体"/>
                <w:color w:val="auto"/>
                <w:kern w:val="2"/>
                <w:sz w:val="24"/>
                <w:szCs w:val="20"/>
              </w:rPr>
              <w:t>7、项目变动情况</w:t>
            </w:r>
          </w:p>
          <w:p w14:paraId="0C2DBCBB">
            <w:pPr>
              <w:spacing w:after="0" w:line="460" w:lineRule="exact"/>
              <w:ind w:firstLine="480" w:firstLineChars="200"/>
              <w:jc w:val="both"/>
              <w:rPr>
                <w:rFonts w:eastAsia="宋体"/>
                <w:color w:val="auto"/>
                <w:kern w:val="2"/>
                <w:sz w:val="24"/>
                <w:szCs w:val="20"/>
              </w:rPr>
            </w:pPr>
            <w:r>
              <w:rPr>
                <w:rFonts w:hint="eastAsia" w:eastAsia="宋体"/>
                <w:color w:val="auto"/>
                <w:kern w:val="2"/>
                <w:sz w:val="24"/>
                <w:szCs w:val="20"/>
              </w:rPr>
              <w:t>本项目实际建设情况与《污染影响类建设项目重大变动清单（试行）的通知》（环办环评函[2020]688号）以下简称《通知》的对比分析：</w:t>
            </w:r>
          </w:p>
          <w:p w14:paraId="51AE0CD4">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本项目与《通知》的对比分析</w:t>
            </w:r>
          </w:p>
          <w:tbl>
            <w:tblPr>
              <w:tblStyle w:val="20"/>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61"/>
              <w:gridCol w:w="6534"/>
              <w:gridCol w:w="896"/>
              <w:gridCol w:w="781"/>
            </w:tblGrid>
            <w:tr w14:paraId="1D6741F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7395" w:type="dxa"/>
                  <w:gridSpan w:val="2"/>
                  <w:vAlign w:val="center"/>
                </w:tcPr>
                <w:p w14:paraId="1D2EF204">
                  <w:pPr>
                    <w:spacing w:after="0"/>
                    <w:jc w:val="center"/>
                    <w:rPr>
                      <w:rFonts w:hAnsiTheme="majorEastAsia" w:eastAsiaTheme="majorEastAsia"/>
                      <w:b/>
                      <w:bCs/>
                      <w:color w:val="auto"/>
                      <w:sz w:val="21"/>
                      <w:szCs w:val="21"/>
                    </w:rPr>
                  </w:pPr>
                  <w:r>
                    <w:rPr>
                      <w:rFonts w:hAnsiTheme="majorEastAsia" w:eastAsiaTheme="majorEastAsia"/>
                      <w:b/>
                      <w:bCs/>
                      <w:color w:val="auto"/>
                      <w:sz w:val="21"/>
                      <w:szCs w:val="21"/>
                    </w:rPr>
                    <w:t>通知内容</w:t>
                  </w:r>
                </w:p>
              </w:tc>
              <w:tc>
                <w:tcPr>
                  <w:tcW w:w="896" w:type="dxa"/>
                  <w:vAlign w:val="center"/>
                </w:tcPr>
                <w:p w14:paraId="2D07447E">
                  <w:pPr>
                    <w:spacing w:after="0"/>
                    <w:jc w:val="center"/>
                    <w:rPr>
                      <w:rFonts w:hAnsiTheme="majorEastAsia" w:eastAsiaTheme="majorEastAsia"/>
                      <w:b/>
                      <w:bCs/>
                      <w:color w:val="auto"/>
                      <w:sz w:val="21"/>
                      <w:szCs w:val="21"/>
                    </w:rPr>
                  </w:pPr>
                  <w:r>
                    <w:rPr>
                      <w:rFonts w:hAnsiTheme="majorEastAsia" w:eastAsiaTheme="majorEastAsia"/>
                      <w:b/>
                      <w:bCs/>
                      <w:color w:val="auto"/>
                      <w:sz w:val="21"/>
                      <w:szCs w:val="21"/>
                    </w:rPr>
                    <w:t>本项目情况</w:t>
                  </w:r>
                </w:p>
              </w:tc>
              <w:tc>
                <w:tcPr>
                  <w:tcW w:w="781" w:type="dxa"/>
                  <w:vAlign w:val="center"/>
                </w:tcPr>
                <w:p w14:paraId="0ADB62BA">
                  <w:pPr>
                    <w:spacing w:after="0"/>
                    <w:jc w:val="center"/>
                    <w:rPr>
                      <w:rFonts w:hAnsiTheme="majorEastAsia" w:eastAsiaTheme="majorEastAsia"/>
                      <w:b/>
                      <w:bCs/>
                      <w:color w:val="auto"/>
                      <w:sz w:val="21"/>
                      <w:szCs w:val="21"/>
                    </w:rPr>
                  </w:pPr>
                  <w:r>
                    <w:rPr>
                      <w:rFonts w:hAnsiTheme="majorEastAsia" w:eastAsiaTheme="majorEastAsia"/>
                      <w:b/>
                      <w:bCs/>
                      <w:color w:val="auto"/>
                      <w:sz w:val="21"/>
                      <w:szCs w:val="21"/>
                    </w:rPr>
                    <w:t>对比结果</w:t>
                  </w:r>
                </w:p>
              </w:tc>
            </w:tr>
            <w:tr w14:paraId="6C9064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Align w:val="center"/>
                </w:tcPr>
                <w:p w14:paraId="1D59F2F4">
                  <w:pPr>
                    <w:spacing w:after="0"/>
                    <w:jc w:val="center"/>
                    <w:rPr>
                      <w:rFonts w:hAnsiTheme="majorEastAsia" w:eastAsiaTheme="majorEastAsia"/>
                      <w:color w:val="auto"/>
                      <w:sz w:val="21"/>
                      <w:szCs w:val="21"/>
                    </w:rPr>
                  </w:pPr>
                  <w:r>
                    <w:rPr>
                      <w:rFonts w:hAnsiTheme="majorEastAsia" w:eastAsiaTheme="majorEastAsia"/>
                      <w:color w:val="auto"/>
                      <w:sz w:val="21"/>
                      <w:szCs w:val="21"/>
                    </w:rPr>
                    <w:t>性质</w:t>
                  </w:r>
                </w:p>
              </w:tc>
              <w:tc>
                <w:tcPr>
                  <w:tcW w:w="6534" w:type="dxa"/>
                  <w:vAlign w:val="center"/>
                </w:tcPr>
                <w:p w14:paraId="1ECA2ECB">
                  <w:pPr>
                    <w:spacing w:after="0"/>
                    <w:jc w:val="both"/>
                    <w:rPr>
                      <w:rFonts w:hAnsiTheme="majorEastAsia" w:eastAsiaTheme="majorEastAsia"/>
                      <w:color w:val="auto"/>
                      <w:sz w:val="21"/>
                      <w:szCs w:val="21"/>
                    </w:rPr>
                  </w:pPr>
                  <w:r>
                    <w:rPr>
                      <w:rFonts w:hAnsiTheme="majorEastAsia" w:eastAsiaTheme="majorEastAsia"/>
                      <w:color w:val="auto"/>
                      <w:sz w:val="21"/>
                      <w:szCs w:val="21"/>
                    </w:rPr>
                    <w:t>1、建设项目开发、使用功能发生变化的。</w:t>
                  </w:r>
                </w:p>
              </w:tc>
              <w:tc>
                <w:tcPr>
                  <w:tcW w:w="896" w:type="dxa"/>
                  <w:vAlign w:val="center"/>
                </w:tcPr>
                <w:p w14:paraId="4D71E568">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257AA172">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5613935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restart"/>
                  <w:vAlign w:val="center"/>
                </w:tcPr>
                <w:p w14:paraId="7A599982">
                  <w:pPr>
                    <w:spacing w:after="0"/>
                    <w:jc w:val="center"/>
                    <w:rPr>
                      <w:rFonts w:hAnsiTheme="majorEastAsia" w:eastAsiaTheme="majorEastAsia"/>
                      <w:color w:val="auto"/>
                      <w:sz w:val="21"/>
                      <w:szCs w:val="21"/>
                    </w:rPr>
                  </w:pPr>
                  <w:r>
                    <w:rPr>
                      <w:rFonts w:hAnsiTheme="majorEastAsia" w:eastAsiaTheme="majorEastAsia"/>
                      <w:color w:val="auto"/>
                      <w:sz w:val="21"/>
                      <w:szCs w:val="21"/>
                    </w:rPr>
                    <w:t>规模</w:t>
                  </w:r>
                </w:p>
              </w:tc>
              <w:tc>
                <w:tcPr>
                  <w:tcW w:w="6534" w:type="dxa"/>
                  <w:vAlign w:val="center"/>
                </w:tcPr>
                <w:p w14:paraId="5A6308EF">
                  <w:pPr>
                    <w:spacing w:after="0"/>
                    <w:jc w:val="both"/>
                    <w:rPr>
                      <w:rFonts w:hAnsiTheme="majorEastAsia" w:eastAsiaTheme="majorEastAsia"/>
                      <w:color w:val="auto"/>
                      <w:sz w:val="21"/>
                      <w:szCs w:val="21"/>
                    </w:rPr>
                  </w:pPr>
                  <w:r>
                    <w:rPr>
                      <w:rFonts w:hAnsiTheme="majorEastAsia" w:eastAsiaTheme="majorEastAsia"/>
                      <w:color w:val="auto"/>
                      <w:sz w:val="21"/>
                      <w:szCs w:val="21"/>
                    </w:rPr>
                    <w:t>2、生产、处置或储存能力增大30%及以上的。</w:t>
                  </w:r>
                </w:p>
              </w:tc>
              <w:tc>
                <w:tcPr>
                  <w:tcW w:w="896" w:type="dxa"/>
                  <w:vMerge w:val="restart"/>
                  <w:vAlign w:val="center"/>
                </w:tcPr>
                <w:p w14:paraId="245AAAA4">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Merge w:val="restart"/>
                  <w:vAlign w:val="center"/>
                </w:tcPr>
                <w:p w14:paraId="45512C0C">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2B38D2B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480929CE">
                  <w:pPr>
                    <w:spacing w:after="0"/>
                    <w:jc w:val="center"/>
                    <w:rPr>
                      <w:rFonts w:hAnsiTheme="majorEastAsia" w:eastAsiaTheme="majorEastAsia"/>
                      <w:color w:val="auto"/>
                      <w:sz w:val="21"/>
                      <w:szCs w:val="21"/>
                    </w:rPr>
                  </w:pPr>
                </w:p>
              </w:tc>
              <w:tc>
                <w:tcPr>
                  <w:tcW w:w="6534" w:type="dxa"/>
                  <w:vAlign w:val="center"/>
                </w:tcPr>
                <w:p w14:paraId="2295A791">
                  <w:pPr>
                    <w:spacing w:after="0"/>
                    <w:jc w:val="both"/>
                    <w:rPr>
                      <w:rFonts w:hAnsiTheme="majorEastAsia" w:eastAsiaTheme="majorEastAsia"/>
                      <w:color w:val="auto"/>
                      <w:sz w:val="21"/>
                      <w:szCs w:val="21"/>
                    </w:rPr>
                  </w:pPr>
                  <w:r>
                    <w:rPr>
                      <w:rFonts w:hAnsiTheme="majorEastAsia" w:eastAsiaTheme="majorEastAsia"/>
                      <w:color w:val="auto"/>
                      <w:sz w:val="21"/>
                      <w:szCs w:val="21"/>
                    </w:rPr>
                    <w:t>3、生产、处置或储存能力增大，导致废水第一类污染物排放量增加的。</w:t>
                  </w:r>
                </w:p>
              </w:tc>
              <w:tc>
                <w:tcPr>
                  <w:tcW w:w="896" w:type="dxa"/>
                  <w:vMerge w:val="continue"/>
                  <w:vAlign w:val="center"/>
                </w:tcPr>
                <w:p w14:paraId="624A3672">
                  <w:pPr>
                    <w:jc w:val="center"/>
                    <w:rPr>
                      <w:rFonts w:hAnsiTheme="majorEastAsia" w:eastAsiaTheme="majorEastAsia"/>
                      <w:color w:val="auto"/>
                      <w:sz w:val="21"/>
                      <w:szCs w:val="21"/>
                    </w:rPr>
                  </w:pPr>
                </w:p>
              </w:tc>
              <w:tc>
                <w:tcPr>
                  <w:tcW w:w="781" w:type="dxa"/>
                  <w:vMerge w:val="continue"/>
                  <w:vAlign w:val="center"/>
                </w:tcPr>
                <w:p w14:paraId="5417AC46">
                  <w:pPr>
                    <w:jc w:val="center"/>
                    <w:rPr>
                      <w:rFonts w:hAnsiTheme="majorEastAsia" w:eastAsiaTheme="majorEastAsia"/>
                      <w:color w:val="auto"/>
                      <w:sz w:val="21"/>
                      <w:szCs w:val="21"/>
                    </w:rPr>
                  </w:pPr>
                </w:p>
              </w:tc>
            </w:tr>
            <w:tr w14:paraId="3F3863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3DF9B0A5">
                  <w:pPr>
                    <w:spacing w:after="0"/>
                    <w:jc w:val="center"/>
                    <w:rPr>
                      <w:rFonts w:hAnsiTheme="majorEastAsia" w:eastAsiaTheme="majorEastAsia"/>
                      <w:color w:val="auto"/>
                      <w:sz w:val="21"/>
                      <w:szCs w:val="21"/>
                    </w:rPr>
                  </w:pPr>
                </w:p>
              </w:tc>
              <w:tc>
                <w:tcPr>
                  <w:tcW w:w="6534" w:type="dxa"/>
                  <w:vAlign w:val="center"/>
                </w:tcPr>
                <w:p w14:paraId="2EFA79D1">
                  <w:pPr>
                    <w:spacing w:after="0"/>
                    <w:jc w:val="both"/>
                    <w:rPr>
                      <w:rFonts w:hAnsiTheme="majorEastAsia" w:eastAsiaTheme="majorEastAsia"/>
                      <w:color w:val="auto"/>
                      <w:sz w:val="21"/>
                      <w:szCs w:val="21"/>
                    </w:rPr>
                  </w:pPr>
                  <w:r>
                    <w:rPr>
                      <w:rFonts w:hAnsiTheme="majorEastAsia" w:eastAsiaTheme="majorEastAsia"/>
                      <w:color w:val="auto"/>
                      <w:sz w:val="21"/>
                      <w:szCs w:val="21"/>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896" w:type="dxa"/>
                  <w:vMerge w:val="continue"/>
                  <w:vAlign w:val="center"/>
                </w:tcPr>
                <w:p w14:paraId="5A201287">
                  <w:pPr>
                    <w:jc w:val="center"/>
                    <w:rPr>
                      <w:rFonts w:hAnsiTheme="majorEastAsia" w:eastAsiaTheme="majorEastAsia"/>
                      <w:color w:val="auto"/>
                      <w:sz w:val="21"/>
                      <w:szCs w:val="21"/>
                    </w:rPr>
                  </w:pPr>
                </w:p>
              </w:tc>
              <w:tc>
                <w:tcPr>
                  <w:tcW w:w="781" w:type="dxa"/>
                  <w:vMerge w:val="continue"/>
                  <w:vAlign w:val="center"/>
                </w:tcPr>
                <w:p w14:paraId="1B73A973">
                  <w:pPr>
                    <w:jc w:val="center"/>
                    <w:rPr>
                      <w:rFonts w:hAnsiTheme="majorEastAsia" w:eastAsiaTheme="majorEastAsia"/>
                      <w:color w:val="auto"/>
                      <w:sz w:val="21"/>
                      <w:szCs w:val="21"/>
                    </w:rPr>
                  </w:pPr>
                </w:p>
              </w:tc>
            </w:tr>
            <w:tr w14:paraId="27536BF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Align w:val="center"/>
                </w:tcPr>
                <w:p w14:paraId="714F78E6">
                  <w:pPr>
                    <w:spacing w:after="0"/>
                    <w:jc w:val="center"/>
                    <w:rPr>
                      <w:rFonts w:hAnsiTheme="majorEastAsia" w:eastAsiaTheme="majorEastAsia"/>
                      <w:color w:val="auto"/>
                      <w:sz w:val="21"/>
                      <w:szCs w:val="21"/>
                    </w:rPr>
                  </w:pPr>
                  <w:r>
                    <w:rPr>
                      <w:rFonts w:hAnsiTheme="majorEastAsia" w:eastAsiaTheme="majorEastAsia"/>
                      <w:color w:val="auto"/>
                      <w:sz w:val="21"/>
                      <w:szCs w:val="21"/>
                    </w:rPr>
                    <w:t>地点</w:t>
                  </w:r>
                </w:p>
              </w:tc>
              <w:tc>
                <w:tcPr>
                  <w:tcW w:w="6534" w:type="dxa"/>
                  <w:vAlign w:val="center"/>
                </w:tcPr>
                <w:p w14:paraId="10DE129C">
                  <w:pPr>
                    <w:spacing w:after="0"/>
                    <w:jc w:val="both"/>
                    <w:rPr>
                      <w:rFonts w:hAnsiTheme="majorEastAsia" w:eastAsiaTheme="majorEastAsia"/>
                      <w:color w:val="auto"/>
                      <w:sz w:val="21"/>
                      <w:szCs w:val="21"/>
                    </w:rPr>
                  </w:pPr>
                  <w:r>
                    <w:rPr>
                      <w:rFonts w:hAnsiTheme="majorEastAsia" w:eastAsiaTheme="majorEastAsia"/>
                      <w:color w:val="auto"/>
                      <w:sz w:val="21"/>
                      <w:szCs w:val="21"/>
                    </w:rPr>
                    <w:t>5、重新选址；在原厂址附近调整（包括总平面布置变化）导致环境防护距离范围变化且新增敏感点的。</w:t>
                  </w:r>
                </w:p>
              </w:tc>
              <w:tc>
                <w:tcPr>
                  <w:tcW w:w="896" w:type="dxa"/>
                  <w:vAlign w:val="center"/>
                </w:tcPr>
                <w:p w14:paraId="327C924F">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7005BDE8">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17E584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restart"/>
                  <w:vAlign w:val="center"/>
                </w:tcPr>
                <w:p w14:paraId="46628261">
                  <w:pPr>
                    <w:spacing w:after="0"/>
                    <w:jc w:val="center"/>
                    <w:rPr>
                      <w:rFonts w:hAnsiTheme="majorEastAsia" w:eastAsiaTheme="majorEastAsia"/>
                      <w:color w:val="auto"/>
                      <w:sz w:val="21"/>
                      <w:szCs w:val="21"/>
                    </w:rPr>
                  </w:pPr>
                  <w:r>
                    <w:rPr>
                      <w:rFonts w:hAnsiTheme="majorEastAsia" w:eastAsiaTheme="majorEastAsia"/>
                      <w:color w:val="auto"/>
                      <w:sz w:val="21"/>
                      <w:szCs w:val="21"/>
                    </w:rPr>
                    <w:t>生产工艺</w:t>
                  </w:r>
                </w:p>
              </w:tc>
              <w:tc>
                <w:tcPr>
                  <w:tcW w:w="6534" w:type="dxa"/>
                  <w:vAlign w:val="center"/>
                </w:tcPr>
                <w:p w14:paraId="4C30A94A">
                  <w:pPr>
                    <w:spacing w:after="0"/>
                    <w:jc w:val="both"/>
                    <w:rPr>
                      <w:rFonts w:hAnsiTheme="majorEastAsia" w:eastAsiaTheme="majorEastAsia"/>
                      <w:color w:val="auto"/>
                      <w:sz w:val="21"/>
                      <w:szCs w:val="21"/>
                    </w:rPr>
                  </w:pPr>
                  <w:r>
                    <w:rPr>
                      <w:rFonts w:hAnsiTheme="majorEastAsia" w:eastAsiaTheme="majorEastAsia"/>
                      <w:color w:val="auto"/>
                      <w:sz w:val="21"/>
                      <w:szCs w:val="21"/>
                    </w:rPr>
                    <w:t>6、新增产品品种或生产工艺（含主要生产装置、设备及配套设施）、主要原辅材料、燃料变化，导致以下情形之一：</w:t>
                  </w:r>
                </w:p>
                <w:p w14:paraId="01DB64DD">
                  <w:pPr>
                    <w:spacing w:after="0"/>
                    <w:jc w:val="both"/>
                    <w:rPr>
                      <w:rFonts w:hAnsiTheme="majorEastAsia" w:eastAsiaTheme="majorEastAsia"/>
                      <w:color w:val="auto"/>
                      <w:sz w:val="21"/>
                      <w:szCs w:val="21"/>
                    </w:rPr>
                  </w:pPr>
                  <w:r>
                    <w:rPr>
                      <w:rFonts w:hAnsiTheme="majorEastAsia" w:eastAsiaTheme="majorEastAsia"/>
                      <w:color w:val="auto"/>
                      <w:sz w:val="21"/>
                      <w:szCs w:val="21"/>
                    </w:rPr>
                    <w:t>（1）新增排放污染物种类的（毒性、挥发性降低的除外）；</w:t>
                  </w:r>
                </w:p>
                <w:p w14:paraId="58B911C1">
                  <w:pPr>
                    <w:spacing w:after="0"/>
                    <w:jc w:val="both"/>
                    <w:rPr>
                      <w:rFonts w:hAnsiTheme="majorEastAsia" w:eastAsiaTheme="majorEastAsia"/>
                      <w:color w:val="auto"/>
                      <w:sz w:val="21"/>
                      <w:szCs w:val="21"/>
                    </w:rPr>
                  </w:pPr>
                  <w:r>
                    <w:rPr>
                      <w:rFonts w:hAnsiTheme="majorEastAsia" w:eastAsiaTheme="majorEastAsia"/>
                      <w:color w:val="auto"/>
                      <w:sz w:val="21"/>
                      <w:szCs w:val="21"/>
                    </w:rPr>
                    <w:t>（2）位于环境质量不达标区的建设项目相应污染物排放量增加的；</w:t>
                  </w:r>
                </w:p>
                <w:p w14:paraId="4EEAFE0B">
                  <w:pPr>
                    <w:spacing w:after="0"/>
                    <w:jc w:val="both"/>
                    <w:rPr>
                      <w:rFonts w:hAnsiTheme="majorEastAsia" w:eastAsiaTheme="majorEastAsia"/>
                      <w:color w:val="auto"/>
                      <w:sz w:val="21"/>
                      <w:szCs w:val="21"/>
                    </w:rPr>
                  </w:pPr>
                  <w:r>
                    <w:rPr>
                      <w:rFonts w:hAnsiTheme="majorEastAsia" w:eastAsiaTheme="majorEastAsia"/>
                      <w:color w:val="auto"/>
                      <w:sz w:val="21"/>
                      <w:szCs w:val="21"/>
                    </w:rPr>
                    <w:t>（3）废水第一类污染物排放量增加的；</w:t>
                  </w:r>
                </w:p>
                <w:p w14:paraId="2820D02D">
                  <w:pPr>
                    <w:spacing w:after="0"/>
                    <w:jc w:val="both"/>
                    <w:rPr>
                      <w:rFonts w:hAnsiTheme="majorEastAsia" w:eastAsiaTheme="majorEastAsia"/>
                      <w:color w:val="auto"/>
                      <w:sz w:val="21"/>
                      <w:szCs w:val="21"/>
                    </w:rPr>
                  </w:pPr>
                  <w:r>
                    <w:rPr>
                      <w:rFonts w:hAnsiTheme="majorEastAsia" w:eastAsiaTheme="majorEastAsia"/>
                      <w:color w:val="auto"/>
                      <w:sz w:val="21"/>
                      <w:szCs w:val="21"/>
                    </w:rPr>
                    <w:t>（4）其他污染物排放量增加10%及以上的。</w:t>
                  </w:r>
                </w:p>
              </w:tc>
              <w:tc>
                <w:tcPr>
                  <w:tcW w:w="896" w:type="dxa"/>
                  <w:vAlign w:val="center"/>
                </w:tcPr>
                <w:p w14:paraId="0DDF2292">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443DF4CF">
                  <w:pPr>
                    <w:tabs>
                      <w:tab w:val="left" w:pos="510"/>
                      <w:tab w:val="center" w:pos="1259"/>
                    </w:tabs>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250DA01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5B230554">
                  <w:pPr>
                    <w:spacing w:after="0"/>
                    <w:jc w:val="center"/>
                    <w:rPr>
                      <w:rFonts w:hAnsiTheme="majorEastAsia" w:eastAsiaTheme="majorEastAsia"/>
                      <w:color w:val="auto"/>
                      <w:sz w:val="21"/>
                      <w:szCs w:val="21"/>
                    </w:rPr>
                  </w:pPr>
                </w:p>
              </w:tc>
              <w:tc>
                <w:tcPr>
                  <w:tcW w:w="6534" w:type="dxa"/>
                  <w:vAlign w:val="center"/>
                </w:tcPr>
                <w:p w14:paraId="69905535">
                  <w:pPr>
                    <w:spacing w:after="0"/>
                    <w:jc w:val="both"/>
                    <w:rPr>
                      <w:rFonts w:hAnsiTheme="majorEastAsia" w:eastAsiaTheme="majorEastAsia"/>
                      <w:color w:val="auto"/>
                      <w:sz w:val="21"/>
                      <w:szCs w:val="21"/>
                    </w:rPr>
                  </w:pPr>
                  <w:r>
                    <w:rPr>
                      <w:rFonts w:hAnsiTheme="majorEastAsia" w:eastAsiaTheme="majorEastAsia"/>
                      <w:color w:val="auto"/>
                      <w:sz w:val="21"/>
                      <w:szCs w:val="21"/>
                    </w:rPr>
                    <w:t>7、物料运输、装卸、贮存方式变化，导致大气污染物无组织排放量增加10%及以上的。</w:t>
                  </w:r>
                </w:p>
              </w:tc>
              <w:tc>
                <w:tcPr>
                  <w:tcW w:w="896" w:type="dxa"/>
                  <w:vAlign w:val="center"/>
                </w:tcPr>
                <w:p w14:paraId="6121CF75">
                  <w:pPr>
                    <w:spacing w:after="0"/>
                    <w:jc w:val="center"/>
                    <w:rPr>
                      <w:rFonts w:hAnsiTheme="majorEastAsia" w:eastAsiaTheme="majorEastAsia"/>
                      <w:color w:val="auto"/>
                      <w:sz w:val="21"/>
                      <w:szCs w:val="21"/>
                    </w:rPr>
                  </w:pPr>
                  <w:r>
                    <w:rPr>
                      <w:rFonts w:hint="eastAsia" w:hAnsiTheme="majorEastAsia" w:eastAsiaTheme="majorEastAsia"/>
                      <w:color w:val="auto"/>
                      <w:sz w:val="21"/>
                      <w:szCs w:val="21"/>
                    </w:rPr>
                    <w:t>无变动</w:t>
                  </w:r>
                </w:p>
              </w:tc>
              <w:tc>
                <w:tcPr>
                  <w:tcW w:w="781" w:type="dxa"/>
                  <w:vAlign w:val="center"/>
                </w:tcPr>
                <w:p w14:paraId="6920A959">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7EB592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restart"/>
                  <w:vAlign w:val="center"/>
                </w:tcPr>
                <w:p w14:paraId="16C437C7">
                  <w:pPr>
                    <w:spacing w:after="0"/>
                    <w:jc w:val="center"/>
                    <w:rPr>
                      <w:rFonts w:hAnsiTheme="majorEastAsia" w:eastAsiaTheme="majorEastAsia"/>
                      <w:color w:val="auto"/>
                      <w:sz w:val="21"/>
                      <w:szCs w:val="21"/>
                    </w:rPr>
                  </w:pPr>
                  <w:r>
                    <w:rPr>
                      <w:rFonts w:hAnsiTheme="majorEastAsia" w:eastAsiaTheme="majorEastAsia"/>
                      <w:color w:val="auto"/>
                      <w:sz w:val="21"/>
                      <w:szCs w:val="21"/>
                    </w:rPr>
                    <w:t>环境保护措施</w:t>
                  </w:r>
                </w:p>
              </w:tc>
              <w:tc>
                <w:tcPr>
                  <w:tcW w:w="6534" w:type="dxa"/>
                  <w:vAlign w:val="center"/>
                </w:tcPr>
                <w:p w14:paraId="009C8C76">
                  <w:pPr>
                    <w:spacing w:after="0"/>
                    <w:jc w:val="both"/>
                    <w:rPr>
                      <w:rFonts w:hAnsiTheme="majorEastAsia" w:eastAsiaTheme="majorEastAsia"/>
                      <w:color w:val="auto"/>
                      <w:sz w:val="21"/>
                      <w:szCs w:val="21"/>
                    </w:rPr>
                  </w:pPr>
                  <w:r>
                    <w:rPr>
                      <w:rFonts w:hAnsiTheme="majorEastAsia" w:eastAsiaTheme="majorEastAsia"/>
                      <w:color w:val="auto"/>
                      <w:sz w:val="21"/>
                      <w:szCs w:val="21"/>
                    </w:rPr>
                    <w:t>8、废气、废水污染防治措施变化，导致第6条中所列情形之一（废气无组织排放改为有组织排放、污染防治措施强化或改进的除外）或大气污染物无组织排放量增加10%及以上的。</w:t>
                  </w:r>
                </w:p>
              </w:tc>
              <w:tc>
                <w:tcPr>
                  <w:tcW w:w="896" w:type="dxa"/>
                  <w:vAlign w:val="center"/>
                </w:tcPr>
                <w:p w14:paraId="10C54311">
                  <w:pPr>
                    <w:spacing w:after="0"/>
                    <w:jc w:val="center"/>
                    <w:rPr>
                      <w:rFonts w:hAnsiTheme="majorEastAsia" w:eastAsiaTheme="majorEastAsia"/>
                      <w:color w:val="auto"/>
                      <w:sz w:val="21"/>
                      <w:szCs w:val="21"/>
                    </w:rPr>
                  </w:pPr>
                  <w:r>
                    <w:rPr>
                      <w:rFonts w:hint="eastAsia" w:hAnsiTheme="majorEastAsia" w:eastAsiaTheme="majorEastAsia"/>
                      <w:color w:val="auto"/>
                      <w:sz w:val="21"/>
                      <w:szCs w:val="21"/>
                    </w:rPr>
                    <w:t>无变动</w:t>
                  </w:r>
                </w:p>
              </w:tc>
              <w:tc>
                <w:tcPr>
                  <w:tcW w:w="781" w:type="dxa"/>
                  <w:vAlign w:val="center"/>
                </w:tcPr>
                <w:p w14:paraId="7AAA9F7E">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4524DA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16C52C48">
                  <w:pPr>
                    <w:spacing w:after="0"/>
                    <w:jc w:val="center"/>
                    <w:rPr>
                      <w:rFonts w:hAnsiTheme="majorEastAsia" w:eastAsiaTheme="majorEastAsia"/>
                      <w:color w:val="auto"/>
                      <w:sz w:val="21"/>
                      <w:szCs w:val="21"/>
                    </w:rPr>
                  </w:pPr>
                </w:p>
              </w:tc>
              <w:tc>
                <w:tcPr>
                  <w:tcW w:w="6534" w:type="dxa"/>
                  <w:vAlign w:val="center"/>
                </w:tcPr>
                <w:p w14:paraId="25408B04">
                  <w:pPr>
                    <w:spacing w:after="0"/>
                    <w:jc w:val="both"/>
                    <w:rPr>
                      <w:rFonts w:hAnsiTheme="majorEastAsia" w:eastAsiaTheme="majorEastAsia"/>
                      <w:color w:val="auto"/>
                      <w:sz w:val="21"/>
                      <w:szCs w:val="21"/>
                    </w:rPr>
                  </w:pPr>
                  <w:r>
                    <w:rPr>
                      <w:rFonts w:hAnsiTheme="majorEastAsia" w:eastAsiaTheme="majorEastAsia"/>
                      <w:color w:val="auto"/>
                      <w:sz w:val="21"/>
                      <w:szCs w:val="21"/>
                    </w:rPr>
                    <w:t>9、新增废水直接排放口；废水由间接排放改为直接排放；废水直接排放口位置变化，导致不利环境影响加重的。</w:t>
                  </w:r>
                </w:p>
              </w:tc>
              <w:tc>
                <w:tcPr>
                  <w:tcW w:w="896" w:type="dxa"/>
                  <w:vAlign w:val="center"/>
                </w:tcPr>
                <w:p w14:paraId="3821EF85">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08EE9DB5">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3DBA346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31EAF790">
                  <w:pPr>
                    <w:spacing w:after="0"/>
                    <w:jc w:val="center"/>
                    <w:rPr>
                      <w:rFonts w:hAnsiTheme="majorEastAsia" w:eastAsiaTheme="majorEastAsia"/>
                      <w:color w:val="auto"/>
                      <w:sz w:val="21"/>
                      <w:szCs w:val="21"/>
                    </w:rPr>
                  </w:pPr>
                </w:p>
              </w:tc>
              <w:tc>
                <w:tcPr>
                  <w:tcW w:w="6534" w:type="dxa"/>
                  <w:vAlign w:val="center"/>
                </w:tcPr>
                <w:p w14:paraId="1E282A47">
                  <w:pPr>
                    <w:spacing w:after="0"/>
                    <w:jc w:val="both"/>
                    <w:rPr>
                      <w:rFonts w:hAnsiTheme="majorEastAsia" w:eastAsiaTheme="majorEastAsia"/>
                      <w:color w:val="auto"/>
                      <w:sz w:val="21"/>
                      <w:szCs w:val="21"/>
                    </w:rPr>
                  </w:pPr>
                  <w:r>
                    <w:rPr>
                      <w:rFonts w:hAnsiTheme="majorEastAsia" w:eastAsiaTheme="majorEastAsia"/>
                      <w:color w:val="auto"/>
                      <w:sz w:val="21"/>
                      <w:szCs w:val="21"/>
                    </w:rPr>
                    <w:t>10、新增废气主要排放口（废气无组织排放改为有组织排放的除外）；主要排放口排气筒高度降低10%及以上的。</w:t>
                  </w:r>
                </w:p>
              </w:tc>
              <w:tc>
                <w:tcPr>
                  <w:tcW w:w="896" w:type="dxa"/>
                  <w:vAlign w:val="center"/>
                </w:tcPr>
                <w:p w14:paraId="05EAACE7">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16F7DBDC">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3D0604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2B793713">
                  <w:pPr>
                    <w:spacing w:after="0"/>
                    <w:jc w:val="center"/>
                    <w:rPr>
                      <w:rFonts w:hAnsiTheme="majorEastAsia" w:eastAsiaTheme="majorEastAsia"/>
                      <w:color w:val="auto"/>
                      <w:sz w:val="21"/>
                      <w:szCs w:val="21"/>
                    </w:rPr>
                  </w:pPr>
                </w:p>
              </w:tc>
              <w:tc>
                <w:tcPr>
                  <w:tcW w:w="6534" w:type="dxa"/>
                  <w:vAlign w:val="center"/>
                </w:tcPr>
                <w:p w14:paraId="64429DB4">
                  <w:pPr>
                    <w:spacing w:after="0"/>
                    <w:jc w:val="both"/>
                    <w:rPr>
                      <w:rFonts w:hAnsiTheme="majorEastAsia" w:eastAsiaTheme="majorEastAsia"/>
                      <w:color w:val="auto"/>
                      <w:sz w:val="21"/>
                      <w:szCs w:val="21"/>
                    </w:rPr>
                  </w:pPr>
                  <w:r>
                    <w:rPr>
                      <w:rFonts w:hAnsiTheme="majorEastAsia" w:eastAsiaTheme="majorEastAsia"/>
                      <w:color w:val="auto"/>
                      <w:sz w:val="21"/>
                      <w:szCs w:val="21"/>
                    </w:rPr>
                    <w:t>11、噪声、土壤或地下水污染防治措施变化，导致不利环境影响加重的。</w:t>
                  </w:r>
                </w:p>
              </w:tc>
              <w:tc>
                <w:tcPr>
                  <w:tcW w:w="896" w:type="dxa"/>
                  <w:vAlign w:val="center"/>
                </w:tcPr>
                <w:p w14:paraId="6AA8FF5E">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7059B873">
                  <w:pPr>
                    <w:tabs>
                      <w:tab w:val="left" w:pos="510"/>
                      <w:tab w:val="center" w:pos="1259"/>
                    </w:tabs>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573CCEC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2AF79000">
                  <w:pPr>
                    <w:spacing w:after="0"/>
                    <w:jc w:val="center"/>
                    <w:rPr>
                      <w:rFonts w:hAnsiTheme="majorEastAsia" w:eastAsiaTheme="majorEastAsia"/>
                      <w:color w:val="auto"/>
                      <w:sz w:val="21"/>
                      <w:szCs w:val="21"/>
                    </w:rPr>
                  </w:pPr>
                </w:p>
              </w:tc>
              <w:tc>
                <w:tcPr>
                  <w:tcW w:w="6534" w:type="dxa"/>
                  <w:vAlign w:val="center"/>
                </w:tcPr>
                <w:p w14:paraId="765C27AA">
                  <w:pPr>
                    <w:spacing w:after="0"/>
                    <w:jc w:val="both"/>
                    <w:rPr>
                      <w:rFonts w:hAnsiTheme="majorEastAsia" w:eastAsiaTheme="majorEastAsia"/>
                      <w:color w:val="auto"/>
                      <w:sz w:val="21"/>
                      <w:szCs w:val="21"/>
                    </w:rPr>
                  </w:pPr>
                  <w:r>
                    <w:rPr>
                      <w:rFonts w:hAnsiTheme="majorEastAsia" w:eastAsiaTheme="majorEastAsia"/>
                      <w:color w:val="auto"/>
                      <w:sz w:val="21"/>
                      <w:szCs w:val="21"/>
                    </w:rPr>
                    <w:t>12、固体废物利用处置方式由委托外单位利用处置改为自行利用处置的（自行利用处置设施单独开展环境影响评价的除外）；固体废物自行处置方式变化，导致不利环境影响加重的。</w:t>
                  </w:r>
                </w:p>
              </w:tc>
              <w:tc>
                <w:tcPr>
                  <w:tcW w:w="896" w:type="dxa"/>
                  <w:vAlign w:val="center"/>
                </w:tcPr>
                <w:p w14:paraId="486A9287">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3B8422EE">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r w14:paraId="6E9F148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1" w:type="dxa"/>
                  <w:vMerge w:val="continue"/>
                  <w:vAlign w:val="center"/>
                </w:tcPr>
                <w:p w14:paraId="52D5FC6A">
                  <w:pPr>
                    <w:spacing w:after="0"/>
                    <w:jc w:val="center"/>
                    <w:rPr>
                      <w:rFonts w:hAnsiTheme="majorEastAsia" w:eastAsiaTheme="majorEastAsia"/>
                      <w:color w:val="auto"/>
                      <w:sz w:val="21"/>
                      <w:szCs w:val="21"/>
                    </w:rPr>
                  </w:pPr>
                </w:p>
              </w:tc>
              <w:tc>
                <w:tcPr>
                  <w:tcW w:w="6534" w:type="dxa"/>
                  <w:vAlign w:val="center"/>
                </w:tcPr>
                <w:p w14:paraId="764150F6">
                  <w:pPr>
                    <w:spacing w:after="0"/>
                    <w:jc w:val="both"/>
                    <w:rPr>
                      <w:rFonts w:hAnsiTheme="majorEastAsia" w:eastAsiaTheme="majorEastAsia"/>
                      <w:color w:val="auto"/>
                      <w:sz w:val="21"/>
                      <w:szCs w:val="21"/>
                    </w:rPr>
                  </w:pPr>
                  <w:r>
                    <w:rPr>
                      <w:rFonts w:hAnsiTheme="majorEastAsia" w:eastAsiaTheme="majorEastAsia"/>
                      <w:color w:val="auto"/>
                      <w:sz w:val="21"/>
                      <w:szCs w:val="21"/>
                    </w:rPr>
                    <w:t>13、事故废水暂存能力或拦截设施变化，导致环境风险防范能力弱化或降低的。</w:t>
                  </w:r>
                </w:p>
              </w:tc>
              <w:tc>
                <w:tcPr>
                  <w:tcW w:w="896" w:type="dxa"/>
                  <w:vAlign w:val="center"/>
                </w:tcPr>
                <w:p w14:paraId="42CBE122">
                  <w:pPr>
                    <w:spacing w:after="0"/>
                    <w:jc w:val="center"/>
                    <w:rPr>
                      <w:rFonts w:hAnsiTheme="majorEastAsia" w:eastAsiaTheme="majorEastAsia"/>
                      <w:color w:val="auto"/>
                      <w:sz w:val="21"/>
                      <w:szCs w:val="21"/>
                    </w:rPr>
                  </w:pPr>
                  <w:r>
                    <w:rPr>
                      <w:rFonts w:hAnsiTheme="majorEastAsia" w:eastAsiaTheme="majorEastAsia"/>
                      <w:color w:val="auto"/>
                      <w:sz w:val="21"/>
                      <w:szCs w:val="21"/>
                    </w:rPr>
                    <w:t>无变动</w:t>
                  </w:r>
                </w:p>
              </w:tc>
              <w:tc>
                <w:tcPr>
                  <w:tcW w:w="781" w:type="dxa"/>
                  <w:vAlign w:val="center"/>
                </w:tcPr>
                <w:p w14:paraId="2288A142">
                  <w:pPr>
                    <w:spacing w:after="0"/>
                    <w:jc w:val="center"/>
                    <w:rPr>
                      <w:rFonts w:hAnsiTheme="majorEastAsia" w:eastAsiaTheme="majorEastAsia"/>
                      <w:color w:val="auto"/>
                      <w:sz w:val="21"/>
                      <w:szCs w:val="21"/>
                    </w:rPr>
                  </w:pPr>
                  <w:r>
                    <w:rPr>
                      <w:rFonts w:hAnsiTheme="majorEastAsia" w:eastAsiaTheme="majorEastAsia"/>
                      <w:color w:val="auto"/>
                      <w:sz w:val="21"/>
                      <w:szCs w:val="21"/>
                    </w:rPr>
                    <w:t>不属于</w:t>
                  </w:r>
                </w:p>
              </w:tc>
            </w:tr>
          </w:tbl>
          <w:p w14:paraId="0ED5EEAA">
            <w:pPr>
              <w:spacing w:after="0" w:line="460" w:lineRule="exact"/>
              <w:ind w:firstLine="480" w:firstLineChars="200"/>
              <w:rPr>
                <w:rFonts w:eastAsia="宋体"/>
                <w:color w:val="auto"/>
                <w:kern w:val="2"/>
                <w:sz w:val="24"/>
                <w:szCs w:val="20"/>
              </w:rPr>
            </w:pPr>
            <w:r>
              <w:rPr>
                <w:rFonts w:eastAsia="宋体"/>
                <w:color w:val="auto"/>
                <w:kern w:val="2"/>
                <w:sz w:val="24"/>
                <w:szCs w:val="20"/>
              </w:rPr>
              <w:t>根据上表对比结果可知，项目不属于重大变动，满足验收要求。</w:t>
            </w:r>
          </w:p>
        </w:tc>
      </w:tr>
    </w:tbl>
    <w:p w14:paraId="4BF3DF19">
      <w:pPr>
        <w:spacing w:after="0" w:line="440" w:lineRule="exact"/>
        <w:rPr>
          <w:rFonts w:eastAsia="仿宋_GB2312"/>
          <w:b/>
          <w:color w:val="auto"/>
          <w:sz w:val="21"/>
          <w:szCs w:val="21"/>
        </w:rPr>
      </w:pPr>
      <w:r>
        <w:rPr>
          <w:rFonts w:eastAsia="仿宋_GB2312"/>
          <w:b/>
          <w:color w:val="auto"/>
          <w:sz w:val="21"/>
          <w:szCs w:val="21"/>
        </w:rPr>
        <w:t>表四</w:t>
      </w:r>
    </w:p>
    <w:tbl>
      <w:tblPr>
        <w:tblStyle w:val="20"/>
        <w:tblW w:w="5000" w:type="pct"/>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108" w:type="dxa"/>
          <w:bottom w:w="0" w:type="dxa"/>
          <w:right w:w="108" w:type="dxa"/>
        </w:tblCellMar>
      </w:tblPr>
      <w:tblGrid>
        <w:gridCol w:w="9288"/>
      </w:tblGrid>
      <w:tr w14:paraId="68AA25C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13305" w:hRule="atLeast"/>
        </w:trPr>
        <w:tc>
          <w:tcPr>
            <w:tcW w:w="5000" w:type="pct"/>
            <w:shd w:val="clear" w:color="auto" w:fill="auto"/>
            <w:vAlign w:val="center"/>
          </w:tcPr>
          <w:p w14:paraId="65C296C0">
            <w:pPr>
              <w:spacing w:after="0" w:line="460" w:lineRule="exact"/>
              <w:jc w:val="both"/>
              <w:rPr>
                <w:rFonts w:eastAsia="宋体"/>
                <w:color w:val="auto"/>
                <w:kern w:val="2"/>
                <w:sz w:val="24"/>
                <w:szCs w:val="24"/>
              </w:rPr>
            </w:pPr>
            <w:r>
              <w:rPr>
                <w:rFonts w:eastAsia="宋体"/>
                <w:color w:val="auto"/>
                <w:kern w:val="2"/>
                <w:sz w:val="24"/>
                <w:szCs w:val="24"/>
              </w:rPr>
              <w:t>1、</w:t>
            </w:r>
            <w:r>
              <w:rPr>
                <w:rFonts w:hint="eastAsia" w:eastAsia="宋体"/>
                <w:color w:val="auto"/>
                <w:kern w:val="2"/>
                <w:sz w:val="24"/>
                <w:szCs w:val="24"/>
              </w:rPr>
              <w:t>建设</w:t>
            </w:r>
            <w:r>
              <w:rPr>
                <w:rFonts w:eastAsia="宋体"/>
                <w:color w:val="auto"/>
                <w:kern w:val="2"/>
                <w:sz w:val="24"/>
                <w:szCs w:val="24"/>
              </w:rPr>
              <w:t>项目环境影响报告表主要结论</w:t>
            </w:r>
            <w:r>
              <w:rPr>
                <w:rFonts w:hint="eastAsia" w:eastAsia="宋体"/>
                <w:color w:val="auto"/>
                <w:kern w:val="2"/>
                <w:sz w:val="24"/>
                <w:szCs w:val="24"/>
              </w:rPr>
              <w:t>：</w:t>
            </w:r>
          </w:p>
          <w:p w14:paraId="342D9BA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left"/>
              <w:textAlignment w:val="auto"/>
              <w:rPr>
                <w:rFonts w:ascii="Times New Roman" w:hAnsi="Times New Roman" w:eastAsia="宋体" w:cs="Times New Roman"/>
                <w:color w:val="auto"/>
                <w:kern w:val="2"/>
                <w:sz w:val="24"/>
                <w:szCs w:val="24"/>
              </w:rPr>
            </w:pPr>
            <w:r>
              <w:rPr>
                <w:rFonts w:hint="eastAsia" w:eastAsia="宋体" w:cs="Times New Roman"/>
                <w:color w:val="auto"/>
                <w:kern w:val="2"/>
                <w:sz w:val="24"/>
                <w:szCs w:val="24"/>
                <w:lang w:eastAsia="zh-CN"/>
              </w:rPr>
              <w:t>长垣市聚博环保科技有限公司年收集、贮存9860吨危险废物项目</w:t>
            </w:r>
            <w:r>
              <w:rPr>
                <w:rFonts w:ascii="Times New Roman" w:hAnsi="Times New Roman" w:eastAsia="宋体" w:cs="Times New Roman"/>
                <w:color w:val="auto"/>
                <w:kern w:val="2"/>
                <w:sz w:val="24"/>
                <w:szCs w:val="24"/>
              </w:rPr>
              <w:t>符合国家相关产业政策要求。营运过程中产生的污染物经治理后均能够达标排放，固废处置措施可行。建设单位应认真做好环评中提出的各项污染防治措施，确保各项污染物达标排放。从环保角度分析，该项目可行。</w:t>
            </w:r>
          </w:p>
          <w:p w14:paraId="0A05FF16">
            <w:pPr>
              <w:spacing w:after="0" w:line="460" w:lineRule="exact"/>
              <w:jc w:val="right"/>
              <w:rPr>
                <w:rFonts w:ascii="Times New Roman" w:hAnsi="Times New Roman" w:eastAsia="宋体" w:cs="Times New Roman"/>
                <w:color w:val="auto"/>
                <w:kern w:val="2"/>
                <w:sz w:val="24"/>
                <w:szCs w:val="24"/>
              </w:rPr>
            </w:pPr>
          </w:p>
          <w:p w14:paraId="5CDA7327">
            <w:pPr>
              <w:spacing w:after="0" w:line="460" w:lineRule="exact"/>
              <w:jc w:val="right"/>
              <w:rPr>
                <w:rFonts w:hint="eastAsia" w:ascii="Times New Roman" w:hAnsi="Times New Roman" w:eastAsia="宋体" w:cs="Times New Roman"/>
                <w:color w:val="auto"/>
                <w:kern w:val="2"/>
                <w:sz w:val="24"/>
                <w:szCs w:val="24"/>
                <w:lang w:eastAsia="zh-CN"/>
              </w:rPr>
            </w:pPr>
            <w:r>
              <w:rPr>
                <w:rFonts w:hint="eastAsia" w:eastAsia="宋体" w:cs="Times New Roman"/>
                <w:color w:val="auto"/>
                <w:kern w:val="2"/>
                <w:sz w:val="24"/>
                <w:szCs w:val="24"/>
                <w:lang w:eastAsia="zh-CN"/>
              </w:rPr>
              <w:t>新乡市世青环境技术有限公司</w:t>
            </w:r>
          </w:p>
          <w:p w14:paraId="281EF85D">
            <w:pPr>
              <w:spacing w:after="0" w:line="460" w:lineRule="exact"/>
              <w:jc w:val="right"/>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202</w:t>
            </w:r>
            <w:r>
              <w:rPr>
                <w:rFonts w:hint="eastAsia" w:ascii="Times New Roman" w:hAnsi="Times New Roman" w:eastAsia="宋体" w:cs="Times New Roman"/>
                <w:color w:val="auto"/>
                <w:kern w:val="2"/>
                <w:sz w:val="24"/>
                <w:szCs w:val="24"/>
                <w:lang w:val="en-US" w:eastAsia="zh-CN"/>
              </w:rPr>
              <w:t>5</w:t>
            </w:r>
            <w:r>
              <w:rPr>
                <w:rFonts w:ascii="Times New Roman" w:hAnsi="Times New Roman" w:eastAsia="宋体" w:cs="Times New Roman"/>
                <w:color w:val="auto"/>
                <w:kern w:val="2"/>
                <w:sz w:val="24"/>
                <w:szCs w:val="24"/>
              </w:rPr>
              <w:t>年</w:t>
            </w:r>
            <w:r>
              <w:rPr>
                <w:rFonts w:hint="eastAsia" w:eastAsia="宋体" w:cs="Times New Roman"/>
                <w:color w:val="auto"/>
                <w:kern w:val="2"/>
                <w:sz w:val="24"/>
                <w:szCs w:val="24"/>
                <w:lang w:val="en-US" w:eastAsia="zh-CN"/>
              </w:rPr>
              <w:t>12</w:t>
            </w:r>
            <w:r>
              <w:rPr>
                <w:rFonts w:ascii="Times New Roman" w:hAnsi="Times New Roman" w:eastAsia="宋体" w:cs="Times New Roman"/>
                <w:color w:val="auto"/>
                <w:kern w:val="2"/>
                <w:sz w:val="24"/>
                <w:szCs w:val="24"/>
              </w:rPr>
              <w:t>月</w:t>
            </w:r>
          </w:p>
          <w:p w14:paraId="30FCF2C4">
            <w:pPr>
              <w:spacing w:after="0" w:line="500" w:lineRule="exact"/>
              <w:jc w:val="both"/>
              <w:rPr>
                <w:rFonts w:eastAsia="宋体"/>
                <w:color w:val="auto"/>
                <w:kern w:val="2"/>
                <w:sz w:val="24"/>
                <w:szCs w:val="24"/>
              </w:rPr>
            </w:pPr>
          </w:p>
          <w:p w14:paraId="32C19E09">
            <w:pPr>
              <w:spacing w:after="0" w:line="500" w:lineRule="exact"/>
              <w:jc w:val="both"/>
              <w:rPr>
                <w:rFonts w:eastAsia="宋体"/>
                <w:color w:val="auto"/>
                <w:kern w:val="2"/>
                <w:sz w:val="24"/>
                <w:szCs w:val="24"/>
              </w:rPr>
            </w:pPr>
          </w:p>
          <w:p w14:paraId="48D88EC5">
            <w:pPr>
              <w:spacing w:after="0" w:line="500" w:lineRule="exact"/>
              <w:jc w:val="both"/>
              <w:rPr>
                <w:rFonts w:eastAsia="宋体"/>
                <w:color w:val="auto"/>
                <w:kern w:val="2"/>
                <w:sz w:val="24"/>
                <w:szCs w:val="24"/>
              </w:rPr>
            </w:pPr>
          </w:p>
          <w:p w14:paraId="36E9EAB1">
            <w:pPr>
              <w:spacing w:after="0" w:line="500" w:lineRule="exact"/>
              <w:jc w:val="both"/>
              <w:rPr>
                <w:rFonts w:eastAsia="宋体"/>
                <w:color w:val="auto"/>
                <w:kern w:val="2"/>
                <w:sz w:val="24"/>
                <w:szCs w:val="24"/>
              </w:rPr>
            </w:pPr>
          </w:p>
          <w:p w14:paraId="46DD5AF2">
            <w:pPr>
              <w:spacing w:after="0" w:line="500" w:lineRule="exact"/>
              <w:jc w:val="both"/>
              <w:rPr>
                <w:rFonts w:eastAsia="宋体"/>
                <w:color w:val="auto"/>
                <w:kern w:val="2"/>
                <w:sz w:val="24"/>
                <w:szCs w:val="24"/>
              </w:rPr>
            </w:pPr>
          </w:p>
          <w:p w14:paraId="34F6DD2B">
            <w:pPr>
              <w:spacing w:after="0" w:line="500" w:lineRule="exact"/>
              <w:jc w:val="both"/>
              <w:rPr>
                <w:rFonts w:eastAsia="宋体"/>
                <w:color w:val="auto"/>
                <w:kern w:val="2"/>
                <w:sz w:val="24"/>
                <w:szCs w:val="24"/>
              </w:rPr>
            </w:pPr>
          </w:p>
          <w:p w14:paraId="7D8F79A2">
            <w:pPr>
              <w:spacing w:after="0" w:line="500" w:lineRule="exact"/>
              <w:jc w:val="both"/>
              <w:rPr>
                <w:rFonts w:eastAsia="宋体"/>
                <w:color w:val="auto"/>
                <w:kern w:val="2"/>
                <w:sz w:val="24"/>
                <w:szCs w:val="24"/>
              </w:rPr>
            </w:pPr>
          </w:p>
          <w:p w14:paraId="2E2FD938">
            <w:pPr>
              <w:spacing w:after="0" w:line="500" w:lineRule="exact"/>
              <w:jc w:val="both"/>
              <w:rPr>
                <w:rFonts w:eastAsia="宋体"/>
                <w:color w:val="auto"/>
                <w:kern w:val="2"/>
                <w:sz w:val="24"/>
                <w:szCs w:val="24"/>
              </w:rPr>
            </w:pPr>
          </w:p>
          <w:p w14:paraId="174FBD8B">
            <w:pPr>
              <w:spacing w:after="0" w:line="500" w:lineRule="exact"/>
              <w:jc w:val="both"/>
              <w:rPr>
                <w:rFonts w:eastAsia="宋体"/>
                <w:color w:val="auto"/>
                <w:kern w:val="2"/>
                <w:sz w:val="24"/>
                <w:szCs w:val="24"/>
              </w:rPr>
            </w:pPr>
          </w:p>
          <w:p w14:paraId="1E9D1CFF">
            <w:pPr>
              <w:spacing w:after="0" w:line="500" w:lineRule="exact"/>
              <w:jc w:val="both"/>
              <w:rPr>
                <w:rFonts w:eastAsia="宋体"/>
                <w:color w:val="auto"/>
                <w:kern w:val="2"/>
                <w:sz w:val="24"/>
                <w:szCs w:val="24"/>
              </w:rPr>
            </w:pPr>
          </w:p>
          <w:p w14:paraId="043A32D7">
            <w:pPr>
              <w:spacing w:after="0" w:line="500" w:lineRule="exact"/>
              <w:jc w:val="both"/>
              <w:rPr>
                <w:rFonts w:eastAsia="宋体"/>
                <w:color w:val="auto"/>
                <w:kern w:val="2"/>
                <w:sz w:val="24"/>
                <w:szCs w:val="24"/>
              </w:rPr>
            </w:pPr>
          </w:p>
          <w:p w14:paraId="74E5E4F6">
            <w:pPr>
              <w:spacing w:after="0" w:line="500" w:lineRule="exact"/>
              <w:jc w:val="both"/>
              <w:rPr>
                <w:rFonts w:eastAsia="宋体"/>
                <w:color w:val="auto"/>
                <w:kern w:val="2"/>
                <w:sz w:val="24"/>
                <w:szCs w:val="24"/>
              </w:rPr>
            </w:pPr>
          </w:p>
          <w:p w14:paraId="0060A5AF">
            <w:pPr>
              <w:spacing w:after="0" w:line="500" w:lineRule="exact"/>
              <w:jc w:val="both"/>
              <w:rPr>
                <w:rFonts w:eastAsia="宋体"/>
                <w:color w:val="auto"/>
                <w:kern w:val="2"/>
                <w:sz w:val="24"/>
                <w:szCs w:val="24"/>
              </w:rPr>
            </w:pPr>
          </w:p>
          <w:p w14:paraId="01247E1D">
            <w:pPr>
              <w:spacing w:after="0" w:line="500" w:lineRule="exact"/>
              <w:jc w:val="both"/>
              <w:rPr>
                <w:rFonts w:eastAsia="宋体"/>
                <w:color w:val="auto"/>
                <w:kern w:val="2"/>
                <w:sz w:val="24"/>
                <w:szCs w:val="24"/>
              </w:rPr>
            </w:pPr>
          </w:p>
          <w:p w14:paraId="519BAC52">
            <w:pPr>
              <w:spacing w:after="0" w:line="500" w:lineRule="exact"/>
              <w:jc w:val="both"/>
              <w:rPr>
                <w:rFonts w:eastAsia="宋体"/>
                <w:color w:val="auto"/>
                <w:kern w:val="2"/>
                <w:sz w:val="24"/>
                <w:szCs w:val="24"/>
              </w:rPr>
            </w:pPr>
          </w:p>
          <w:p w14:paraId="02EB3DF5">
            <w:pPr>
              <w:spacing w:after="0" w:line="500" w:lineRule="exact"/>
              <w:jc w:val="both"/>
              <w:rPr>
                <w:rFonts w:eastAsia="宋体"/>
                <w:color w:val="auto"/>
                <w:kern w:val="2"/>
                <w:sz w:val="24"/>
                <w:szCs w:val="24"/>
              </w:rPr>
            </w:pPr>
          </w:p>
          <w:p w14:paraId="4D39D3F5">
            <w:pPr>
              <w:spacing w:after="0" w:line="500" w:lineRule="exact"/>
              <w:jc w:val="both"/>
              <w:rPr>
                <w:rFonts w:eastAsia="宋体"/>
                <w:color w:val="auto"/>
                <w:kern w:val="2"/>
                <w:sz w:val="24"/>
                <w:szCs w:val="24"/>
              </w:rPr>
            </w:pPr>
          </w:p>
          <w:p w14:paraId="1A76ABB8">
            <w:pPr>
              <w:spacing w:after="0" w:line="500" w:lineRule="exact"/>
              <w:jc w:val="both"/>
              <w:rPr>
                <w:rFonts w:eastAsia="宋体"/>
                <w:color w:val="auto"/>
                <w:kern w:val="2"/>
                <w:sz w:val="24"/>
                <w:szCs w:val="24"/>
              </w:rPr>
            </w:pPr>
          </w:p>
          <w:p w14:paraId="41C9BDA0">
            <w:pPr>
              <w:spacing w:after="0" w:line="460" w:lineRule="exact"/>
              <w:jc w:val="both"/>
              <w:rPr>
                <w:rFonts w:eastAsia="宋体"/>
                <w:color w:val="auto"/>
                <w:kern w:val="2"/>
                <w:sz w:val="24"/>
                <w:szCs w:val="24"/>
              </w:rPr>
            </w:pPr>
          </w:p>
          <w:p w14:paraId="47BD26AA">
            <w:pPr>
              <w:spacing w:after="0" w:line="460" w:lineRule="exact"/>
              <w:jc w:val="both"/>
              <w:rPr>
                <w:rFonts w:eastAsia="宋体"/>
                <w:color w:val="auto"/>
                <w:kern w:val="2"/>
                <w:sz w:val="24"/>
                <w:szCs w:val="24"/>
              </w:rPr>
            </w:pPr>
            <w:r>
              <w:rPr>
                <w:rFonts w:eastAsia="宋体"/>
                <w:color w:val="auto"/>
                <w:kern w:val="2"/>
                <w:sz w:val="24"/>
                <w:szCs w:val="24"/>
              </w:rPr>
              <w:t>2、审批部门的决定</w:t>
            </w:r>
            <w:r>
              <w:rPr>
                <w:rFonts w:hint="eastAsia" w:eastAsia="宋体"/>
                <w:color w:val="auto"/>
                <w:kern w:val="2"/>
                <w:sz w:val="24"/>
                <w:szCs w:val="24"/>
              </w:rPr>
              <w:t>：</w:t>
            </w:r>
          </w:p>
          <w:p w14:paraId="3E812951">
            <w:pPr>
              <w:spacing w:after="0" w:line="460" w:lineRule="exact"/>
              <w:jc w:val="both"/>
              <w:rPr>
                <w:rFonts w:hint="eastAsia" w:eastAsia="宋体"/>
                <w:color w:val="auto"/>
                <w:kern w:val="2"/>
                <w:sz w:val="24"/>
                <w:szCs w:val="24"/>
                <w:lang w:eastAsia="zh-CN"/>
              </w:rPr>
            </w:pPr>
            <w:r>
              <w:rPr>
                <w:rFonts w:hint="eastAsia" w:eastAsia="宋体"/>
                <w:color w:val="auto"/>
                <w:kern w:val="2"/>
                <w:sz w:val="24"/>
                <w:szCs w:val="24"/>
              </w:rPr>
              <w:t xml:space="preserve">审批意见: </w:t>
            </w:r>
            <w:r>
              <w:rPr>
                <w:rFonts w:eastAsia="宋体"/>
                <w:color w:val="auto"/>
                <w:kern w:val="2"/>
                <w:sz w:val="24"/>
                <w:szCs w:val="24"/>
              </w:rPr>
              <w:t xml:space="preserve">                               </w:t>
            </w:r>
            <w:r>
              <w:rPr>
                <w:rFonts w:hint="eastAsia" w:eastAsia="宋体"/>
                <w:color w:val="auto"/>
                <w:kern w:val="2"/>
                <w:sz w:val="24"/>
                <w:szCs w:val="24"/>
                <w:lang w:val="en-US" w:eastAsia="zh-CN"/>
              </w:rPr>
              <w:t xml:space="preserve">  </w:t>
            </w:r>
            <w:r>
              <w:rPr>
                <w:rFonts w:eastAsia="宋体"/>
                <w:color w:val="auto"/>
                <w:kern w:val="2"/>
                <w:sz w:val="24"/>
                <w:szCs w:val="24"/>
              </w:rPr>
              <w:t xml:space="preserve">            </w:t>
            </w:r>
            <w:r>
              <w:rPr>
                <w:rFonts w:hint="eastAsia" w:eastAsia="宋体"/>
                <w:color w:val="auto"/>
                <w:kern w:val="2"/>
                <w:sz w:val="24"/>
                <w:szCs w:val="24"/>
                <w:lang w:eastAsia="zh-CN"/>
              </w:rPr>
              <w:t>长环审[2025]72号</w:t>
            </w:r>
          </w:p>
          <w:p w14:paraId="6F2F9C49">
            <w:pPr>
              <w:spacing w:after="0" w:line="460" w:lineRule="exact"/>
              <w:ind w:firstLine="960" w:firstLineChars="400"/>
              <w:jc w:val="center"/>
              <w:rPr>
                <w:rFonts w:hint="eastAsia" w:eastAsia="宋体"/>
                <w:color w:val="auto"/>
                <w:kern w:val="2"/>
                <w:sz w:val="24"/>
                <w:szCs w:val="24"/>
                <w:lang w:val="en-US" w:eastAsia="zh-CN"/>
              </w:rPr>
            </w:pPr>
            <w:r>
              <w:rPr>
                <w:rFonts w:hint="eastAsia" w:eastAsia="宋体"/>
                <w:color w:val="auto"/>
                <w:kern w:val="2"/>
                <w:sz w:val="24"/>
                <w:szCs w:val="24"/>
                <w:lang w:val="en-US" w:eastAsia="zh-CN"/>
              </w:rPr>
              <w:t>新乡市生态环境局长垣分局</w:t>
            </w:r>
          </w:p>
          <w:p w14:paraId="1D76645D">
            <w:pPr>
              <w:spacing w:after="0" w:line="460" w:lineRule="exact"/>
              <w:ind w:firstLine="960" w:firstLineChars="400"/>
              <w:jc w:val="center"/>
              <w:rPr>
                <w:rFonts w:hint="eastAsia" w:eastAsia="宋体"/>
                <w:color w:val="auto"/>
                <w:kern w:val="2"/>
                <w:sz w:val="24"/>
                <w:szCs w:val="24"/>
              </w:rPr>
            </w:pPr>
            <w:r>
              <w:rPr>
                <w:rFonts w:hint="eastAsia" w:eastAsia="宋体"/>
                <w:color w:val="auto"/>
                <w:kern w:val="2"/>
                <w:sz w:val="24"/>
                <w:szCs w:val="24"/>
              </w:rPr>
              <w:t>关于</w:t>
            </w:r>
            <w:r>
              <w:rPr>
                <w:rFonts w:hint="eastAsia" w:eastAsia="宋体"/>
                <w:color w:val="auto"/>
                <w:kern w:val="2"/>
                <w:sz w:val="24"/>
                <w:szCs w:val="24"/>
                <w:lang w:eastAsia="zh-CN"/>
              </w:rPr>
              <w:t>《长垣市聚博环保科技有限公司年收集、贮存9860吨危险废物项目</w:t>
            </w:r>
            <w:r>
              <w:rPr>
                <w:rFonts w:hint="eastAsia" w:eastAsia="宋体"/>
                <w:color w:val="auto"/>
                <w:kern w:val="2"/>
                <w:sz w:val="24"/>
                <w:szCs w:val="24"/>
                <w:lang w:val="en-US" w:eastAsia="zh-CN"/>
              </w:rPr>
              <w:t>环境影响报告表</w:t>
            </w:r>
            <w:r>
              <w:rPr>
                <w:rFonts w:hint="eastAsia" w:eastAsia="宋体"/>
                <w:color w:val="auto"/>
                <w:kern w:val="2"/>
                <w:sz w:val="24"/>
                <w:szCs w:val="24"/>
                <w:lang w:eastAsia="zh-CN"/>
              </w:rPr>
              <w:t>》</w:t>
            </w:r>
            <w:r>
              <w:rPr>
                <w:rFonts w:hint="eastAsia" w:eastAsia="宋体"/>
                <w:color w:val="auto"/>
                <w:kern w:val="2"/>
                <w:sz w:val="24"/>
                <w:szCs w:val="24"/>
              </w:rPr>
              <w:t>的批复</w:t>
            </w:r>
          </w:p>
          <w:p w14:paraId="7A19A56A">
            <w:pPr>
              <w:spacing w:after="0" w:line="460" w:lineRule="exact"/>
              <w:jc w:val="left"/>
              <w:rPr>
                <w:rFonts w:hint="eastAsia" w:ascii="Times New Roman" w:hAnsi="Times New Roman" w:eastAsia="宋体" w:cs="Times New Roman"/>
                <w:color w:val="auto"/>
                <w:kern w:val="2"/>
                <w:sz w:val="24"/>
                <w:szCs w:val="24"/>
                <w:lang w:eastAsia="zh-CN"/>
              </w:rPr>
            </w:pPr>
            <w:r>
              <w:rPr>
                <w:rFonts w:hint="eastAsia" w:eastAsia="宋体" w:cs="Times New Roman"/>
                <w:color w:val="auto"/>
                <w:kern w:val="2"/>
                <w:sz w:val="24"/>
                <w:szCs w:val="24"/>
                <w:lang w:eastAsia="zh-CN"/>
              </w:rPr>
              <w:t>长垣市聚博环保科技有限公司：</w:t>
            </w:r>
          </w:p>
          <w:p w14:paraId="3820C4A9">
            <w:pPr>
              <w:spacing w:after="0" w:line="460" w:lineRule="exact"/>
              <w:ind w:firstLine="480" w:firstLineChars="200"/>
              <w:jc w:val="left"/>
              <w:rPr>
                <w:rFonts w:hint="eastAsia" w:ascii="Times New Roman" w:hAnsi="Times New Roman" w:eastAsia="宋体" w:cs="Times New Roman"/>
                <w:color w:val="auto"/>
                <w:kern w:val="2"/>
                <w:sz w:val="24"/>
                <w:szCs w:val="24"/>
                <w:lang w:eastAsia="zh-CN"/>
              </w:rPr>
            </w:pPr>
            <w:r>
              <w:rPr>
                <w:rFonts w:hint="eastAsia" w:ascii="Times New Roman" w:hAnsi="Times New Roman" w:eastAsia="宋体" w:cs="Times New Roman"/>
                <w:color w:val="auto"/>
                <w:kern w:val="2"/>
                <w:sz w:val="24"/>
                <w:szCs w:val="24"/>
              </w:rPr>
              <w:t>你(单位)委托新乡市世青环境技术有限公司编制的《长垣市聚博环保科技有限公司年收集、贮存9860吨危险废物项目环境影响报告表》已收悉。依据《中华人民共和国环境保护法》和《中华人民共和国环境影响评价法》等法律法规，经审查，现批复如下</w:t>
            </w:r>
            <w:r>
              <w:rPr>
                <w:rFonts w:hint="eastAsia" w:eastAsia="宋体" w:cs="Times New Roman"/>
                <w:color w:val="auto"/>
                <w:kern w:val="2"/>
                <w:sz w:val="24"/>
                <w:szCs w:val="24"/>
                <w:lang w:eastAsia="zh-CN"/>
              </w:rPr>
              <w:t>：</w:t>
            </w:r>
          </w:p>
          <w:p w14:paraId="3223AAA6">
            <w:pPr>
              <w:spacing w:after="0" w:line="460" w:lineRule="exact"/>
              <w:ind w:firstLine="480" w:firstLineChars="200"/>
              <w:jc w:val="left"/>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一、原则批准《长垣市聚博环保科技有限公司年收集、贮存9860吨危险废物项目环境影响报告表》，同意该项目在河南省新乡市长垣市南蒲小微创业园建设。</w:t>
            </w:r>
          </w:p>
          <w:p w14:paraId="5B6D1EFC">
            <w:pPr>
              <w:spacing w:after="0" w:line="460" w:lineRule="exact"/>
              <w:ind w:firstLine="480" w:firstLineChars="200"/>
              <w:jc w:val="left"/>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二、严格执行环保“三同时”制度，认真落实环评要求及建议，并向社会公众主动公开已经批准的环境影响报告表，并接受相关方的咨询。环评中提及的污染防治措施可以作为该项目污染治理设施设计的依据。</w:t>
            </w:r>
          </w:p>
          <w:p w14:paraId="11308C52">
            <w:pPr>
              <w:spacing w:after="0" w:line="460" w:lineRule="exact"/>
              <w:ind w:firstLine="480" w:firstLineChars="200"/>
              <w:jc w:val="left"/>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三、项目产生的噪声、废水、废气、固废按照环评提出来的防治措施要求进行治理。</w:t>
            </w:r>
          </w:p>
          <w:p w14:paraId="52336CA9">
            <w:pPr>
              <w:spacing w:after="0" w:line="460" w:lineRule="exact"/>
              <w:ind w:firstLine="480" w:firstLineChars="200"/>
              <w:jc w:val="left"/>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四、如果今后国家或我省颁布污染物排放限值的新标准，届时你公司应按新的排放标准执行。</w:t>
            </w:r>
          </w:p>
          <w:p w14:paraId="790A62C7">
            <w:pPr>
              <w:spacing w:after="0" w:line="460" w:lineRule="exact"/>
              <w:ind w:firstLine="480" w:firstLineChars="200"/>
              <w:jc w:val="left"/>
              <w:rPr>
                <w:rFonts w:hint="eastAsia" w:ascii="Times New Roman" w:hAnsi="Times New Roman" w:eastAsia="宋体" w:cs="Times New Roman"/>
                <w:color w:val="auto"/>
                <w:kern w:val="2"/>
                <w:sz w:val="24"/>
                <w:szCs w:val="24"/>
                <w:lang w:eastAsia="zh-CN"/>
              </w:rPr>
            </w:pPr>
            <w:r>
              <w:rPr>
                <w:rFonts w:hint="eastAsia" w:ascii="Times New Roman" w:hAnsi="Times New Roman" w:eastAsia="宋体" w:cs="Times New Roman"/>
                <w:color w:val="auto"/>
                <w:kern w:val="2"/>
                <w:sz w:val="24"/>
                <w:szCs w:val="24"/>
              </w:rPr>
              <w:t>五、项目建成后的相关环保措施、设施应与主体工程应同时投运，你单位要对环保设施运行情况进行跟踪监测，按规定程序实施竣工环境保护验收，并将验收信息上传至全国建设项目竣工环境保护验收信息系统。该项目由新乡市生态环境局长垣综合行政执法大队负责监督管理，并明确责任人，加强检查和监管。随着周围环境、政策、法律法规的变化，我局有权收回所办理的审批手续</w:t>
            </w:r>
            <w:r>
              <w:rPr>
                <w:rFonts w:hint="eastAsia" w:eastAsia="宋体" w:cs="Times New Roman"/>
                <w:color w:val="auto"/>
                <w:kern w:val="2"/>
                <w:sz w:val="24"/>
                <w:szCs w:val="24"/>
                <w:lang w:eastAsia="zh-CN"/>
              </w:rPr>
              <w:t>。</w:t>
            </w:r>
          </w:p>
          <w:p w14:paraId="701C4002">
            <w:pPr>
              <w:spacing w:after="0" w:line="460" w:lineRule="exact"/>
              <w:jc w:val="right"/>
              <w:rPr>
                <w:rFonts w:hint="eastAsia" w:eastAsia="宋体"/>
                <w:color w:val="auto"/>
                <w:kern w:val="2"/>
                <w:sz w:val="24"/>
                <w:szCs w:val="24"/>
                <w:lang w:val="en-US" w:eastAsia="zh-CN"/>
              </w:rPr>
            </w:pPr>
          </w:p>
          <w:p w14:paraId="12792137">
            <w:pPr>
              <w:spacing w:after="0" w:line="460" w:lineRule="exact"/>
              <w:jc w:val="right"/>
              <w:rPr>
                <w:rFonts w:hint="eastAsia" w:eastAsia="宋体"/>
                <w:color w:val="auto"/>
                <w:kern w:val="2"/>
                <w:sz w:val="24"/>
                <w:szCs w:val="24"/>
                <w:lang w:eastAsia="zh-CN"/>
              </w:rPr>
            </w:pPr>
            <w:r>
              <w:rPr>
                <w:rFonts w:hint="eastAsia" w:eastAsia="宋体"/>
                <w:color w:val="auto"/>
                <w:kern w:val="2"/>
                <w:sz w:val="24"/>
                <w:szCs w:val="24"/>
                <w:lang w:val="en-US" w:eastAsia="zh-CN"/>
              </w:rPr>
              <w:t>新乡市生态环境局长垣分局</w:t>
            </w:r>
          </w:p>
          <w:p w14:paraId="4BFBFB91">
            <w:pPr>
              <w:spacing w:after="0" w:line="460" w:lineRule="exact"/>
              <w:ind w:firstLine="6240" w:firstLineChars="2600"/>
              <w:jc w:val="right"/>
              <w:rPr>
                <w:rFonts w:eastAsia="宋体"/>
                <w:color w:val="auto"/>
                <w:kern w:val="2"/>
                <w:sz w:val="24"/>
                <w:szCs w:val="24"/>
              </w:rPr>
            </w:pPr>
            <w:r>
              <w:rPr>
                <w:rFonts w:hint="eastAsia" w:eastAsia="宋体"/>
                <w:color w:val="auto"/>
                <w:kern w:val="2"/>
                <w:sz w:val="24"/>
                <w:szCs w:val="24"/>
              </w:rPr>
              <w:t>202</w:t>
            </w:r>
            <w:r>
              <w:rPr>
                <w:rFonts w:hint="eastAsia" w:eastAsia="宋体"/>
                <w:color w:val="auto"/>
                <w:kern w:val="2"/>
                <w:sz w:val="24"/>
                <w:szCs w:val="24"/>
                <w:lang w:val="en-US" w:eastAsia="zh-CN"/>
              </w:rPr>
              <w:t>5</w:t>
            </w:r>
            <w:r>
              <w:rPr>
                <w:rFonts w:hint="eastAsia" w:eastAsia="宋体"/>
                <w:color w:val="auto"/>
                <w:kern w:val="2"/>
                <w:sz w:val="24"/>
                <w:szCs w:val="24"/>
              </w:rPr>
              <w:t>年</w:t>
            </w:r>
            <w:r>
              <w:rPr>
                <w:rFonts w:hint="eastAsia" w:eastAsia="宋体"/>
                <w:color w:val="auto"/>
                <w:kern w:val="2"/>
                <w:sz w:val="24"/>
                <w:szCs w:val="24"/>
                <w:lang w:val="en-US" w:eastAsia="zh-CN"/>
              </w:rPr>
              <w:t>12</w:t>
            </w:r>
            <w:r>
              <w:rPr>
                <w:rFonts w:hint="eastAsia" w:eastAsia="宋体"/>
                <w:color w:val="auto"/>
                <w:kern w:val="2"/>
                <w:sz w:val="24"/>
                <w:szCs w:val="24"/>
              </w:rPr>
              <w:t>月</w:t>
            </w:r>
            <w:r>
              <w:rPr>
                <w:rFonts w:hint="eastAsia" w:eastAsia="宋体"/>
                <w:color w:val="auto"/>
                <w:kern w:val="2"/>
                <w:sz w:val="24"/>
                <w:szCs w:val="24"/>
                <w:lang w:val="en-US" w:eastAsia="zh-CN"/>
              </w:rPr>
              <w:t>31</w:t>
            </w:r>
            <w:r>
              <w:rPr>
                <w:rFonts w:hint="eastAsia" w:eastAsia="宋体"/>
                <w:color w:val="auto"/>
                <w:kern w:val="2"/>
                <w:sz w:val="24"/>
                <w:szCs w:val="24"/>
              </w:rPr>
              <w:t>日</w:t>
            </w:r>
          </w:p>
          <w:p w14:paraId="6307B788">
            <w:pPr>
              <w:spacing w:after="0" w:line="440" w:lineRule="exact"/>
              <w:jc w:val="both"/>
              <w:rPr>
                <w:rFonts w:eastAsia="宋体"/>
                <w:color w:val="auto"/>
                <w:kern w:val="2"/>
                <w:sz w:val="24"/>
                <w:szCs w:val="24"/>
              </w:rPr>
            </w:pPr>
          </w:p>
          <w:p w14:paraId="3181AD41">
            <w:pPr>
              <w:spacing w:after="0" w:line="440" w:lineRule="exact"/>
              <w:jc w:val="both"/>
              <w:rPr>
                <w:rFonts w:eastAsia="宋体"/>
                <w:color w:val="auto"/>
                <w:kern w:val="2"/>
                <w:sz w:val="24"/>
                <w:szCs w:val="24"/>
              </w:rPr>
            </w:pPr>
          </w:p>
          <w:p w14:paraId="60FBA0F7">
            <w:pPr>
              <w:spacing w:after="0" w:line="440" w:lineRule="exact"/>
              <w:jc w:val="both"/>
              <w:rPr>
                <w:rFonts w:eastAsia="宋体"/>
                <w:color w:val="auto"/>
                <w:kern w:val="2"/>
                <w:sz w:val="24"/>
                <w:szCs w:val="24"/>
              </w:rPr>
            </w:pPr>
          </w:p>
          <w:p w14:paraId="68676665">
            <w:pPr>
              <w:spacing w:after="0" w:line="440" w:lineRule="exact"/>
              <w:jc w:val="both"/>
              <w:rPr>
                <w:rFonts w:eastAsia="宋体"/>
                <w:color w:val="auto"/>
                <w:kern w:val="2"/>
                <w:sz w:val="24"/>
                <w:szCs w:val="24"/>
              </w:rPr>
            </w:pPr>
          </w:p>
          <w:p w14:paraId="1ECBE696">
            <w:pPr>
              <w:spacing w:after="0" w:line="440" w:lineRule="exact"/>
              <w:jc w:val="both"/>
              <w:rPr>
                <w:rFonts w:eastAsia="宋体"/>
                <w:color w:val="auto"/>
                <w:kern w:val="2"/>
                <w:sz w:val="24"/>
                <w:szCs w:val="24"/>
              </w:rPr>
            </w:pPr>
          </w:p>
          <w:p w14:paraId="3A18BD4A">
            <w:pPr>
              <w:spacing w:after="0" w:line="460" w:lineRule="exact"/>
              <w:ind w:firstLine="480" w:firstLineChars="200"/>
              <w:jc w:val="both"/>
              <w:rPr>
                <w:rFonts w:eastAsia="宋体"/>
                <w:color w:val="auto"/>
                <w:kern w:val="2"/>
                <w:sz w:val="24"/>
                <w:szCs w:val="24"/>
              </w:rPr>
            </w:pPr>
            <w:r>
              <w:rPr>
                <w:rFonts w:eastAsia="宋体"/>
                <w:color w:val="auto"/>
                <w:kern w:val="2"/>
                <w:sz w:val="24"/>
                <w:szCs w:val="24"/>
              </w:rPr>
              <w:t>3、本项目落实环评批复情况</w:t>
            </w:r>
          </w:p>
          <w:p w14:paraId="62229466">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rPr>
              <w:t>表10                本项目落实环评批复情况</w:t>
            </w:r>
          </w:p>
          <w:tbl>
            <w:tblPr>
              <w:tblStyle w:val="20"/>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45"/>
              <w:gridCol w:w="1127"/>
            </w:tblGrid>
            <w:tr w14:paraId="3E4385D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945" w:type="dxa"/>
                  <w:tcBorders>
                    <w:top w:val="single" w:color="auto" w:sz="8" w:space="0"/>
                    <w:left w:val="nil"/>
                    <w:bottom w:val="single" w:color="auto" w:sz="4" w:space="0"/>
                    <w:right w:val="single" w:color="auto" w:sz="4" w:space="0"/>
                  </w:tcBorders>
                  <w:shd w:val="clear" w:color="auto" w:fill="auto"/>
                  <w:vAlign w:val="center"/>
                </w:tcPr>
                <w:p w14:paraId="63A4090F">
                  <w:pPr>
                    <w:spacing w:after="0" w:line="280" w:lineRule="exact"/>
                    <w:jc w:val="center"/>
                    <w:rPr>
                      <w:rFonts w:eastAsia="宋体"/>
                      <w:b/>
                      <w:bCs/>
                      <w:color w:val="auto"/>
                      <w:kern w:val="2"/>
                      <w:sz w:val="21"/>
                      <w:szCs w:val="21"/>
                    </w:rPr>
                  </w:pPr>
                  <w:r>
                    <w:rPr>
                      <w:rFonts w:hint="eastAsia" w:eastAsia="宋体"/>
                      <w:b/>
                      <w:bCs/>
                      <w:color w:val="auto"/>
                      <w:kern w:val="2"/>
                      <w:sz w:val="21"/>
                      <w:szCs w:val="21"/>
                      <w:lang w:val="en-US" w:eastAsia="zh-CN"/>
                    </w:rPr>
                    <w:t>新乡市生态环境局长垣分局</w:t>
                  </w:r>
                  <w:r>
                    <w:rPr>
                      <w:rFonts w:eastAsia="宋体"/>
                      <w:b/>
                      <w:bCs/>
                      <w:color w:val="auto"/>
                      <w:kern w:val="2"/>
                      <w:sz w:val="21"/>
                      <w:szCs w:val="21"/>
                    </w:rPr>
                    <w:t>对本项目环评批复情况</w:t>
                  </w:r>
                </w:p>
              </w:tc>
              <w:tc>
                <w:tcPr>
                  <w:tcW w:w="1127" w:type="dxa"/>
                  <w:tcBorders>
                    <w:top w:val="single" w:color="auto" w:sz="8" w:space="0"/>
                    <w:left w:val="single" w:color="auto" w:sz="4" w:space="0"/>
                    <w:bottom w:val="single" w:color="auto" w:sz="4" w:space="0"/>
                    <w:right w:val="nil"/>
                  </w:tcBorders>
                  <w:shd w:val="clear" w:color="auto" w:fill="auto"/>
                  <w:vAlign w:val="center"/>
                </w:tcPr>
                <w:p w14:paraId="26FC75E4">
                  <w:pPr>
                    <w:spacing w:after="0" w:line="280" w:lineRule="exact"/>
                    <w:jc w:val="center"/>
                    <w:rPr>
                      <w:rFonts w:eastAsia="宋体"/>
                      <w:b/>
                      <w:bCs/>
                      <w:color w:val="auto"/>
                      <w:kern w:val="2"/>
                      <w:sz w:val="21"/>
                      <w:szCs w:val="21"/>
                    </w:rPr>
                  </w:pPr>
                  <w:r>
                    <w:rPr>
                      <w:rFonts w:eastAsia="宋体"/>
                      <w:b/>
                      <w:bCs/>
                      <w:color w:val="auto"/>
                      <w:kern w:val="2"/>
                      <w:sz w:val="21"/>
                      <w:szCs w:val="21"/>
                    </w:rPr>
                    <w:t>落实情况</w:t>
                  </w:r>
                </w:p>
              </w:tc>
            </w:tr>
            <w:tr w14:paraId="1C57B9E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945" w:type="dxa"/>
                  <w:tcBorders>
                    <w:top w:val="single" w:color="auto" w:sz="8" w:space="0"/>
                    <w:left w:val="nil"/>
                    <w:bottom w:val="single" w:color="auto" w:sz="4" w:space="0"/>
                    <w:right w:val="single" w:color="auto" w:sz="4" w:space="0"/>
                  </w:tcBorders>
                  <w:shd w:val="clear" w:color="auto" w:fill="auto"/>
                  <w:vAlign w:val="center"/>
                </w:tcPr>
                <w:p w14:paraId="2BDFCF55">
                  <w:pPr>
                    <w:spacing w:after="0"/>
                    <w:jc w:val="both"/>
                    <w:rPr>
                      <w:rFonts w:hint="eastAsia" w:hAnsiTheme="majorEastAsia" w:eastAsiaTheme="majorEastAsia"/>
                      <w:color w:val="auto"/>
                      <w:sz w:val="21"/>
                      <w:szCs w:val="21"/>
                      <w:lang w:val="en-US" w:eastAsia="zh-CN"/>
                    </w:rPr>
                  </w:pPr>
                  <w:r>
                    <w:rPr>
                      <w:rFonts w:hint="eastAsia" w:hAnsiTheme="majorEastAsia" w:eastAsiaTheme="majorEastAsia"/>
                      <w:color w:val="auto"/>
                      <w:sz w:val="21"/>
                      <w:szCs w:val="21"/>
                      <w:lang w:val="en-US" w:eastAsia="zh-CN"/>
                    </w:rPr>
                    <w:t>一、原则批准《长垣市聚博环保科技有限公司年收集、贮存9860吨危险废物项目环境影响报告表》，同意该项目在河南省新乡市长垣市南蒲小微创业园建设。</w:t>
                  </w:r>
                </w:p>
              </w:tc>
              <w:tc>
                <w:tcPr>
                  <w:tcW w:w="1127" w:type="dxa"/>
                  <w:tcBorders>
                    <w:top w:val="single" w:color="auto" w:sz="8" w:space="0"/>
                    <w:left w:val="single" w:color="auto" w:sz="4" w:space="0"/>
                    <w:bottom w:val="single" w:color="auto" w:sz="4" w:space="0"/>
                    <w:right w:val="nil"/>
                  </w:tcBorders>
                  <w:shd w:val="clear" w:color="auto" w:fill="auto"/>
                  <w:vAlign w:val="center"/>
                </w:tcPr>
                <w:p w14:paraId="13B22F7F">
                  <w:pPr>
                    <w:spacing w:after="0"/>
                    <w:jc w:val="center"/>
                    <w:rPr>
                      <w:rFonts w:hint="eastAsia" w:hAnsiTheme="majorEastAsia" w:eastAsiaTheme="majorEastAsia"/>
                      <w:color w:val="auto"/>
                      <w:sz w:val="21"/>
                      <w:szCs w:val="21"/>
                    </w:rPr>
                  </w:pPr>
                  <w:r>
                    <w:rPr>
                      <w:rFonts w:hint="eastAsia" w:hAnsiTheme="majorEastAsia" w:eastAsiaTheme="majorEastAsia"/>
                      <w:color w:val="auto"/>
                      <w:sz w:val="21"/>
                      <w:szCs w:val="21"/>
                    </w:rPr>
                    <w:t>已落实</w:t>
                  </w:r>
                </w:p>
              </w:tc>
            </w:tr>
            <w:tr w14:paraId="46F3FD0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945" w:type="dxa"/>
                  <w:tcBorders>
                    <w:top w:val="single" w:color="auto" w:sz="8" w:space="0"/>
                    <w:left w:val="nil"/>
                    <w:bottom w:val="single" w:color="auto" w:sz="4" w:space="0"/>
                    <w:right w:val="single" w:color="auto" w:sz="4" w:space="0"/>
                  </w:tcBorders>
                  <w:shd w:val="clear" w:color="auto" w:fill="auto"/>
                  <w:vAlign w:val="center"/>
                </w:tcPr>
                <w:p w14:paraId="5EA0F312">
                  <w:pPr>
                    <w:spacing w:after="0"/>
                    <w:jc w:val="both"/>
                    <w:rPr>
                      <w:rFonts w:hint="eastAsia" w:hAnsiTheme="majorEastAsia" w:eastAsiaTheme="majorEastAsia"/>
                      <w:color w:val="auto"/>
                      <w:sz w:val="21"/>
                      <w:szCs w:val="21"/>
                      <w:lang w:val="en-US" w:eastAsia="zh-CN"/>
                    </w:rPr>
                  </w:pPr>
                  <w:r>
                    <w:rPr>
                      <w:rFonts w:hint="eastAsia" w:hAnsiTheme="majorEastAsia" w:eastAsiaTheme="majorEastAsia"/>
                      <w:color w:val="auto"/>
                      <w:sz w:val="21"/>
                      <w:szCs w:val="21"/>
                      <w:lang w:val="en-US" w:eastAsia="zh-CN"/>
                    </w:rPr>
                    <w:t>二、严格执行环保“三同时”制度，认真落实环评要求及建议，并向社会公众主动公开已经批准的环境影响报告表，并接受相关方的咨询。环评中提及的污染防治措施可以作为该项目污染治理设施设计的依据。</w:t>
                  </w:r>
                </w:p>
              </w:tc>
              <w:tc>
                <w:tcPr>
                  <w:tcW w:w="1127" w:type="dxa"/>
                  <w:tcBorders>
                    <w:top w:val="single" w:color="auto" w:sz="8" w:space="0"/>
                    <w:left w:val="single" w:color="auto" w:sz="4" w:space="0"/>
                    <w:bottom w:val="single" w:color="auto" w:sz="4" w:space="0"/>
                    <w:right w:val="nil"/>
                  </w:tcBorders>
                  <w:shd w:val="clear" w:color="auto" w:fill="auto"/>
                  <w:vAlign w:val="center"/>
                </w:tcPr>
                <w:p w14:paraId="6FD728A2">
                  <w:pPr>
                    <w:spacing w:after="0"/>
                    <w:jc w:val="center"/>
                    <w:rPr>
                      <w:rFonts w:hint="eastAsia" w:hAnsiTheme="majorEastAsia" w:eastAsiaTheme="majorEastAsia"/>
                      <w:color w:val="auto"/>
                      <w:sz w:val="21"/>
                      <w:szCs w:val="21"/>
                    </w:rPr>
                  </w:pPr>
                  <w:r>
                    <w:rPr>
                      <w:rFonts w:hint="eastAsia" w:hAnsiTheme="majorEastAsia" w:eastAsiaTheme="majorEastAsia"/>
                      <w:color w:val="auto"/>
                      <w:sz w:val="21"/>
                      <w:szCs w:val="21"/>
                    </w:rPr>
                    <w:t>已落实</w:t>
                  </w:r>
                </w:p>
              </w:tc>
            </w:tr>
            <w:tr w14:paraId="0476105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45" w:type="dxa"/>
                  <w:tcBorders>
                    <w:top w:val="single" w:color="auto" w:sz="4" w:space="0"/>
                    <w:left w:val="nil"/>
                    <w:bottom w:val="single" w:color="auto" w:sz="4" w:space="0"/>
                    <w:right w:val="single" w:color="auto" w:sz="4" w:space="0"/>
                  </w:tcBorders>
                  <w:vAlign w:val="center"/>
                </w:tcPr>
                <w:p w14:paraId="3F718289">
                  <w:pPr>
                    <w:spacing w:after="0"/>
                    <w:jc w:val="both"/>
                    <w:rPr>
                      <w:rFonts w:hAnsiTheme="majorEastAsia" w:eastAsiaTheme="majorEastAsia"/>
                      <w:color w:val="auto"/>
                      <w:sz w:val="21"/>
                      <w:szCs w:val="21"/>
                    </w:rPr>
                  </w:pPr>
                  <w:r>
                    <w:rPr>
                      <w:rFonts w:hint="eastAsia" w:hAnsiTheme="majorEastAsia" w:eastAsiaTheme="majorEastAsia"/>
                      <w:color w:val="auto"/>
                      <w:sz w:val="21"/>
                      <w:szCs w:val="21"/>
                      <w:lang w:val="en-US" w:eastAsia="zh-CN"/>
                    </w:rPr>
                    <w:t>三、项目产生的噪声、废水、废气、固废按照环评提出来的防治措施要求进行治理。</w:t>
                  </w:r>
                </w:p>
              </w:tc>
              <w:tc>
                <w:tcPr>
                  <w:tcW w:w="1127" w:type="dxa"/>
                  <w:tcBorders>
                    <w:top w:val="single" w:color="auto" w:sz="4" w:space="0"/>
                    <w:left w:val="single" w:color="auto" w:sz="4" w:space="0"/>
                    <w:bottom w:val="single" w:color="auto" w:sz="4" w:space="0"/>
                    <w:right w:val="nil"/>
                  </w:tcBorders>
                  <w:vAlign w:val="center"/>
                </w:tcPr>
                <w:p w14:paraId="00A992EC">
                  <w:pPr>
                    <w:spacing w:after="0"/>
                    <w:jc w:val="center"/>
                    <w:rPr>
                      <w:rFonts w:hAnsiTheme="majorEastAsia" w:eastAsiaTheme="majorEastAsia"/>
                      <w:color w:val="auto"/>
                      <w:sz w:val="21"/>
                      <w:szCs w:val="21"/>
                    </w:rPr>
                  </w:pPr>
                  <w:r>
                    <w:rPr>
                      <w:rFonts w:hAnsiTheme="majorEastAsia" w:eastAsiaTheme="majorEastAsia"/>
                      <w:color w:val="auto"/>
                      <w:sz w:val="21"/>
                      <w:szCs w:val="21"/>
                    </w:rPr>
                    <w:t>已落实</w:t>
                  </w:r>
                </w:p>
              </w:tc>
            </w:tr>
            <w:tr w14:paraId="5CF7301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45" w:type="dxa"/>
                  <w:tcBorders>
                    <w:top w:val="single" w:color="auto" w:sz="4" w:space="0"/>
                    <w:left w:val="nil"/>
                    <w:bottom w:val="single" w:color="auto" w:sz="4" w:space="0"/>
                    <w:right w:val="single" w:color="auto" w:sz="4" w:space="0"/>
                  </w:tcBorders>
                  <w:vAlign w:val="center"/>
                </w:tcPr>
                <w:p w14:paraId="0F5FF67A">
                  <w:pPr>
                    <w:spacing w:after="0"/>
                    <w:jc w:val="both"/>
                    <w:rPr>
                      <w:rFonts w:hAnsiTheme="majorEastAsia" w:eastAsiaTheme="majorEastAsia"/>
                      <w:color w:val="auto"/>
                      <w:sz w:val="21"/>
                      <w:szCs w:val="21"/>
                    </w:rPr>
                  </w:pPr>
                  <w:r>
                    <w:rPr>
                      <w:rFonts w:hint="eastAsia" w:hAnsiTheme="majorEastAsia" w:eastAsiaTheme="majorEastAsia"/>
                      <w:color w:val="auto"/>
                      <w:sz w:val="21"/>
                      <w:szCs w:val="21"/>
                      <w:lang w:val="en-US" w:eastAsia="zh-CN"/>
                    </w:rPr>
                    <w:t>四、如果今后国家或我省颁布污染物排放限值的新标准，届时你公司应按新的排放标准执行。</w:t>
                  </w:r>
                </w:p>
              </w:tc>
              <w:tc>
                <w:tcPr>
                  <w:tcW w:w="1127" w:type="dxa"/>
                  <w:tcBorders>
                    <w:top w:val="single" w:color="auto" w:sz="4" w:space="0"/>
                    <w:left w:val="single" w:color="auto" w:sz="4" w:space="0"/>
                    <w:bottom w:val="single" w:color="auto" w:sz="4" w:space="0"/>
                    <w:right w:val="nil"/>
                  </w:tcBorders>
                  <w:vAlign w:val="center"/>
                </w:tcPr>
                <w:p w14:paraId="1DACFB60">
                  <w:pPr>
                    <w:spacing w:after="0"/>
                    <w:jc w:val="center"/>
                    <w:rPr>
                      <w:rFonts w:hint="eastAsia" w:hAnsiTheme="majorEastAsia" w:eastAsiaTheme="majorEastAsia"/>
                      <w:color w:val="auto"/>
                      <w:sz w:val="21"/>
                      <w:szCs w:val="21"/>
                      <w:lang w:val="en-US" w:eastAsia="zh-CN"/>
                    </w:rPr>
                  </w:pPr>
                  <w:r>
                    <w:rPr>
                      <w:rFonts w:hint="eastAsia" w:hAnsiTheme="majorEastAsia" w:eastAsiaTheme="majorEastAsia"/>
                      <w:color w:val="auto"/>
                      <w:sz w:val="21"/>
                      <w:szCs w:val="21"/>
                      <w:lang w:val="en-US" w:eastAsia="zh-CN"/>
                    </w:rPr>
                    <w:t>不涉及</w:t>
                  </w:r>
                </w:p>
              </w:tc>
            </w:tr>
            <w:tr w14:paraId="0912B90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45" w:type="dxa"/>
                  <w:tcBorders>
                    <w:top w:val="single" w:color="auto" w:sz="4" w:space="0"/>
                    <w:left w:val="nil"/>
                    <w:bottom w:val="single" w:color="auto" w:sz="4" w:space="0"/>
                    <w:right w:val="single" w:color="auto" w:sz="4" w:space="0"/>
                  </w:tcBorders>
                  <w:vAlign w:val="center"/>
                </w:tcPr>
                <w:p w14:paraId="75C31960">
                  <w:pPr>
                    <w:spacing w:after="0"/>
                    <w:jc w:val="both"/>
                    <w:rPr>
                      <w:rFonts w:hAnsiTheme="majorEastAsia" w:eastAsiaTheme="majorEastAsia"/>
                      <w:color w:val="auto"/>
                      <w:sz w:val="21"/>
                      <w:szCs w:val="21"/>
                    </w:rPr>
                  </w:pPr>
                  <w:r>
                    <w:rPr>
                      <w:rFonts w:hint="eastAsia" w:hAnsiTheme="majorEastAsia" w:eastAsiaTheme="majorEastAsia"/>
                      <w:color w:val="auto"/>
                      <w:sz w:val="21"/>
                      <w:szCs w:val="21"/>
                      <w:lang w:val="en-US" w:eastAsia="zh-CN"/>
                    </w:rPr>
                    <w:t>五、项目建成后的相关环保措施、设施应与主体工程应同时投运，你单位要对环保设施运行情况进行跟踪监测，按规定程序实施竣工环境保护验收，并将验收信息上传至全国建设项目竣工环境保护验收信息系统。该项目由新乡市生态环境局长垣综合行政执法大队负责监督管理，并明确责任人，加强检查和监管。随着周围环境、政策、法律法规的变化，我局有权收回所办理的审批手续。</w:t>
                  </w:r>
                </w:p>
              </w:tc>
              <w:tc>
                <w:tcPr>
                  <w:tcW w:w="1127" w:type="dxa"/>
                  <w:tcBorders>
                    <w:top w:val="single" w:color="auto" w:sz="4" w:space="0"/>
                    <w:left w:val="single" w:color="auto" w:sz="4" w:space="0"/>
                    <w:bottom w:val="single" w:color="auto" w:sz="4" w:space="0"/>
                    <w:right w:val="nil"/>
                  </w:tcBorders>
                  <w:vAlign w:val="center"/>
                </w:tcPr>
                <w:p w14:paraId="1E71B639">
                  <w:pPr>
                    <w:spacing w:after="0"/>
                    <w:jc w:val="center"/>
                    <w:rPr>
                      <w:rFonts w:hAnsiTheme="majorEastAsia" w:eastAsiaTheme="majorEastAsia"/>
                      <w:color w:val="auto"/>
                      <w:sz w:val="21"/>
                      <w:szCs w:val="21"/>
                    </w:rPr>
                  </w:pPr>
                  <w:r>
                    <w:rPr>
                      <w:rFonts w:hint="eastAsia" w:hAnsiTheme="majorEastAsia" w:eastAsiaTheme="majorEastAsia"/>
                      <w:color w:val="auto"/>
                      <w:sz w:val="21"/>
                      <w:szCs w:val="21"/>
                    </w:rPr>
                    <w:t>已落实</w:t>
                  </w:r>
                </w:p>
              </w:tc>
            </w:tr>
          </w:tbl>
          <w:p w14:paraId="6038F53C">
            <w:pPr>
              <w:spacing w:after="0" w:line="500" w:lineRule="exact"/>
              <w:ind w:firstLine="480" w:firstLineChars="200"/>
              <w:jc w:val="both"/>
              <w:rPr>
                <w:rFonts w:eastAsia="宋体"/>
                <w:color w:val="auto"/>
                <w:kern w:val="2"/>
                <w:sz w:val="24"/>
                <w:szCs w:val="24"/>
              </w:rPr>
            </w:pPr>
          </w:p>
          <w:p w14:paraId="0B8B66FB">
            <w:pPr>
              <w:spacing w:after="0" w:line="500" w:lineRule="exact"/>
              <w:ind w:firstLine="480" w:firstLineChars="200"/>
              <w:jc w:val="both"/>
              <w:rPr>
                <w:rFonts w:eastAsia="宋体"/>
                <w:color w:val="auto"/>
                <w:kern w:val="2"/>
                <w:sz w:val="24"/>
                <w:szCs w:val="24"/>
              </w:rPr>
            </w:pPr>
          </w:p>
          <w:p w14:paraId="3E561C2A">
            <w:pPr>
              <w:spacing w:after="0" w:line="500" w:lineRule="exact"/>
              <w:jc w:val="both"/>
              <w:rPr>
                <w:rFonts w:eastAsia="宋体"/>
                <w:color w:val="auto"/>
                <w:kern w:val="2"/>
                <w:sz w:val="24"/>
                <w:szCs w:val="24"/>
              </w:rPr>
            </w:pPr>
          </w:p>
          <w:p w14:paraId="23E5F0F0">
            <w:pPr>
              <w:spacing w:after="0" w:line="500" w:lineRule="exact"/>
              <w:jc w:val="both"/>
              <w:rPr>
                <w:rFonts w:eastAsia="宋体"/>
                <w:color w:val="auto"/>
                <w:kern w:val="2"/>
                <w:sz w:val="24"/>
                <w:szCs w:val="24"/>
              </w:rPr>
            </w:pPr>
          </w:p>
          <w:p w14:paraId="396A1F2B">
            <w:pPr>
              <w:spacing w:after="0" w:line="500" w:lineRule="exact"/>
              <w:jc w:val="both"/>
              <w:rPr>
                <w:rFonts w:eastAsia="宋体"/>
                <w:color w:val="auto"/>
                <w:kern w:val="2"/>
                <w:sz w:val="24"/>
                <w:szCs w:val="24"/>
              </w:rPr>
            </w:pPr>
          </w:p>
          <w:p w14:paraId="5B9DA05E">
            <w:pPr>
              <w:spacing w:after="0" w:line="500" w:lineRule="exact"/>
              <w:jc w:val="both"/>
              <w:rPr>
                <w:rFonts w:eastAsia="宋体"/>
                <w:color w:val="auto"/>
                <w:kern w:val="2"/>
                <w:sz w:val="24"/>
                <w:szCs w:val="24"/>
              </w:rPr>
            </w:pPr>
          </w:p>
          <w:p w14:paraId="2238647F">
            <w:pPr>
              <w:spacing w:after="0" w:line="500" w:lineRule="exact"/>
              <w:jc w:val="both"/>
              <w:rPr>
                <w:rFonts w:eastAsia="宋体"/>
                <w:color w:val="auto"/>
                <w:kern w:val="2"/>
                <w:sz w:val="24"/>
                <w:szCs w:val="24"/>
              </w:rPr>
            </w:pPr>
          </w:p>
          <w:p w14:paraId="09F72098">
            <w:pPr>
              <w:spacing w:after="0" w:line="500" w:lineRule="exact"/>
              <w:jc w:val="both"/>
              <w:rPr>
                <w:rFonts w:eastAsia="宋体"/>
                <w:color w:val="auto"/>
                <w:kern w:val="2"/>
                <w:sz w:val="24"/>
                <w:szCs w:val="24"/>
              </w:rPr>
            </w:pPr>
          </w:p>
          <w:p w14:paraId="7A6233CC">
            <w:pPr>
              <w:pStyle w:val="2"/>
              <w:rPr>
                <w:color w:val="auto"/>
              </w:rPr>
            </w:pPr>
          </w:p>
        </w:tc>
      </w:tr>
    </w:tbl>
    <w:p w14:paraId="215AF79D">
      <w:pPr>
        <w:spacing w:after="0" w:line="440" w:lineRule="exact"/>
        <w:rPr>
          <w:rFonts w:eastAsia="仿宋_GB2312"/>
          <w:b/>
          <w:color w:val="auto"/>
          <w:sz w:val="21"/>
          <w:szCs w:val="21"/>
        </w:rPr>
      </w:pPr>
    </w:p>
    <w:p w14:paraId="62785D32">
      <w:pPr>
        <w:spacing w:after="0" w:line="440" w:lineRule="exact"/>
        <w:rPr>
          <w:rFonts w:eastAsia="仿宋_GB2312"/>
          <w:b/>
          <w:color w:val="auto"/>
          <w:sz w:val="21"/>
          <w:szCs w:val="21"/>
          <w:highlight w:val="none"/>
        </w:rPr>
      </w:pPr>
      <w:r>
        <w:rPr>
          <w:rFonts w:eastAsia="仿宋_GB2312"/>
          <w:b/>
          <w:color w:val="auto"/>
          <w:sz w:val="21"/>
          <w:szCs w:val="21"/>
          <w:highlight w:val="none"/>
        </w:rPr>
        <w:t>表五</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2F7D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E9C2473">
            <w:pPr>
              <w:spacing w:after="0" w:line="480" w:lineRule="exact"/>
              <w:jc w:val="both"/>
              <w:rPr>
                <w:rFonts w:ascii="宋体" w:hAnsi="宋体" w:eastAsia="宋体"/>
                <w:color w:val="auto"/>
                <w:sz w:val="24"/>
                <w:szCs w:val="24"/>
              </w:rPr>
            </w:pPr>
            <w:r>
              <w:rPr>
                <w:rFonts w:ascii="宋体" w:hAnsi="宋体" w:eastAsia="宋体"/>
                <w:color w:val="auto"/>
                <w:sz w:val="24"/>
                <w:szCs w:val="24"/>
              </w:rPr>
              <w:t>验收监测质量保证及质量控制：</w:t>
            </w:r>
          </w:p>
          <w:p w14:paraId="5715404C">
            <w:pPr>
              <w:spacing w:after="0" w:line="440" w:lineRule="exact"/>
              <w:ind w:firstLine="482" w:firstLineChars="200"/>
              <w:textAlignment w:val="baseline"/>
              <w:rPr>
                <w:rFonts w:eastAsia="宋体"/>
                <w:b/>
                <w:bCs/>
                <w:color w:val="auto"/>
                <w:sz w:val="24"/>
                <w:szCs w:val="24"/>
              </w:rPr>
            </w:pPr>
            <w:r>
              <w:rPr>
                <w:rFonts w:hint="eastAsia" w:eastAsia="宋体"/>
                <w:b/>
                <w:bCs/>
                <w:color w:val="auto"/>
                <w:sz w:val="24"/>
                <w:szCs w:val="24"/>
                <w:lang w:val="en-US" w:eastAsia="zh-CN"/>
              </w:rPr>
              <w:t>1</w:t>
            </w:r>
            <w:r>
              <w:rPr>
                <w:rFonts w:hint="eastAsia" w:eastAsia="宋体"/>
                <w:b/>
                <w:bCs/>
                <w:color w:val="auto"/>
                <w:sz w:val="24"/>
                <w:szCs w:val="24"/>
              </w:rPr>
              <w:t>、分析方法、方法来源和所用仪器设备</w:t>
            </w:r>
          </w:p>
          <w:p w14:paraId="65507727">
            <w:pPr>
              <w:spacing w:after="0" w:line="460" w:lineRule="exact"/>
              <w:ind w:firstLine="480" w:firstLineChars="200"/>
              <w:rPr>
                <w:rFonts w:eastAsia="宋体"/>
                <w:color w:val="auto"/>
                <w:kern w:val="2"/>
                <w:sz w:val="24"/>
                <w:szCs w:val="24"/>
              </w:rPr>
            </w:pPr>
            <w:r>
              <w:rPr>
                <w:rFonts w:hint="eastAsia" w:eastAsia="宋体"/>
                <w:color w:val="auto"/>
                <w:kern w:val="2"/>
                <w:sz w:val="24"/>
                <w:szCs w:val="24"/>
              </w:rPr>
              <w:t>本次检测采样及分析均采用国家标准分析方法，方法来源和所用仪器设备见下表：</w:t>
            </w:r>
          </w:p>
          <w:p w14:paraId="5AF80150">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检测分析方法及检测一起一览表</w:t>
            </w:r>
          </w:p>
          <w:tbl>
            <w:tblPr>
              <w:tblStyle w:val="20"/>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2"/>
              <w:gridCol w:w="920"/>
              <w:gridCol w:w="3698"/>
              <w:gridCol w:w="2499"/>
              <w:gridCol w:w="989"/>
            </w:tblGrid>
            <w:tr w14:paraId="453A27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530" w:type="pct"/>
                  <w:tcBorders>
                    <w:tl2br w:val="nil"/>
                    <w:tr2bl w:val="nil"/>
                  </w:tcBorders>
                  <w:noWrap w:val="0"/>
                  <w:vAlign w:val="center"/>
                </w:tcPr>
                <w:p w14:paraId="486A6CC3">
                  <w:pPr>
                    <w:spacing w:after="0"/>
                    <w:jc w:val="center"/>
                    <w:rPr>
                      <w:rFonts w:hint="default" w:ascii="Times New Roman" w:cs="Times New Roman" w:hAnsiTheme="majorEastAsia" w:eastAsiaTheme="majorEastAsia"/>
                      <w:b/>
                      <w:bCs/>
                      <w:color w:val="auto"/>
                      <w:sz w:val="21"/>
                      <w:szCs w:val="21"/>
                      <w:lang w:val="en-US" w:eastAsia="zh-CN"/>
                    </w:rPr>
                  </w:pPr>
                  <w:r>
                    <w:rPr>
                      <w:rFonts w:hint="default" w:ascii="Times New Roman" w:cs="Times New Roman" w:hAnsiTheme="majorEastAsia" w:eastAsiaTheme="majorEastAsia"/>
                      <w:b/>
                      <w:bCs/>
                      <w:color w:val="auto"/>
                      <w:sz w:val="21"/>
                      <w:szCs w:val="21"/>
                      <w:lang w:val="en-US" w:eastAsia="zh-CN"/>
                    </w:rPr>
                    <w:t>检测类别</w:t>
                  </w:r>
                </w:p>
              </w:tc>
              <w:tc>
                <w:tcPr>
                  <w:tcW w:w="507" w:type="pct"/>
                  <w:tcBorders>
                    <w:tl2br w:val="nil"/>
                    <w:tr2bl w:val="nil"/>
                  </w:tcBorders>
                  <w:noWrap w:val="0"/>
                  <w:vAlign w:val="center"/>
                </w:tcPr>
                <w:p w14:paraId="2FE31A76">
                  <w:pPr>
                    <w:spacing w:after="0"/>
                    <w:jc w:val="center"/>
                    <w:rPr>
                      <w:rFonts w:hint="default" w:ascii="Times New Roman" w:cs="Times New Roman" w:hAnsiTheme="majorEastAsia" w:eastAsiaTheme="majorEastAsia"/>
                      <w:b/>
                      <w:bCs/>
                      <w:color w:val="auto"/>
                      <w:sz w:val="21"/>
                      <w:szCs w:val="21"/>
                      <w:lang w:val="en-US" w:eastAsia="zh-CN"/>
                    </w:rPr>
                  </w:pPr>
                  <w:r>
                    <w:rPr>
                      <w:rFonts w:hint="default" w:ascii="Times New Roman" w:cs="Times New Roman" w:hAnsiTheme="majorEastAsia" w:eastAsiaTheme="majorEastAsia"/>
                      <w:b/>
                      <w:bCs/>
                      <w:color w:val="auto"/>
                      <w:sz w:val="21"/>
                      <w:szCs w:val="21"/>
                      <w:lang w:val="en-US" w:eastAsia="zh-CN"/>
                    </w:rPr>
                    <w:t>检测因子</w:t>
                  </w:r>
                </w:p>
              </w:tc>
              <w:tc>
                <w:tcPr>
                  <w:tcW w:w="2038" w:type="pct"/>
                  <w:tcBorders>
                    <w:tl2br w:val="nil"/>
                    <w:tr2bl w:val="nil"/>
                  </w:tcBorders>
                  <w:noWrap w:val="0"/>
                  <w:vAlign w:val="center"/>
                </w:tcPr>
                <w:p w14:paraId="1A87402F">
                  <w:pPr>
                    <w:spacing w:after="0"/>
                    <w:jc w:val="center"/>
                    <w:rPr>
                      <w:rFonts w:hint="default" w:ascii="Times New Roman" w:cs="Times New Roman" w:hAnsiTheme="majorEastAsia" w:eastAsiaTheme="majorEastAsia"/>
                      <w:b/>
                      <w:bCs/>
                      <w:color w:val="auto"/>
                      <w:sz w:val="21"/>
                      <w:szCs w:val="21"/>
                      <w:lang w:val="en-US" w:eastAsia="zh-CN"/>
                    </w:rPr>
                  </w:pPr>
                  <w:r>
                    <w:rPr>
                      <w:rFonts w:hint="default" w:ascii="Times New Roman" w:cs="Times New Roman" w:hAnsiTheme="majorEastAsia" w:eastAsiaTheme="majorEastAsia"/>
                      <w:b/>
                      <w:bCs/>
                      <w:color w:val="auto"/>
                      <w:sz w:val="21"/>
                      <w:szCs w:val="21"/>
                      <w:lang w:val="en-US" w:eastAsia="zh-CN"/>
                    </w:rPr>
                    <w:t>检测方法及编号</w:t>
                  </w:r>
                </w:p>
              </w:tc>
              <w:tc>
                <w:tcPr>
                  <w:tcW w:w="1377" w:type="pct"/>
                  <w:tcBorders>
                    <w:tl2br w:val="nil"/>
                    <w:tr2bl w:val="nil"/>
                  </w:tcBorders>
                  <w:noWrap w:val="0"/>
                  <w:vAlign w:val="center"/>
                </w:tcPr>
                <w:p w14:paraId="29FF59E0">
                  <w:pPr>
                    <w:spacing w:after="0"/>
                    <w:jc w:val="center"/>
                    <w:rPr>
                      <w:rFonts w:hint="default" w:ascii="Times New Roman" w:cs="Times New Roman" w:hAnsiTheme="majorEastAsia" w:eastAsiaTheme="majorEastAsia"/>
                      <w:b/>
                      <w:bCs/>
                      <w:color w:val="auto"/>
                      <w:sz w:val="21"/>
                      <w:szCs w:val="21"/>
                      <w:lang w:val="en-US" w:eastAsia="zh-CN"/>
                    </w:rPr>
                  </w:pPr>
                  <w:r>
                    <w:rPr>
                      <w:rFonts w:hint="default" w:ascii="Times New Roman" w:cs="Times New Roman" w:hAnsiTheme="majorEastAsia" w:eastAsiaTheme="majorEastAsia"/>
                      <w:b/>
                      <w:bCs/>
                      <w:color w:val="auto"/>
                      <w:sz w:val="21"/>
                      <w:szCs w:val="21"/>
                      <w:lang w:val="en-US" w:eastAsia="zh-CN"/>
                    </w:rPr>
                    <w:t>检测仪器及型号</w:t>
                  </w:r>
                  <w:r>
                    <w:rPr>
                      <w:rFonts w:hint="eastAsia" w:ascii="Times New Roman" w:cs="Times New Roman" w:hAnsiTheme="majorEastAsia" w:eastAsiaTheme="majorEastAsia"/>
                      <w:b/>
                      <w:bCs/>
                      <w:color w:val="auto"/>
                      <w:sz w:val="21"/>
                      <w:szCs w:val="21"/>
                      <w:lang w:val="en-US" w:eastAsia="zh-CN"/>
                    </w:rPr>
                    <w:t>/编号</w:t>
                  </w:r>
                </w:p>
              </w:tc>
              <w:tc>
                <w:tcPr>
                  <w:tcW w:w="545" w:type="pct"/>
                  <w:tcBorders>
                    <w:tl2br w:val="nil"/>
                    <w:tr2bl w:val="nil"/>
                  </w:tcBorders>
                  <w:noWrap w:val="0"/>
                  <w:vAlign w:val="center"/>
                </w:tcPr>
                <w:p w14:paraId="1CF46C10">
                  <w:pPr>
                    <w:spacing w:after="0"/>
                    <w:jc w:val="center"/>
                    <w:rPr>
                      <w:rFonts w:hint="default" w:ascii="Times New Roman" w:cs="Times New Roman" w:hAnsiTheme="majorEastAsia" w:eastAsiaTheme="majorEastAsia"/>
                      <w:b/>
                      <w:bCs/>
                      <w:color w:val="auto"/>
                      <w:sz w:val="21"/>
                      <w:szCs w:val="21"/>
                      <w:lang w:val="en-US" w:eastAsia="zh-CN"/>
                    </w:rPr>
                  </w:pPr>
                  <w:r>
                    <w:rPr>
                      <w:rFonts w:hint="default" w:ascii="Times New Roman" w:cs="Times New Roman" w:hAnsiTheme="majorEastAsia" w:eastAsiaTheme="majorEastAsia"/>
                      <w:b/>
                      <w:bCs/>
                      <w:color w:val="auto"/>
                      <w:sz w:val="21"/>
                      <w:szCs w:val="21"/>
                      <w:lang w:val="en-US" w:eastAsia="zh-CN"/>
                    </w:rPr>
                    <w:t>检出限</w:t>
                  </w:r>
                </w:p>
              </w:tc>
            </w:tr>
            <w:tr w14:paraId="0FA3FB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30" w:type="pct"/>
                  <w:vMerge w:val="restart"/>
                  <w:tcBorders>
                    <w:tl2br w:val="nil"/>
                    <w:tr2bl w:val="nil"/>
                  </w:tcBorders>
                  <w:noWrap w:val="0"/>
                  <w:vAlign w:val="center"/>
                </w:tcPr>
                <w:p w14:paraId="563B3FB6">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废气</w:t>
                  </w:r>
                </w:p>
                <w:p w14:paraId="0E251760">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有组织</w:t>
                  </w:r>
                </w:p>
                <w:p w14:paraId="40C17BBE">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排放</w:t>
                  </w:r>
                </w:p>
              </w:tc>
              <w:tc>
                <w:tcPr>
                  <w:tcW w:w="507" w:type="pct"/>
                  <w:tcBorders>
                    <w:tl2br w:val="nil"/>
                    <w:tr2bl w:val="nil"/>
                  </w:tcBorders>
                  <w:noWrap w:val="0"/>
                  <w:vAlign w:val="center"/>
                </w:tcPr>
                <w:p w14:paraId="78ECBB58">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流量</w:t>
                  </w:r>
                </w:p>
              </w:tc>
              <w:tc>
                <w:tcPr>
                  <w:tcW w:w="2038" w:type="pct"/>
                  <w:tcBorders>
                    <w:tl2br w:val="nil"/>
                    <w:tr2bl w:val="nil"/>
                  </w:tcBorders>
                  <w:noWrap w:val="0"/>
                  <w:vAlign w:val="center"/>
                </w:tcPr>
                <w:p w14:paraId="0545672A">
                  <w:pPr>
                    <w:spacing w:after="0"/>
                    <w:jc w:val="center"/>
                    <w:rPr>
                      <w:rFonts w:hint="default"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《固定污染源排气中颗粒物测定与气态污染物采样方法》（7 排气流速、流量的测定）GB/T 16157-1996及修改单</w:t>
                  </w:r>
                </w:p>
              </w:tc>
              <w:tc>
                <w:tcPr>
                  <w:tcW w:w="1377" w:type="pct"/>
                  <w:tcBorders>
                    <w:tl2br w:val="nil"/>
                    <w:tr2bl w:val="nil"/>
                  </w:tcBorders>
                  <w:noWrap w:val="0"/>
                  <w:vAlign w:val="center"/>
                </w:tcPr>
                <w:p w14:paraId="18E9BC8A">
                  <w:pPr>
                    <w:spacing w:after="0"/>
                    <w:jc w:val="center"/>
                    <w:rPr>
                      <w:rFonts w:hint="eastAsia"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大流量低浓度烟尘/气测试仪/崂应3012H-D型</w:t>
                  </w:r>
                </w:p>
                <w:p w14:paraId="52E66023">
                  <w:pPr>
                    <w:spacing w:after="0"/>
                    <w:jc w:val="center"/>
                    <w:rPr>
                      <w:rFonts w:hint="eastAsia"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JYYQ-2-30-2</w:t>
                  </w:r>
                </w:p>
                <w:p w14:paraId="7944521E">
                  <w:pPr>
                    <w:spacing w:after="0"/>
                    <w:jc w:val="center"/>
                    <w:rPr>
                      <w:rFonts w:hint="eastAsia"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低浓度烟尘（气）测试仪TW-3200D型</w:t>
                  </w:r>
                </w:p>
                <w:p w14:paraId="43D3AA54">
                  <w:pPr>
                    <w:spacing w:after="0"/>
                    <w:jc w:val="center"/>
                    <w:rPr>
                      <w:rFonts w:hint="default"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JYYQ-2-01-9</w:t>
                  </w:r>
                </w:p>
              </w:tc>
              <w:tc>
                <w:tcPr>
                  <w:tcW w:w="545" w:type="pct"/>
                  <w:tcBorders>
                    <w:tl2br w:val="nil"/>
                    <w:tr2bl w:val="nil"/>
                  </w:tcBorders>
                  <w:noWrap w:val="0"/>
                  <w:vAlign w:val="center"/>
                </w:tcPr>
                <w:p w14:paraId="02EED99B">
                  <w:pPr>
                    <w:spacing w:after="0"/>
                    <w:jc w:val="center"/>
                    <w:rPr>
                      <w:rFonts w:hint="default"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w:t>
                  </w:r>
                </w:p>
              </w:tc>
            </w:tr>
            <w:tr w14:paraId="718E16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30" w:type="pct"/>
                  <w:vMerge w:val="continue"/>
                  <w:tcBorders>
                    <w:tl2br w:val="nil"/>
                    <w:tr2bl w:val="nil"/>
                  </w:tcBorders>
                  <w:noWrap w:val="0"/>
                  <w:vAlign w:val="center"/>
                </w:tcPr>
                <w:p w14:paraId="2E053D30">
                  <w:pPr>
                    <w:spacing w:after="0"/>
                    <w:jc w:val="center"/>
                    <w:rPr>
                      <w:rFonts w:hint="default" w:ascii="Times New Roman" w:cs="Times New Roman" w:hAnsiTheme="majorEastAsia" w:eastAsiaTheme="majorEastAsia"/>
                      <w:color w:val="auto"/>
                      <w:sz w:val="21"/>
                      <w:szCs w:val="21"/>
                      <w:lang w:val="en-US" w:eastAsia="zh-CN"/>
                    </w:rPr>
                  </w:pPr>
                </w:p>
              </w:tc>
              <w:tc>
                <w:tcPr>
                  <w:tcW w:w="507" w:type="pct"/>
                  <w:tcBorders>
                    <w:tl2br w:val="nil"/>
                    <w:tr2bl w:val="nil"/>
                  </w:tcBorders>
                  <w:noWrap w:val="0"/>
                  <w:vAlign w:val="center"/>
                </w:tcPr>
                <w:p w14:paraId="4F348F6B">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非甲烷总烃</w:t>
                  </w:r>
                </w:p>
              </w:tc>
              <w:tc>
                <w:tcPr>
                  <w:tcW w:w="2038" w:type="pct"/>
                  <w:tcBorders>
                    <w:tl2br w:val="nil"/>
                    <w:tr2bl w:val="nil"/>
                  </w:tcBorders>
                  <w:noWrap w:val="0"/>
                  <w:vAlign w:val="center"/>
                </w:tcPr>
                <w:p w14:paraId="45DEA79F">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《固定污染源废气</w:t>
                  </w:r>
                  <w:r>
                    <w:rPr>
                      <w:rFonts w:hint="eastAsia" w:ascii="Times New Roman" w:cs="Times New Roman" w:hAnsiTheme="majorEastAsia" w:eastAsiaTheme="majorEastAsia"/>
                      <w:color w:val="auto"/>
                      <w:sz w:val="21"/>
                      <w:szCs w:val="21"/>
                      <w:lang w:val="en-US" w:eastAsia="zh-CN"/>
                    </w:rPr>
                    <w:t xml:space="preserve"> </w:t>
                  </w:r>
                  <w:r>
                    <w:rPr>
                      <w:rFonts w:hint="default" w:ascii="Times New Roman" w:cs="Times New Roman" w:hAnsiTheme="majorEastAsia" w:eastAsiaTheme="majorEastAsia"/>
                      <w:color w:val="auto"/>
                      <w:sz w:val="21"/>
                      <w:szCs w:val="21"/>
                      <w:lang w:val="en-US" w:eastAsia="zh-CN"/>
                    </w:rPr>
                    <w:t>总烃、甲烷和非甲烷总烃的测定 气相色谱法》</w:t>
                  </w:r>
                </w:p>
                <w:p w14:paraId="6304EA17">
                  <w:pPr>
                    <w:spacing w:after="0"/>
                    <w:jc w:val="center"/>
                    <w:rPr>
                      <w:rFonts w:hint="eastAsia"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HJ 38-2017</w:t>
                  </w:r>
                </w:p>
              </w:tc>
              <w:tc>
                <w:tcPr>
                  <w:tcW w:w="1377" w:type="pct"/>
                  <w:tcBorders>
                    <w:tl2br w:val="nil"/>
                    <w:tr2bl w:val="nil"/>
                  </w:tcBorders>
                  <w:noWrap w:val="0"/>
                  <w:vAlign w:val="center"/>
                </w:tcPr>
                <w:p w14:paraId="48B17E1C">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气相色谱仪</w:t>
                  </w:r>
                </w:p>
                <w:p w14:paraId="1BDB5209">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GC9790Ⅱ</w:t>
                  </w:r>
                </w:p>
                <w:p w14:paraId="3BA739AE">
                  <w:pPr>
                    <w:spacing w:after="0"/>
                    <w:jc w:val="center"/>
                    <w:rPr>
                      <w:rFonts w:hint="eastAsia"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JYYQ-1-05-</w:t>
                  </w:r>
                  <w:r>
                    <w:rPr>
                      <w:rFonts w:hint="eastAsia" w:ascii="Times New Roman" w:cs="Times New Roman" w:hAnsiTheme="majorEastAsia" w:eastAsiaTheme="majorEastAsia"/>
                      <w:color w:val="auto"/>
                      <w:sz w:val="21"/>
                      <w:szCs w:val="21"/>
                      <w:lang w:val="en-US" w:eastAsia="zh-CN"/>
                    </w:rPr>
                    <w:t>2</w:t>
                  </w:r>
                </w:p>
              </w:tc>
              <w:tc>
                <w:tcPr>
                  <w:tcW w:w="545" w:type="pct"/>
                  <w:tcBorders>
                    <w:tl2br w:val="nil"/>
                    <w:tr2bl w:val="nil"/>
                  </w:tcBorders>
                  <w:noWrap w:val="0"/>
                  <w:vAlign w:val="center"/>
                </w:tcPr>
                <w:p w14:paraId="14EBDC5F">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0.07</w:t>
                  </w:r>
                </w:p>
                <w:p w14:paraId="5219F8C8">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mg/m</w:t>
                  </w:r>
                  <w:r>
                    <w:rPr>
                      <w:rFonts w:hint="default" w:ascii="Times New Roman" w:cs="Times New Roman" w:hAnsiTheme="majorEastAsia" w:eastAsiaTheme="majorEastAsia"/>
                      <w:color w:val="auto"/>
                      <w:sz w:val="21"/>
                      <w:szCs w:val="21"/>
                      <w:vertAlign w:val="superscript"/>
                      <w:lang w:val="en-US" w:eastAsia="zh-CN"/>
                    </w:rPr>
                    <w:t>3</w:t>
                  </w:r>
                </w:p>
                <w:p w14:paraId="65088D4C">
                  <w:pPr>
                    <w:spacing w:after="0"/>
                    <w:jc w:val="center"/>
                    <w:rPr>
                      <w:rFonts w:hint="eastAsia"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（以碳计）</w:t>
                  </w:r>
                </w:p>
              </w:tc>
            </w:tr>
            <w:tr w14:paraId="442A8B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530" w:type="pct"/>
                  <w:tcBorders>
                    <w:tl2br w:val="nil"/>
                    <w:tr2bl w:val="nil"/>
                  </w:tcBorders>
                  <w:noWrap w:val="0"/>
                  <w:vAlign w:val="center"/>
                </w:tcPr>
                <w:p w14:paraId="2BBC9253">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废气</w:t>
                  </w:r>
                </w:p>
                <w:p w14:paraId="33E96A45">
                  <w:pPr>
                    <w:spacing w:after="0"/>
                    <w:jc w:val="center"/>
                    <w:rPr>
                      <w:rFonts w:hint="default"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无</w:t>
                  </w:r>
                  <w:r>
                    <w:rPr>
                      <w:rFonts w:hint="default" w:ascii="Times New Roman" w:cs="Times New Roman" w:hAnsiTheme="majorEastAsia" w:eastAsiaTheme="majorEastAsia"/>
                      <w:color w:val="auto"/>
                      <w:sz w:val="21"/>
                      <w:szCs w:val="21"/>
                      <w:lang w:val="en-US" w:eastAsia="zh-CN"/>
                    </w:rPr>
                    <w:t>组织</w:t>
                  </w:r>
                </w:p>
                <w:p w14:paraId="26575C0A">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排放</w:t>
                  </w:r>
                </w:p>
              </w:tc>
              <w:tc>
                <w:tcPr>
                  <w:tcW w:w="507" w:type="pct"/>
                  <w:tcBorders>
                    <w:tl2br w:val="nil"/>
                    <w:tr2bl w:val="nil"/>
                  </w:tcBorders>
                  <w:noWrap w:val="0"/>
                  <w:vAlign w:val="center"/>
                </w:tcPr>
                <w:p w14:paraId="1D4D93E7">
                  <w:pPr>
                    <w:spacing w:after="0"/>
                    <w:jc w:val="center"/>
                    <w:rPr>
                      <w:rFonts w:hint="eastAsia"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非甲烷总烃</w:t>
                  </w:r>
                </w:p>
              </w:tc>
              <w:tc>
                <w:tcPr>
                  <w:tcW w:w="2038" w:type="pct"/>
                  <w:tcBorders>
                    <w:tl2br w:val="nil"/>
                    <w:tr2bl w:val="nil"/>
                  </w:tcBorders>
                  <w:noWrap w:val="0"/>
                  <w:vAlign w:val="center"/>
                </w:tcPr>
                <w:p w14:paraId="5DCFBBD3">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《环境空气 总烃、甲烷和非甲烷总烃的测定 直接进样-气相色谱法》</w:t>
                  </w:r>
                </w:p>
                <w:p w14:paraId="35F62367">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HJ 604-2017</w:t>
                  </w:r>
                </w:p>
              </w:tc>
              <w:tc>
                <w:tcPr>
                  <w:tcW w:w="1377" w:type="pct"/>
                  <w:tcBorders>
                    <w:tl2br w:val="nil"/>
                    <w:tr2bl w:val="nil"/>
                  </w:tcBorders>
                  <w:noWrap w:val="0"/>
                  <w:vAlign w:val="center"/>
                </w:tcPr>
                <w:p w14:paraId="21258B6A">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气相色谱仪</w:t>
                  </w:r>
                </w:p>
                <w:p w14:paraId="78BC293E">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GC9790Ⅱ</w:t>
                  </w:r>
                </w:p>
                <w:p w14:paraId="11FA4202">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JYYQ-1-05-</w:t>
                  </w:r>
                  <w:r>
                    <w:rPr>
                      <w:rFonts w:hint="eastAsia" w:ascii="Times New Roman" w:cs="Times New Roman" w:hAnsiTheme="majorEastAsia" w:eastAsiaTheme="majorEastAsia"/>
                      <w:color w:val="auto"/>
                      <w:sz w:val="21"/>
                      <w:szCs w:val="21"/>
                      <w:lang w:val="en-US" w:eastAsia="zh-CN"/>
                    </w:rPr>
                    <w:t>2</w:t>
                  </w:r>
                </w:p>
              </w:tc>
              <w:tc>
                <w:tcPr>
                  <w:tcW w:w="545" w:type="pct"/>
                  <w:tcBorders>
                    <w:tl2br w:val="nil"/>
                    <w:tr2bl w:val="nil"/>
                  </w:tcBorders>
                  <w:noWrap w:val="0"/>
                  <w:vAlign w:val="center"/>
                </w:tcPr>
                <w:p w14:paraId="11780DCA">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0.07</w:t>
                  </w:r>
                </w:p>
                <w:p w14:paraId="53AD0534">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mg/m</w:t>
                  </w:r>
                  <w:r>
                    <w:rPr>
                      <w:rFonts w:hint="default" w:ascii="Times New Roman" w:cs="Times New Roman" w:hAnsiTheme="majorEastAsia" w:eastAsiaTheme="majorEastAsia"/>
                      <w:color w:val="auto"/>
                      <w:sz w:val="21"/>
                      <w:szCs w:val="21"/>
                      <w:vertAlign w:val="superscript"/>
                      <w:lang w:val="en-US" w:eastAsia="zh-CN"/>
                    </w:rPr>
                    <w:t>3</w:t>
                  </w:r>
                </w:p>
                <w:p w14:paraId="428C9427">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（以碳计）</w:t>
                  </w:r>
                </w:p>
              </w:tc>
            </w:tr>
            <w:tr w14:paraId="3ED2E9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30" w:type="pct"/>
                  <w:tcBorders>
                    <w:tl2br w:val="nil"/>
                    <w:tr2bl w:val="nil"/>
                  </w:tcBorders>
                  <w:noWrap w:val="0"/>
                  <w:vAlign w:val="center"/>
                </w:tcPr>
                <w:p w14:paraId="0759E8C3">
                  <w:pPr>
                    <w:spacing w:after="0"/>
                    <w:jc w:val="center"/>
                    <w:rPr>
                      <w:rFonts w:hint="default"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噪声</w:t>
                  </w:r>
                </w:p>
              </w:tc>
              <w:tc>
                <w:tcPr>
                  <w:tcW w:w="507" w:type="pct"/>
                  <w:tcBorders>
                    <w:tl2br w:val="nil"/>
                    <w:tr2bl w:val="nil"/>
                  </w:tcBorders>
                  <w:noWrap w:val="0"/>
                  <w:vAlign w:val="center"/>
                </w:tcPr>
                <w:p w14:paraId="55C9AE55">
                  <w:pPr>
                    <w:spacing w:after="0"/>
                    <w:jc w:val="center"/>
                    <w:rPr>
                      <w:rFonts w:hint="default" w:ascii="Times New Roman" w:cs="Times New Roman" w:hAnsiTheme="majorEastAsia" w:eastAsiaTheme="majorEastAsia"/>
                      <w:color w:val="auto"/>
                      <w:sz w:val="21"/>
                      <w:szCs w:val="21"/>
                      <w:lang w:val="en-US" w:eastAsia="zh-CN"/>
                    </w:rPr>
                  </w:pPr>
                  <w:r>
                    <w:rPr>
                      <w:rFonts w:hint="eastAsia" w:ascii="Times New Roman" w:cs="Times New Roman" w:hAnsiTheme="majorEastAsia" w:eastAsiaTheme="majorEastAsia"/>
                      <w:color w:val="auto"/>
                      <w:sz w:val="21"/>
                      <w:szCs w:val="21"/>
                      <w:lang w:val="en-US" w:eastAsia="zh-CN"/>
                    </w:rPr>
                    <w:t>厂界环境噪声</w:t>
                  </w:r>
                </w:p>
              </w:tc>
              <w:tc>
                <w:tcPr>
                  <w:tcW w:w="2038" w:type="pct"/>
                  <w:tcBorders>
                    <w:tl2br w:val="nil"/>
                    <w:tr2bl w:val="nil"/>
                  </w:tcBorders>
                  <w:noWrap w:val="0"/>
                  <w:vAlign w:val="center"/>
                </w:tcPr>
                <w:p w14:paraId="34B6C170">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《工业企业厂界环境噪声排放标准》</w:t>
                  </w:r>
                </w:p>
                <w:p w14:paraId="0FF9532F">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GB 12348-2008</w:t>
                  </w:r>
                </w:p>
              </w:tc>
              <w:tc>
                <w:tcPr>
                  <w:tcW w:w="1377" w:type="pct"/>
                  <w:tcBorders>
                    <w:tl2br w:val="nil"/>
                    <w:tr2bl w:val="nil"/>
                  </w:tcBorders>
                  <w:noWrap w:val="0"/>
                  <w:vAlign w:val="center"/>
                </w:tcPr>
                <w:p w14:paraId="600D420B">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多功能声级计</w:t>
                  </w:r>
                </w:p>
                <w:p w14:paraId="005327E0">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AWA5688</w:t>
                  </w:r>
                </w:p>
                <w:p w14:paraId="4FA445E9">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JYYQ-2-04-</w:t>
                  </w:r>
                  <w:r>
                    <w:rPr>
                      <w:rFonts w:hint="eastAsia" w:ascii="Times New Roman" w:cs="Times New Roman" w:hAnsiTheme="majorEastAsia" w:eastAsiaTheme="majorEastAsia"/>
                      <w:color w:val="auto"/>
                      <w:sz w:val="21"/>
                      <w:szCs w:val="21"/>
                      <w:lang w:val="en-US" w:eastAsia="zh-CN"/>
                    </w:rPr>
                    <w:t>7</w:t>
                  </w:r>
                </w:p>
              </w:tc>
              <w:tc>
                <w:tcPr>
                  <w:tcW w:w="545" w:type="pct"/>
                  <w:tcBorders>
                    <w:tl2br w:val="nil"/>
                    <w:tr2bl w:val="nil"/>
                  </w:tcBorders>
                  <w:noWrap w:val="0"/>
                  <w:vAlign w:val="center"/>
                </w:tcPr>
                <w:p w14:paraId="63E2C8FD">
                  <w:pPr>
                    <w:spacing w:after="0"/>
                    <w:jc w:val="center"/>
                    <w:rPr>
                      <w:rFonts w:hint="default" w:ascii="Times New Roman" w:cs="Times New Roman" w:hAnsiTheme="majorEastAsia" w:eastAsiaTheme="majorEastAsia"/>
                      <w:color w:val="auto"/>
                      <w:sz w:val="21"/>
                      <w:szCs w:val="21"/>
                      <w:lang w:val="en-US" w:eastAsia="zh-CN"/>
                    </w:rPr>
                  </w:pPr>
                  <w:r>
                    <w:rPr>
                      <w:rFonts w:hint="default" w:ascii="Times New Roman" w:cs="Times New Roman" w:hAnsiTheme="majorEastAsia" w:eastAsiaTheme="majorEastAsia"/>
                      <w:color w:val="auto"/>
                      <w:sz w:val="21"/>
                      <w:szCs w:val="21"/>
                      <w:lang w:val="en-US" w:eastAsia="zh-CN"/>
                    </w:rPr>
                    <w:t>/</w:t>
                  </w:r>
                </w:p>
              </w:tc>
            </w:tr>
          </w:tbl>
          <w:p w14:paraId="678035D0">
            <w:pPr>
              <w:spacing w:after="0" w:line="440" w:lineRule="exact"/>
              <w:ind w:firstLine="482" w:firstLineChars="200"/>
              <w:textAlignment w:val="baseline"/>
              <w:rPr>
                <w:rFonts w:eastAsia="宋体"/>
                <w:b/>
                <w:bCs/>
                <w:color w:val="auto"/>
                <w:sz w:val="24"/>
                <w:szCs w:val="24"/>
              </w:rPr>
            </w:pPr>
            <w:r>
              <w:rPr>
                <w:rFonts w:eastAsia="宋体"/>
                <w:b/>
                <w:bCs/>
                <w:color w:val="auto"/>
                <w:sz w:val="24"/>
                <w:szCs w:val="24"/>
              </w:rPr>
              <w:t>2、检测质量保证</w:t>
            </w:r>
          </w:p>
          <w:p w14:paraId="4926A0C5">
            <w:pPr>
              <w:spacing w:after="0" w:line="460" w:lineRule="exact"/>
              <w:ind w:firstLine="480" w:firstLineChars="200"/>
              <w:jc w:val="both"/>
              <w:rPr>
                <w:rFonts w:hint="default" w:eastAsia="宋体"/>
                <w:color w:val="auto"/>
                <w:kern w:val="2"/>
                <w:sz w:val="24"/>
                <w:szCs w:val="24"/>
                <w:lang w:val="en-US" w:eastAsia="zh-CN"/>
              </w:rPr>
            </w:pPr>
            <w:r>
              <w:rPr>
                <w:rFonts w:hint="eastAsia" w:eastAsia="宋体"/>
                <w:color w:val="auto"/>
                <w:kern w:val="2"/>
                <w:sz w:val="24"/>
                <w:szCs w:val="24"/>
                <w:lang w:val="en-US" w:eastAsia="zh-CN"/>
              </w:rPr>
              <w:t>（1）</w:t>
            </w:r>
            <w:r>
              <w:rPr>
                <w:rFonts w:hint="default" w:eastAsia="宋体"/>
                <w:color w:val="auto"/>
                <w:kern w:val="2"/>
                <w:sz w:val="24"/>
                <w:szCs w:val="24"/>
                <w:lang w:val="en-US" w:eastAsia="zh-CN"/>
              </w:rPr>
              <w:t>所有检测及分析仪器均经过有资质部门检定/校准，并通过确认，均在有效期内，状态正常。并参照有关计量检定规程定期校验和维护。</w:t>
            </w:r>
          </w:p>
          <w:p w14:paraId="094E06DB">
            <w:pPr>
              <w:spacing w:after="0" w:line="460" w:lineRule="exact"/>
              <w:ind w:firstLine="480" w:firstLineChars="200"/>
              <w:jc w:val="both"/>
              <w:rPr>
                <w:rFonts w:hint="default" w:eastAsia="宋体"/>
                <w:color w:val="auto"/>
                <w:kern w:val="2"/>
                <w:sz w:val="24"/>
                <w:szCs w:val="24"/>
                <w:lang w:val="en-US" w:eastAsia="zh-CN"/>
              </w:rPr>
            </w:pPr>
            <w:r>
              <w:rPr>
                <w:rFonts w:hint="eastAsia" w:eastAsia="宋体"/>
                <w:color w:val="auto"/>
                <w:kern w:val="2"/>
                <w:sz w:val="24"/>
                <w:szCs w:val="24"/>
                <w:lang w:val="en-US" w:eastAsia="zh-CN"/>
              </w:rPr>
              <w:t>（2）检测人员均经考核合格，并持证上岗。</w:t>
            </w:r>
          </w:p>
          <w:p w14:paraId="6ADEC950">
            <w:pPr>
              <w:spacing w:after="0" w:line="460" w:lineRule="exact"/>
              <w:ind w:firstLine="480" w:firstLineChars="200"/>
              <w:jc w:val="both"/>
              <w:rPr>
                <w:rFonts w:hint="default" w:eastAsia="宋体"/>
                <w:color w:val="auto"/>
                <w:kern w:val="2"/>
                <w:sz w:val="24"/>
                <w:szCs w:val="24"/>
                <w:lang w:val="en-US" w:eastAsia="zh-CN"/>
              </w:rPr>
            </w:pPr>
            <w:r>
              <w:rPr>
                <w:rFonts w:hint="eastAsia" w:eastAsia="宋体"/>
                <w:color w:val="auto"/>
                <w:kern w:val="2"/>
                <w:sz w:val="24"/>
                <w:szCs w:val="24"/>
                <w:lang w:val="en-US" w:eastAsia="zh-CN"/>
              </w:rPr>
              <w:t>（3）废气检测前、后用流量校准器对烟尘/气测试仪和大气综合采样器进行流量校准，并按照相关规定进行现场检漏，结果均合格。</w:t>
            </w:r>
          </w:p>
          <w:p w14:paraId="160AD7E9">
            <w:pPr>
              <w:spacing w:after="0" w:line="460" w:lineRule="exact"/>
              <w:ind w:firstLine="480" w:firstLineChars="200"/>
              <w:jc w:val="both"/>
              <w:rPr>
                <w:rFonts w:hint="default" w:eastAsia="宋体"/>
                <w:color w:val="auto"/>
                <w:kern w:val="2"/>
                <w:sz w:val="24"/>
                <w:szCs w:val="24"/>
                <w:lang w:val="en-US" w:eastAsia="zh-CN"/>
              </w:rPr>
            </w:pPr>
            <w:r>
              <w:rPr>
                <w:rFonts w:hint="eastAsia" w:eastAsia="宋体"/>
                <w:color w:val="auto"/>
                <w:kern w:val="2"/>
                <w:sz w:val="24"/>
                <w:szCs w:val="24"/>
                <w:lang w:val="en-US" w:eastAsia="zh-CN"/>
              </w:rPr>
              <w:t>（4）噪声测量前、后用声校准器对声级计进行校准，示值偏差不大于0.5dB。</w:t>
            </w:r>
          </w:p>
          <w:p w14:paraId="4EEA53FF">
            <w:pPr>
              <w:spacing w:after="0" w:line="460" w:lineRule="exact"/>
              <w:ind w:firstLine="480" w:firstLineChars="200"/>
              <w:jc w:val="both"/>
              <w:rPr>
                <w:rFonts w:eastAsia="宋体"/>
                <w:color w:val="auto"/>
                <w:kern w:val="2"/>
                <w:sz w:val="24"/>
                <w:szCs w:val="24"/>
              </w:rPr>
            </w:pPr>
            <w:r>
              <w:rPr>
                <w:rFonts w:hint="eastAsia" w:eastAsia="宋体"/>
                <w:color w:val="auto"/>
                <w:kern w:val="2"/>
                <w:sz w:val="24"/>
                <w:szCs w:val="24"/>
                <w:lang w:val="en-US" w:eastAsia="zh-CN"/>
              </w:rPr>
              <w:t>（5）本</w:t>
            </w:r>
            <w:r>
              <w:rPr>
                <w:rFonts w:hint="default" w:eastAsia="宋体"/>
                <w:color w:val="auto"/>
                <w:kern w:val="2"/>
                <w:sz w:val="24"/>
                <w:szCs w:val="24"/>
              </w:rPr>
              <w:t>项目</w:t>
            </w:r>
            <w:r>
              <w:rPr>
                <w:rFonts w:hint="eastAsia" w:eastAsia="宋体"/>
                <w:color w:val="auto"/>
                <w:kern w:val="2"/>
                <w:sz w:val="24"/>
                <w:szCs w:val="24"/>
                <w:lang w:val="en-US" w:eastAsia="zh-CN"/>
              </w:rPr>
              <w:t>按照国家颁布（或推荐）的标准方法进行检测，同时</w:t>
            </w:r>
            <w:r>
              <w:rPr>
                <w:rFonts w:hint="default" w:eastAsia="宋体"/>
                <w:color w:val="auto"/>
                <w:kern w:val="2"/>
                <w:sz w:val="24"/>
                <w:szCs w:val="24"/>
              </w:rPr>
              <w:t>按</w:t>
            </w:r>
            <w:r>
              <w:rPr>
                <w:rFonts w:hint="eastAsia" w:eastAsia="宋体"/>
                <w:color w:val="auto"/>
                <w:kern w:val="2"/>
                <w:sz w:val="24"/>
                <w:szCs w:val="24"/>
                <w:lang w:val="en-US" w:eastAsia="zh-CN"/>
              </w:rPr>
              <w:t>照国家及我公司相关规定要求进行质量控制，</w:t>
            </w:r>
            <w:r>
              <w:rPr>
                <w:rFonts w:hint="default" w:eastAsia="宋体"/>
                <w:color w:val="auto"/>
                <w:kern w:val="2"/>
                <w:sz w:val="24"/>
                <w:szCs w:val="24"/>
              </w:rPr>
              <w:t>检测数据</w:t>
            </w:r>
            <w:r>
              <w:rPr>
                <w:rFonts w:hint="eastAsia" w:eastAsia="宋体"/>
                <w:color w:val="auto"/>
                <w:kern w:val="2"/>
                <w:sz w:val="24"/>
                <w:szCs w:val="24"/>
                <w:lang w:val="en-US" w:eastAsia="zh-CN"/>
              </w:rPr>
              <w:t>执行</w:t>
            </w:r>
            <w:r>
              <w:rPr>
                <w:rFonts w:hint="default" w:eastAsia="宋体"/>
                <w:color w:val="auto"/>
                <w:kern w:val="2"/>
                <w:sz w:val="24"/>
                <w:szCs w:val="24"/>
              </w:rPr>
              <w:t>三级审核</w:t>
            </w:r>
            <w:r>
              <w:rPr>
                <w:rFonts w:hint="eastAsia" w:eastAsia="宋体"/>
                <w:color w:val="auto"/>
                <w:kern w:val="2"/>
                <w:sz w:val="24"/>
                <w:szCs w:val="24"/>
                <w:lang w:val="en-US" w:eastAsia="zh-CN"/>
              </w:rPr>
              <w:t>制度。</w:t>
            </w:r>
          </w:p>
          <w:p w14:paraId="0D9530CD">
            <w:pPr>
              <w:spacing w:after="0" w:line="460" w:lineRule="exact"/>
              <w:jc w:val="both"/>
              <w:rPr>
                <w:rFonts w:eastAsia="宋体"/>
                <w:color w:val="auto"/>
                <w:kern w:val="2"/>
                <w:sz w:val="24"/>
                <w:szCs w:val="24"/>
              </w:rPr>
            </w:pPr>
          </w:p>
          <w:p w14:paraId="27B6CDF4">
            <w:pPr>
              <w:pStyle w:val="18"/>
              <w:rPr>
                <w:rFonts w:eastAsia="宋体"/>
                <w:color w:val="auto"/>
                <w:kern w:val="2"/>
                <w:sz w:val="24"/>
                <w:szCs w:val="24"/>
              </w:rPr>
            </w:pPr>
          </w:p>
          <w:p w14:paraId="185146E7">
            <w:pPr>
              <w:rPr>
                <w:rFonts w:eastAsia="宋体"/>
                <w:color w:val="auto"/>
                <w:kern w:val="2"/>
                <w:sz w:val="24"/>
                <w:szCs w:val="24"/>
              </w:rPr>
            </w:pPr>
          </w:p>
          <w:p w14:paraId="267A595B">
            <w:pPr>
              <w:pStyle w:val="18"/>
              <w:rPr>
                <w:rFonts w:eastAsia="宋体"/>
                <w:color w:val="auto"/>
                <w:kern w:val="2"/>
                <w:sz w:val="24"/>
                <w:szCs w:val="24"/>
              </w:rPr>
            </w:pPr>
          </w:p>
          <w:p w14:paraId="4849E627"/>
        </w:tc>
      </w:tr>
    </w:tbl>
    <w:p w14:paraId="085802E1">
      <w:pPr>
        <w:spacing w:line="360" w:lineRule="auto"/>
        <w:rPr>
          <w:rFonts w:eastAsia="仿宋_GB2312"/>
          <w:color w:val="auto"/>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33731FE5">
      <w:pPr>
        <w:spacing w:after="0" w:line="440" w:lineRule="exact"/>
        <w:rPr>
          <w:rFonts w:eastAsia="仿宋_GB2312"/>
          <w:b/>
          <w:color w:val="auto"/>
          <w:sz w:val="21"/>
          <w:szCs w:val="21"/>
        </w:rPr>
      </w:pPr>
      <w:r>
        <w:rPr>
          <w:rFonts w:eastAsia="仿宋_GB2312"/>
          <w:b/>
          <w:color w:val="auto"/>
          <w:sz w:val="21"/>
          <w:szCs w:val="21"/>
        </w:rPr>
        <w:t>表六</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3798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66" w:hRule="atLeast"/>
          <w:jc w:val="center"/>
        </w:trPr>
        <w:tc>
          <w:tcPr>
            <w:tcW w:w="5000" w:type="pct"/>
          </w:tcPr>
          <w:p w14:paraId="629B69D5">
            <w:pPr>
              <w:spacing w:after="0" w:line="520" w:lineRule="exact"/>
              <w:textAlignment w:val="baseline"/>
              <w:rPr>
                <w:rFonts w:eastAsia="黑体"/>
                <w:bCs/>
                <w:color w:val="auto"/>
                <w:sz w:val="24"/>
                <w:szCs w:val="24"/>
              </w:rPr>
            </w:pPr>
            <w:r>
              <w:rPr>
                <w:rFonts w:eastAsia="黑体"/>
                <w:bCs/>
                <w:color w:val="auto"/>
                <w:sz w:val="24"/>
                <w:szCs w:val="24"/>
              </w:rPr>
              <w:t>验收监测内容：</w:t>
            </w:r>
          </w:p>
          <w:p w14:paraId="7F3801D1">
            <w:pPr>
              <w:spacing w:after="0" w:line="460" w:lineRule="exact"/>
              <w:ind w:firstLine="480" w:firstLineChars="200"/>
              <w:jc w:val="both"/>
              <w:rPr>
                <w:rFonts w:eastAsia="宋体"/>
                <w:color w:val="auto"/>
                <w:kern w:val="2"/>
                <w:sz w:val="24"/>
                <w:szCs w:val="24"/>
              </w:rPr>
            </w:pPr>
            <w:r>
              <w:rPr>
                <w:rFonts w:eastAsia="宋体"/>
                <w:color w:val="auto"/>
                <w:kern w:val="2"/>
                <w:sz w:val="24"/>
                <w:szCs w:val="24"/>
              </w:rPr>
              <w:t>检测内容通过对现场的调查与核实，确定验收期间监测因子、监测点位、监测频次见下表。</w:t>
            </w:r>
          </w:p>
          <w:p w14:paraId="22AAAF48">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验收监测内容</w:t>
            </w:r>
          </w:p>
          <w:tbl>
            <w:tblPr>
              <w:tblStyle w:val="20"/>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2609"/>
              <w:gridCol w:w="2596"/>
              <w:gridCol w:w="2545"/>
            </w:tblGrid>
            <w:tr w14:paraId="4ED7AFB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28" w:type="pct"/>
                  <w:vAlign w:val="center"/>
                </w:tcPr>
                <w:p w14:paraId="0913167B">
                  <w:pPr>
                    <w:spacing w:after="0"/>
                    <w:jc w:val="center"/>
                    <w:rPr>
                      <w:rFonts w:eastAsiaTheme="majorEastAsia"/>
                      <w:b/>
                      <w:bCs/>
                      <w:color w:val="auto"/>
                      <w:kern w:val="2"/>
                      <w:sz w:val="21"/>
                      <w:szCs w:val="21"/>
                    </w:rPr>
                  </w:pPr>
                  <w:r>
                    <w:rPr>
                      <w:rFonts w:eastAsiaTheme="majorEastAsia"/>
                      <w:b/>
                      <w:bCs/>
                      <w:color w:val="auto"/>
                      <w:kern w:val="2"/>
                      <w:sz w:val="21"/>
                      <w:szCs w:val="21"/>
                    </w:rPr>
                    <w:t>检测类别</w:t>
                  </w:r>
                </w:p>
              </w:tc>
              <w:tc>
                <w:tcPr>
                  <w:tcW w:w="1437" w:type="pct"/>
                  <w:vAlign w:val="center"/>
                </w:tcPr>
                <w:p w14:paraId="3C521E70">
                  <w:pPr>
                    <w:spacing w:after="0"/>
                    <w:jc w:val="center"/>
                    <w:rPr>
                      <w:rFonts w:eastAsiaTheme="majorEastAsia"/>
                      <w:b/>
                      <w:bCs/>
                      <w:color w:val="auto"/>
                      <w:kern w:val="2"/>
                      <w:sz w:val="21"/>
                      <w:szCs w:val="21"/>
                    </w:rPr>
                  </w:pPr>
                  <w:r>
                    <w:rPr>
                      <w:rFonts w:eastAsiaTheme="majorEastAsia"/>
                      <w:b/>
                      <w:bCs/>
                      <w:color w:val="auto"/>
                      <w:kern w:val="2"/>
                      <w:sz w:val="21"/>
                      <w:szCs w:val="21"/>
                    </w:rPr>
                    <w:t>采样点位</w:t>
                  </w:r>
                </w:p>
              </w:tc>
              <w:tc>
                <w:tcPr>
                  <w:tcW w:w="1430" w:type="pct"/>
                  <w:vAlign w:val="center"/>
                </w:tcPr>
                <w:p w14:paraId="3566798B">
                  <w:pPr>
                    <w:spacing w:after="0"/>
                    <w:jc w:val="center"/>
                    <w:rPr>
                      <w:rFonts w:eastAsiaTheme="majorEastAsia"/>
                      <w:b/>
                      <w:bCs/>
                      <w:color w:val="auto"/>
                      <w:kern w:val="2"/>
                      <w:sz w:val="21"/>
                      <w:szCs w:val="21"/>
                    </w:rPr>
                  </w:pPr>
                  <w:r>
                    <w:rPr>
                      <w:rFonts w:eastAsiaTheme="majorEastAsia"/>
                      <w:b/>
                      <w:bCs/>
                      <w:color w:val="auto"/>
                      <w:kern w:val="2"/>
                      <w:sz w:val="21"/>
                      <w:szCs w:val="21"/>
                    </w:rPr>
                    <w:t>检测项目</w:t>
                  </w:r>
                </w:p>
              </w:tc>
              <w:tc>
                <w:tcPr>
                  <w:tcW w:w="1402" w:type="pct"/>
                  <w:vAlign w:val="center"/>
                </w:tcPr>
                <w:p w14:paraId="37518E95">
                  <w:pPr>
                    <w:spacing w:after="0"/>
                    <w:jc w:val="center"/>
                    <w:rPr>
                      <w:rFonts w:eastAsiaTheme="majorEastAsia"/>
                      <w:b/>
                      <w:bCs/>
                      <w:color w:val="auto"/>
                      <w:kern w:val="2"/>
                      <w:sz w:val="21"/>
                      <w:szCs w:val="21"/>
                    </w:rPr>
                  </w:pPr>
                  <w:r>
                    <w:rPr>
                      <w:rFonts w:eastAsiaTheme="majorEastAsia"/>
                      <w:b/>
                      <w:bCs/>
                      <w:color w:val="auto"/>
                      <w:kern w:val="2"/>
                      <w:sz w:val="21"/>
                      <w:szCs w:val="21"/>
                    </w:rPr>
                    <w:t>检测频次</w:t>
                  </w:r>
                </w:p>
              </w:tc>
            </w:tr>
            <w:tr w14:paraId="28A1921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8" w:type="pct"/>
                  <w:vAlign w:val="center"/>
                </w:tcPr>
                <w:p w14:paraId="2E09382C">
                  <w:pPr>
                    <w:spacing w:after="0"/>
                    <w:jc w:val="center"/>
                    <w:rPr>
                      <w:rFonts w:eastAsia="宋体"/>
                      <w:color w:val="auto"/>
                      <w:sz w:val="21"/>
                      <w:szCs w:val="21"/>
                    </w:rPr>
                  </w:pPr>
                  <w:r>
                    <w:rPr>
                      <w:rFonts w:hint="eastAsia" w:eastAsia="宋体"/>
                      <w:color w:val="auto"/>
                      <w:sz w:val="21"/>
                      <w:szCs w:val="21"/>
                    </w:rPr>
                    <w:t>废气</w:t>
                  </w:r>
                </w:p>
                <w:p w14:paraId="307F6544">
                  <w:pPr>
                    <w:spacing w:after="0"/>
                    <w:jc w:val="center"/>
                    <w:rPr>
                      <w:rFonts w:hint="eastAsia" w:eastAsia="宋体"/>
                      <w:color w:val="auto"/>
                      <w:sz w:val="21"/>
                      <w:szCs w:val="21"/>
                    </w:rPr>
                  </w:pPr>
                  <w:r>
                    <w:rPr>
                      <w:rFonts w:hint="eastAsia" w:eastAsia="宋体"/>
                      <w:color w:val="auto"/>
                      <w:sz w:val="21"/>
                      <w:szCs w:val="21"/>
                    </w:rPr>
                    <w:t>（</w:t>
                  </w:r>
                  <w:r>
                    <w:rPr>
                      <w:rFonts w:hint="eastAsia" w:eastAsia="宋体"/>
                      <w:color w:val="auto"/>
                      <w:sz w:val="21"/>
                      <w:szCs w:val="21"/>
                      <w:lang w:val="en-US" w:eastAsia="zh-CN"/>
                    </w:rPr>
                    <w:t>有</w:t>
                  </w:r>
                  <w:r>
                    <w:rPr>
                      <w:rFonts w:hint="eastAsia" w:eastAsia="宋体"/>
                      <w:color w:val="auto"/>
                      <w:sz w:val="21"/>
                      <w:szCs w:val="21"/>
                    </w:rPr>
                    <w:t>组织）</w:t>
                  </w:r>
                </w:p>
              </w:tc>
              <w:tc>
                <w:tcPr>
                  <w:tcW w:w="1437" w:type="pct"/>
                  <w:vAlign w:val="center"/>
                </w:tcPr>
                <w:p w14:paraId="5C7F88C8">
                  <w:pPr>
                    <w:spacing w:after="0"/>
                    <w:jc w:val="center"/>
                    <w:rPr>
                      <w:rFonts w:hint="eastAsia" w:eastAsia="宋体"/>
                      <w:color w:val="auto"/>
                      <w:sz w:val="21"/>
                      <w:szCs w:val="21"/>
                    </w:rPr>
                  </w:pPr>
                  <w:r>
                    <w:rPr>
                      <w:rFonts w:hint="default" w:ascii="Times New Roman" w:hAnsi="Times New Roman"/>
                      <w:szCs w:val="21"/>
                    </w:rPr>
                    <w:t>DA001</w:t>
                  </w:r>
                  <w:r>
                    <w:rPr>
                      <w:rFonts w:hint="default" w:ascii="Times New Roman" w:hAnsi="Times New Roman" w:eastAsia="宋体"/>
                      <w:szCs w:val="21"/>
                      <w:lang w:bidi="ar"/>
                    </w:rPr>
                    <w:t>进口、出口</w:t>
                  </w:r>
                </w:p>
              </w:tc>
              <w:tc>
                <w:tcPr>
                  <w:tcW w:w="1430" w:type="pct"/>
                  <w:vAlign w:val="center"/>
                </w:tcPr>
                <w:p w14:paraId="482CBC1D">
                  <w:pPr>
                    <w:spacing w:after="0"/>
                    <w:jc w:val="center"/>
                    <w:rPr>
                      <w:rFonts w:hint="eastAsia" w:eastAsia="宋体"/>
                      <w:color w:val="auto"/>
                      <w:sz w:val="21"/>
                      <w:szCs w:val="21"/>
                      <w:lang w:val="en-US" w:eastAsia="zh-CN"/>
                    </w:rPr>
                  </w:pPr>
                  <w:r>
                    <w:rPr>
                      <w:rFonts w:hint="eastAsia" w:eastAsia="宋体"/>
                      <w:color w:val="auto"/>
                      <w:sz w:val="21"/>
                      <w:szCs w:val="21"/>
                      <w:lang w:val="en-US" w:eastAsia="zh-CN"/>
                    </w:rPr>
                    <w:t>废气流量、非甲烷总烃</w:t>
                  </w:r>
                  <w:r>
                    <w:rPr>
                      <w:rFonts w:hint="default" w:ascii="Times New Roman" w:hAnsi="Times New Roman" w:eastAsia="宋体" w:cs="Times New Roman"/>
                      <w:color w:val="000000"/>
                      <w:sz w:val="21"/>
                      <w:szCs w:val="21"/>
                      <w:lang w:val="en-US" w:eastAsia="zh-CN" w:bidi="ar-SA"/>
                    </w:rPr>
                    <w:t>浓度及排放速率</w:t>
                  </w:r>
                </w:p>
              </w:tc>
              <w:tc>
                <w:tcPr>
                  <w:tcW w:w="1402" w:type="pct"/>
                  <w:vAlign w:val="center"/>
                </w:tcPr>
                <w:p w14:paraId="4F5583F5">
                  <w:pPr>
                    <w:keepNext w:val="0"/>
                    <w:keepLines w:val="0"/>
                    <w:pageBreakBefore w:val="0"/>
                    <w:widowControl/>
                    <w:kinsoku/>
                    <w:wordWrap/>
                    <w:overflowPunct/>
                    <w:topLinePunct w:val="0"/>
                    <w:autoSpaceDE/>
                    <w:autoSpaceDN/>
                    <w:bidi w:val="0"/>
                    <w:adjustRightInd/>
                    <w:snapToGrid/>
                    <w:spacing w:after="0"/>
                    <w:ind w:left="-110" w:leftChars="-50" w:right="-110" w:rightChars="-5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3次/周期，</w:t>
                  </w:r>
                </w:p>
                <w:p w14:paraId="4A705A35">
                  <w:pPr>
                    <w:spacing w:after="0"/>
                    <w:jc w:val="center"/>
                    <w:rPr>
                      <w:rFonts w:hint="eastAsia" w:eastAsia="宋体"/>
                      <w:color w:val="auto"/>
                      <w:sz w:val="21"/>
                      <w:szCs w:val="21"/>
                    </w:rPr>
                  </w:pPr>
                  <w:r>
                    <w:rPr>
                      <w:rFonts w:hint="default" w:ascii="Times New Roman" w:hAnsi="Times New Roman" w:eastAsia="宋体" w:cs="Times New Roman"/>
                      <w:color w:val="000000"/>
                      <w:sz w:val="21"/>
                      <w:szCs w:val="21"/>
                      <w:lang w:val="en-US" w:eastAsia="zh-CN"/>
                    </w:rPr>
                    <w:t>连续检测2周期</w:t>
                  </w:r>
                </w:p>
              </w:tc>
            </w:tr>
            <w:tr w14:paraId="322225B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8" w:type="pct"/>
                  <w:vAlign w:val="center"/>
                </w:tcPr>
                <w:p w14:paraId="3DA2BDD4">
                  <w:pPr>
                    <w:spacing w:after="0"/>
                    <w:jc w:val="center"/>
                    <w:rPr>
                      <w:rFonts w:eastAsia="宋体"/>
                      <w:color w:val="auto"/>
                      <w:sz w:val="21"/>
                      <w:szCs w:val="21"/>
                    </w:rPr>
                  </w:pPr>
                  <w:r>
                    <w:rPr>
                      <w:rFonts w:hint="eastAsia" w:eastAsia="宋体"/>
                      <w:color w:val="auto"/>
                      <w:sz w:val="21"/>
                      <w:szCs w:val="21"/>
                    </w:rPr>
                    <w:t>废气</w:t>
                  </w:r>
                </w:p>
                <w:p w14:paraId="7B5742C3">
                  <w:pPr>
                    <w:spacing w:after="0"/>
                    <w:jc w:val="center"/>
                    <w:rPr>
                      <w:rFonts w:eastAsia="宋体"/>
                      <w:color w:val="auto"/>
                      <w:sz w:val="21"/>
                      <w:szCs w:val="21"/>
                    </w:rPr>
                  </w:pPr>
                  <w:r>
                    <w:rPr>
                      <w:rFonts w:hint="eastAsia" w:eastAsia="宋体"/>
                      <w:color w:val="auto"/>
                      <w:sz w:val="21"/>
                      <w:szCs w:val="21"/>
                    </w:rPr>
                    <w:t>（无组织）</w:t>
                  </w:r>
                </w:p>
              </w:tc>
              <w:tc>
                <w:tcPr>
                  <w:tcW w:w="1437" w:type="pct"/>
                  <w:vAlign w:val="center"/>
                </w:tcPr>
                <w:p w14:paraId="5DA920FC">
                  <w:pPr>
                    <w:spacing w:after="0"/>
                    <w:jc w:val="center"/>
                    <w:rPr>
                      <w:rFonts w:eastAsia="宋体"/>
                      <w:color w:val="auto"/>
                      <w:sz w:val="21"/>
                      <w:szCs w:val="21"/>
                    </w:rPr>
                  </w:pPr>
                  <w:r>
                    <w:rPr>
                      <w:rFonts w:hint="eastAsia" w:eastAsia="宋体"/>
                      <w:color w:val="auto"/>
                      <w:sz w:val="21"/>
                      <w:szCs w:val="21"/>
                    </w:rPr>
                    <w:t>厂界上风向</w:t>
                  </w:r>
                  <w:r>
                    <w:rPr>
                      <w:rFonts w:eastAsia="宋体"/>
                      <w:color w:val="auto"/>
                      <w:sz w:val="21"/>
                      <w:szCs w:val="21"/>
                    </w:rPr>
                    <w:t>1</w:t>
                  </w:r>
                  <w:r>
                    <w:rPr>
                      <w:rFonts w:hint="eastAsia" w:eastAsia="宋体"/>
                      <w:color w:val="auto"/>
                      <w:sz w:val="21"/>
                      <w:szCs w:val="21"/>
                    </w:rPr>
                    <w:t>个参照点、下风向</w:t>
                  </w:r>
                  <w:r>
                    <w:rPr>
                      <w:rFonts w:eastAsia="宋体"/>
                      <w:color w:val="auto"/>
                      <w:sz w:val="21"/>
                      <w:szCs w:val="21"/>
                    </w:rPr>
                    <w:t>3</w:t>
                  </w:r>
                  <w:r>
                    <w:rPr>
                      <w:rFonts w:hint="eastAsia" w:eastAsia="宋体"/>
                      <w:color w:val="auto"/>
                      <w:sz w:val="21"/>
                      <w:szCs w:val="21"/>
                    </w:rPr>
                    <w:t>个监控点</w:t>
                  </w:r>
                </w:p>
              </w:tc>
              <w:tc>
                <w:tcPr>
                  <w:tcW w:w="1430" w:type="pct"/>
                  <w:vAlign w:val="center"/>
                </w:tcPr>
                <w:p w14:paraId="3C633DFC">
                  <w:pPr>
                    <w:spacing w:after="0"/>
                    <w:jc w:val="center"/>
                    <w:rPr>
                      <w:rFonts w:eastAsia="宋体"/>
                      <w:color w:val="auto"/>
                      <w:sz w:val="21"/>
                      <w:szCs w:val="21"/>
                    </w:rPr>
                  </w:pPr>
                  <w:r>
                    <w:rPr>
                      <w:rFonts w:hint="eastAsia" w:eastAsia="宋体"/>
                      <w:color w:val="auto"/>
                      <w:sz w:val="21"/>
                      <w:szCs w:val="21"/>
                      <w:lang w:val="en-US" w:eastAsia="zh-CN"/>
                    </w:rPr>
                    <w:t>非甲烷总烃</w:t>
                  </w:r>
                </w:p>
              </w:tc>
              <w:tc>
                <w:tcPr>
                  <w:tcW w:w="1402" w:type="pct"/>
                  <w:vAlign w:val="center"/>
                </w:tcPr>
                <w:p w14:paraId="6CC8E77F">
                  <w:pPr>
                    <w:spacing w:after="0"/>
                    <w:jc w:val="center"/>
                    <w:rPr>
                      <w:rFonts w:hint="default" w:eastAsia="宋体"/>
                      <w:color w:val="auto"/>
                      <w:sz w:val="21"/>
                      <w:szCs w:val="21"/>
                      <w:lang w:val="en-US" w:eastAsia="zh-CN"/>
                    </w:rPr>
                  </w:pPr>
                  <w:r>
                    <w:rPr>
                      <w:rFonts w:hint="eastAsia" w:eastAsia="宋体"/>
                      <w:color w:val="auto"/>
                      <w:sz w:val="21"/>
                      <w:szCs w:val="21"/>
                      <w:lang w:val="en-US" w:eastAsia="zh-CN"/>
                    </w:rPr>
                    <w:t>4</w:t>
                  </w:r>
                  <w:r>
                    <w:rPr>
                      <w:rFonts w:hint="default" w:eastAsia="宋体"/>
                      <w:color w:val="auto"/>
                      <w:sz w:val="21"/>
                      <w:szCs w:val="21"/>
                      <w:lang w:val="en-US" w:eastAsia="zh-CN"/>
                    </w:rPr>
                    <w:t>次/天，</w:t>
                  </w:r>
                </w:p>
                <w:p w14:paraId="62BEB135">
                  <w:pPr>
                    <w:spacing w:after="0"/>
                    <w:jc w:val="center"/>
                    <w:rPr>
                      <w:rFonts w:eastAsia="宋体"/>
                      <w:color w:val="auto"/>
                      <w:sz w:val="21"/>
                      <w:szCs w:val="21"/>
                    </w:rPr>
                  </w:pPr>
                  <w:r>
                    <w:rPr>
                      <w:rFonts w:hint="default" w:eastAsia="宋体"/>
                      <w:color w:val="auto"/>
                      <w:sz w:val="21"/>
                      <w:szCs w:val="21"/>
                      <w:lang w:val="en-US" w:eastAsia="zh-CN"/>
                    </w:rPr>
                    <w:t>连续检测2天</w:t>
                  </w:r>
                </w:p>
              </w:tc>
            </w:tr>
            <w:tr w14:paraId="4D4213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8" w:type="pct"/>
                  <w:vAlign w:val="center"/>
                </w:tcPr>
                <w:p w14:paraId="4E1401C3">
                  <w:pPr>
                    <w:spacing w:after="0"/>
                    <w:jc w:val="center"/>
                    <w:rPr>
                      <w:rFonts w:eastAsia="宋体"/>
                      <w:color w:val="auto"/>
                      <w:sz w:val="21"/>
                      <w:szCs w:val="21"/>
                    </w:rPr>
                  </w:pPr>
                  <w:r>
                    <w:rPr>
                      <w:rFonts w:eastAsia="宋体"/>
                      <w:color w:val="auto"/>
                      <w:sz w:val="21"/>
                      <w:szCs w:val="21"/>
                    </w:rPr>
                    <w:t>噪声</w:t>
                  </w:r>
                </w:p>
              </w:tc>
              <w:tc>
                <w:tcPr>
                  <w:tcW w:w="1437" w:type="pct"/>
                  <w:vAlign w:val="center"/>
                </w:tcPr>
                <w:p w14:paraId="70946782">
                  <w:pPr>
                    <w:spacing w:after="0"/>
                    <w:jc w:val="center"/>
                    <w:rPr>
                      <w:rFonts w:hint="default" w:eastAsia="宋体"/>
                      <w:color w:val="auto"/>
                      <w:sz w:val="21"/>
                      <w:szCs w:val="21"/>
                      <w:lang w:val="en-US" w:eastAsia="zh-CN"/>
                    </w:rPr>
                  </w:pPr>
                  <w:r>
                    <w:rPr>
                      <w:rFonts w:hint="eastAsia" w:eastAsia="宋体"/>
                      <w:color w:val="auto"/>
                      <w:sz w:val="21"/>
                      <w:szCs w:val="21"/>
                      <w:lang w:val="en-US" w:eastAsia="zh-CN"/>
                    </w:rPr>
                    <w:t>厂界四周外1m处</w:t>
                  </w:r>
                </w:p>
              </w:tc>
              <w:tc>
                <w:tcPr>
                  <w:tcW w:w="1430" w:type="pct"/>
                  <w:vAlign w:val="center"/>
                </w:tcPr>
                <w:p w14:paraId="0853E5FC">
                  <w:pPr>
                    <w:spacing w:after="0"/>
                    <w:jc w:val="center"/>
                    <w:rPr>
                      <w:rFonts w:eastAsia="宋体"/>
                      <w:color w:val="auto"/>
                      <w:sz w:val="21"/>
                      <w:szCs w:val="21"/>
                    </w:rPr>
                  </w:pPr>
                  <w:r>
                    <w:rPr>
                      <w:rFonts w:eastAsia="宋体"/>
                      <w:color w:val="auto"/>
                      <w:sz w:val="21"/>
                      <w:szCs w:val="21"/>
                    </w:rPr>
                    <w:t>等效连续A声级</w:t>
                  </w:r>
                </w:p>
              </w:tc>
              <w:tc>
                <w:tcPr>
                  <w:tcW w:w="1402" w:type="pct"/>
                  <w:vAlign w:val="center"/>
                </w:tcPr>
                <w:p w14:paraId="15AA9C7D">
                  <w:pPr>
                    <w:spacing w:after="0"/>
                    <w:jc w:val="center"/>
                    <w:rPr>
                      <w:rFonts w:eastAsia="宋体"/>
                      <w:color w:val="auto"/>
                      <w:sz w:val="21"/>
                      <w:szCs w:val="21"/>
                    </w:rPr>
                  </w:pPr>
                  <w:r>
                    <w:rPr>
                      <w:rFonts w:hint="eastAsia" w:ascii="Times New Roman" w:hAnsi="Times New Roman" w:eastAsia="宋体" w:cs="Times New Roman"/>
                      <w:color w:val="000000"/>
                      <w:sz w:val="21"/>
                      <w:szCs w:val="21"/>
                      <w:vertAlign w:val="baseline"/>
                      <w:lang w:val="en-US" w:eastAsia="zh-CN"/>
                    </w:rPr>
                    <w:t>每天</w:t>
                  </w:r>
                  <w:r>
                    <w:rPr>
                      <w:rFonts w:hint="default" w:ascii="Times New Roman" w:hAnsi="Times New Roman" w:eastAsia="宋体" w:cs="Times New Roman"/>
                      <w:color w:val="000000"/>
                      <w:sz w:val="21"/>
                      <w:szCs w:val="21"/>
                      <w:vertAlign w:val="baseline"/>
                      <w:lang w:val="en-US" w:eastAsia="zh-CN"/>
                    </w:rPr>
                    <w:t>昼间</w:t>
                  </w:r>
                  <w:r>
                    <w:rPr>
                      <w:rFonts w:hint="eastAsia" w:ascii="Times New Roman" w:hAnsi="Times New Roman" w:eastAsia="宋体" w:cs="Times New Roman"/>
                      <w:color w:val="000000"/>
                      <w:sz w:val="21"/>
                      <w:szCs w:val="21"/>
                      <w:vertAlign w:val="baseline"/>
                      <w:lang w:val="en-US" w:eastAsia="zh-CN"/>
                    </w:rPr>
                    <w:t>、夜间各</w:t>
                  </w:r>
                  <w:r>
                    <w:rPr>
                      <w:rFonts w:hint="default" w:ascii="Times New Roman" w:hAnsi="Times New Roman" w:eastAsia="宋体" w:cs="Times New Roman"/>
                      <w:color w:val="000000"/>
                      <w:sz w:val="21"/>
                      <w:szCs w:val="21"/>
                      <w:vertAlign w:val="baseline"/>
                      <w:lang w:val="en-US" w:eastAsia="zh-CN"/>
                    </w:rPr>
                    <w:t>检测1次，连续检测2天</w:t>
                  </w:r>
                </w:p>
              </w:tc>
            </w:tr>
          </w:tbl>
          <w:p w14:paraId="12CFE172">
            <w:pPr>
              <w:spacing w:after="0" w:line="480" w:lineRule="exact"/>
              <w:ind w:firstLine="480" w:firstLineChars="200"/>
              <w:textAlignment w:val="baseline"/>
              <w:rPr>
                <w:rFonts w:eastAsia="黑体"/>
                <w:bCs/>
                <w:color w:val="auto"/>
                <w:sz w:val="24"/>
                <w:szCs w:val="24"/>
              </w:rPr>
            </w:pPr>
          </w:p>
          <w:p w14:paraId="4C088909">
            <w:pPr>
              <w:spacing w:after="0" w:line="480" w:lineRule="exact"/>
              <w:ind w:firstLine="480" w:firstLineChars="200"/>
              <w:textAlignment w:val="baseline"/>
              <w:rPr>
                <w:rFonts w:eastAsia="黑体"/>
                <w:bCs/>
                <w:color w:val="auto"/>
                <w:sz w:val="24"/>
                <w:szCs w:val="24"/>
              </w:rPr>
            </w:pPr>
          </w:p>
          <w:p w14:paraId="7E7E0811">
            <w:pPr>
              <w:spacing w:after="0" w:line="480" w:lineRule="exact"/>
              <w:ind w:firstLine="480" w:firstLineChars="200"/>
              <w:textAlignment w:val="baseline"/>
              <w:rPr>
                <w:rFonts w:eastAsia="黑体"/>
                <w:bCs/>
                <w:color w:val="auto"/>
                <w:sz w:val="24"/>
                <w:szCs w:val="24"/>
              </w:rPr>
            </w:pPr>
          </w:p>
          <w:p w14:paraId="4408604C">
            <w:pPr>
              <w:spacing w:after="0" w:line="480" w:lineRule="exact"/>
              <w:ind w:firstLine="480" w:firstLineChars="200"/>
              <w:textAlignment w:val="baseline"/>
              <w:rPr>
                <w:rFonts w:eastAsia="黑体"/>
                <w:bCs/>
                <w:color w:val="auto"/>
                <w:sz w:val="24"/>
                <w:szCs w:val="24"/>
              </w:rPr>
            </w:pPr>
          </w:p>
          <w:p w14:paraId="106321A6">
            <w:pPr>
              <w:spacing w:after="0" w:line="480" w:lineRule="exact"/>
              <w:ind w:firstLine="480" w:firstLineChars="200"/>
              <w:textAlignment w:val="baseline"/>
              <w:rPr>
                <w:rFonts w:eastAsia="黑体"/>
                <w:bCs/>
                <w:color w:val="auto"/>
                <w:sz w:val="24"/>
                <w:szCs w:val="24"/>
              </w:rPr>
            </w:pPr>
          </w:p>
          <w:p w14:paraId="460E8F35">
            <w:pPr>
              <w:spacing w:after="0" w:line="480" w:lineRule="exact"/>
              <w:ind w:firstLine="420" w:firstLineChars="200"/>
              <w:textAlignment w:val="baseline"/>
              <w:rPr>
                <w:rFonts w:eastAsia="仿宋_GB2312"/>
                <w:color w:val="auto"/>
                <w:sz w:val="21"/>
                <w:szCs w:val="21"/>
              </w:rPr>
            </w:pPr>
          </w:p>
        </w:tc>
      </w:tr>
    </w:tbl>
    <w:p w14:paraId="79993233">
      <w:pPr>
        <w:spacing w:after="0" w:line="360" w:lineRule="auto"/>
        <w:rPr>
          <w:rFonts w:eastAsia="仿宋_GB2312"/>
          <w:b/>
          <w:color w:val="auto"/>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0527BB41">
      <w:pPr>
        <w:spacing w:after="0" w:line="440" w:lineRule="exact"/>
        <w:rPr>
          <w:rFonts w:eastAsia="仿宋_GB2312"/>
          <w:b/>
          <w:color w:val="auto"/>
          <w:sz w:val="21"/>
          <w:szCs w:val="21"/>
        </w:rPr>
      </w:pPr>
      <w:r>
        <w:rPr>
          <w:rFonts w:eastAsia="仿宋_GB2312"/>
          <w:b/>
          <w:color w:val="auto"/>
          <w:sz w:val="21"/>
          <w:szCs w:val="21"/>
        </w:rPr>
        <w:t>表七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556B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9" w:hRule="atLeast"/>
          <w:jc w:val="center"/>
        </w:trPr>
        <w:tc>
          <w:tcPr>
            <w:tcW w:w="5000" w:type="pct"/>
          </w:tcPr>
          <w:p w14:paraId="60474F4E">
            <w:pPr>
              <w:spacing w:after="0" w:line="520" w:lineRule="exact"/>
              <w:textAlignment w:val="baseline"/>
              <w:rPr>
                <w:rFonts w:eastAsia="黑体"/>
                <w:bCs/>
                <w:color w:val="auto"/>
                <w:sz w:val="24"/>
                <w:szCs w:val="24"/>
              </w:rPr>
            </w:pPr>
            <w:r>
              <w:rPr>
                <w:rFonts w:eastAsia="黑体"/>
                <w:bCs/>
                <w:color w:val="auto"/>
                <w:sz w:val="24"/>
                <w:szCs w:val="24"/>
              </w:rPr>
              <w:t>验收监测期间生产工况记录：</w:t>
            </w:r>
          </w:p>
          <w:p w14:paraId="2ABA40FF">
            <w:pPr>
              <w:spacing w:after="0" w:line="460" w:lineRule="exact"/>
              <w:ind w:firstLine="480" w:firstLineChars="200"/>
              <w:jc w:val="both"/>
              <w:rPr>
                <w:rFonts w:eastAsia="宋体"/>
                <w:color w:val="auto"/>
                <w:kern w:val="2"/>
                <w:sz w:val="24"/>
                <w:szCs w:val="24"/>
              </w:rPr>
            </w:pPr>
            <w:r>
              <w:rPr>
                <w:rFonts w:eastAsia="宋体"/>
                <w:color w:val="auto"/>
                <w:kern w:val="2"/>
                <w:sz w:val="24"/>
                <w:szCs w:val="24"/>
              </w:rPr>
              <w:t>验收检测期间，该项目正常生产，主体工程调试工况稳定，各项污染防治设施运行稳定，符合验收检测期间对生产工况的要求。生产运行工况见下表。</w:t>
            </w:r>
          </w:p>
          <w:p w14:paraId="465C526C">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检测期间生产运行工况表</w:t>
            </w:r>
          </w:p>
          <w:tbl>
            <w:tblPr>
              <w:tblStyle w:val="20"/>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64"/>
            </w:tblGrid>
            <w:tr w14:paraId="3728434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327" w:type="dxa"/>
                  <w:tcBorders>
                    <w:top w:val="single" w:color="auto" w:sz="8" w:space="0"/>
                    <w:left w:val="nil"/>
                    <w:bottom w:val="single" w:color="auto" w:sz="4" w:space="0"/>
                    <w:right w:val="single" w:color="auto" w:sz="4" w:space="0"/>
                  </w:tcBorders>
                  <w:vAlign w:val="center"/>
                </w:tcPr>
                <w:p w14:paraId="5ED2E6A1">
                  <w:pPr>
                    <w:widowControl w:val="0"/>
                    <w:adjustRightInd/>
                    <w:snapToGrid/>
                    <w:spacing w:after="0"/>
                    <w:jc w:val="center"/>
                    <w:rPr>
                      <w:rFonts w:eastAsia="宋体"/>
                      <w:b/>
                      <w:color w:val="auto"/>
                      <w:spacing w:val="4"/>
                      <w:kern w:val="2"/>
                      <w:sz w:val="21"/>
                      <w:szCs w:val="21"/>
                    </w:rPr>
                  </w:pPr>
                  <w:r>
                    <w:rPr>
                      <w:rFonts w:eastAsia="宋体"/>
                      <w:b/>
                      <w:color w:val="auto"/>
                      <w:spacing w:val="4"/>
                      <w:kern w:val="2"/>
                      <w:sz w:val="21"/>
                      <w:szCs w:val="21"/>
                    </w:rPr>
                    <w:t>检测时间</w:t>
                  </w:r>
                </w:p>
              </w:tc>
              <w:tc>
                <w:tcPr>
                  <w:tcW w:w="4381" w:type="dxa"/>
                  <w:tcBorders>
                    <w:top w:val="single" w:color="auto" w:sz="8" w:space="0"/>
                    <w:left w:val="single" w:color="auto" w:sz="4" w:space="0"/>
                    <w:bottom w:val="single" w:color="auto" w:sz="4" w:space="0"/>
                    <w:right w:val="nil"/>
                  </w:tcBorders>
                  <w:shd w:val="clear" w:color="auto" w:fill="auto"/>
                  <w:vAlign w:val="center"/>
                </w:tcPr>
                <w:p w14:paraId="5BE68FD2">
                  <w:pPr>
                    <w:widowControl w:val="0"/>
                    <w:adjustRightInd/>
                    <w:snapToGrid/>
                    <w:spacing w:after="0"/>
                    <w:jc w:val="center"/>
                    <w:rPr>
                      <w:rFonts w:eastAsia="宋体"/>
                      <w:b/>
                      <w:color w:val="auto"/>
                      <w:spacing w:val="4"/>
                      <w:kern w:val="2"/>
                      <w:sz w:val="21"/>
                      <w:szCs w:val="21"/>
                    </w:rPr>
                  </w:pPr>
                  <w:r>
                    <w:rPr>
                      <w:rFonts w:eastAsia="宋体"/>
                      <w:b/>
                      <w:color w:val="auto"/>
                      <w:spacing w:val="4"/>
                      <w:kern w:val="2"/>
                      <w:sz w:val="21"/>
                      <w:szCs w:val="21"/>
                    </w:rPr>
                    <w:t>生产运行负荷（%）</w:t>
                  </w:r>
                </w:p>
              </w:tc>
            </w:tr>
            <w:tr w14:paraId="13B788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27" w:type="dxa"/>
                  <w:tcBorders>
                    <w:top w:val="single" w:color="auto" w:sz="4" w:space="0"/>
                    <w:left w:val="nil"/>
                    <w:bottom w:val="single" w:color="auto" w:sz="4" w:space="0"/>
                    <w:right w:val="single" w:color="auto" w:sz="4" w:space="0"/>
                  </w:tcBorders>
                  <w:vAlign w:val="center"/>
                </w:tcPr>
                <w:p w14:paraId="1EA8F7E5">
                  <w:pPr>
                    <w:pStyle w:val="19"/>
                    <w:widowControl w:val="0"/>
                    <w:spacing w:after="0"/>
                    <w:ind w:left="0" w:leftChars="0" w:firstLine="0" w:firstLineChars="0"/>
                    <w:jc w:val="center"/>
                    <w:rPr>
                      <w:rFonts w:hint="default" w:ascii="Times New Roman" w:hAnsi="Times New Roman" w:eastAsia="微软雅黑"/>
                      <w:bCs/>
                      <w:color w:val="auto"/>
                      <w:kern w:val="2"/>
                      <w:sz w:val="21"/>
                      <w:szCs w:val="21"/>
                      <w:lang w:val="en-US" w:eastAsia="zh-CN"/>
                    </w:rPr>
                  </w:pPr>
                  <w:r>
                    <w:rPr>
                      <w:rFonts w:hint="eastAsia" w:ascii="Times New Roman" w:hAnsi="Times New Roman"/>
                      <w:bCs/>
                      <w:color w:val="auto"/>
                      <w:kern w:val="2"/>
                      <w:sz w:val="21"/>
                      <w:szCs w:val="21"/>
                    </w:rPr>
                    <w:t>202</w:t>
                  </w:r>
                  <w:r>
                    <w:rPr>
                      <w:rFonts w:hint="eastAsia" w:ascii="Times New Roman" w:hAnsi="Times New Roman"/>
                      <w:bCs/>
                      <w:color w:val="auto"/>
                      <w:kern w:val="2"/>
                      <w:sz w:val="21"/>
                      <w:szCs w:val="21"/>
                      <w:lang w:val="en-US" w:eastAsia="zh-CN"/>
                    </w:rPr>
                    <w:t>6</w:t>
                  </w:r>
                  <w:r>
                    <w:rPr>
                      <w:rFonts w:hint="eastAsia" w:ascii="Times New Roman" w:hAnsi="Times New Roman"/>
                      <w:bCs/>
                      <w:color w:val="auto"/>
                      <w:kern w:val="2"/>
                      <w:sz w:val="21"/>
                      <w:szCs w:val="21"/>
                    </w:rPr>
                    <w:t>.0</w:t>
                  </w:r>
                  <w:r>
                    <w:rPr>
                      <w:rFonts w:hint="eastAsia" w:ascii="Times New Roman" w:hAnsi="Times New Roman"/>
                      <w:bCs/>
                      <w:color w:val="auto"/>
                      <w:kern w:val="2"/>
                      <w:sz w:val="21"/>
                      <w:szCs w:val="21"/>
                      <w:lang w:val="en-US" w:eastAsia="zh-CN"/>
                    </w:rPr>
                    <w:t>8.07</w:t>
                  </w:r>
                </w:p>
              </w:tc>
              <w:tc>
                <w:tcPr>
                  <w:tcW w:w="4381" w:type="dxa"/>
                  <w:tcBorders>
                    <w:top w:val="single" w:color="auto" w:sz="4" w:space="0"/>
                    <w:left w:val="single" w:color="auto" w:sz="4" w:space="0"/>
                    <w:bottom w:val="single" w:color="auto" w:sz="4" w:space="0"/>
                    <w:right w:val="nil"/>
                  </w:tcBorders>
                  <w:shd w:val="clear" w:color="auto" w:fill="auto"/>
                  <w:vAlign w:val="center"/>
                </w:tcPr>
                <w:p w14:paraId="533AD984">
                  <w:pPr>
                    <w:pStyle w:val="19"/>
                    <w:widowControl w:val="0"/>
                    <w:spacing w:after="0"/>
                    <w:ind w:left="0" w:leftChars="0" w:firstLine="0" w:firstLineChars="0"/>
                    <w:jc w:val="center"/>
                    <w:rPr>
                      <w:rFonts w:hint="default" w:ascii="Times New Roman" w:hAnsi="Times New Roman" w:eastAsia="微软雅黑"/>
                      <w:bCs/>
                      <w:color w:val="auto"/>
                      <w:kern w:val="2"/>
                      <w:sz w:val="21"/>
                      <w:szCs w:val="21"/>
                      <w:lang w:val="en-US" w:eastAsia="zh-CN"/>
                    </w:rPr>
                  </w:pPr>
                  <w:r>
                    <w:rPr>
                      <w:rFonts w:hint="eastAsia" w:ascii="Times New Roman" w:hAnsi="Times New Roman"/>
                      <w:bCs/>
                      <w:color w:val="auto"/>
                      <w:kern w:val="2"/>
                      <w:sz w:val="21"/>
                      <w:szCs w:val="21"/>
                      <w:lang w:val="en-US" w:eastAsia="zh-CN"/>
                    </w:rPr>
                    <w:t>90</w:t>
                  </w:r>
                </w:p>
              </w:tc>
            </w:tr>
            <w:tr w14:paraId="780AD49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327" w:type="dxa"/>
                  <w:tcBorders>
                    <w:top w:val="single" w:color="auto" w:sz="4" w:space="0"/>
                    <w:left w:val="nil"/>
                    <w:bottom w:val="single" w:color="auto" w:sz="4" w:space="0"/>
                    <w:right w:val="single" w:color="auto" w:sz="4" w:space="0"/>
                  </w:tcBorders>
                  <w:vAlign w:val="center"/>
                </w:tcPr>
                <w:p w14:paraId="02EFFD6B">
                  <w:pPr>
                    <w:widowControl w:val="0"/>
                    <w:spacing w:after="0"/>
                    <w:jc w:val="center"/>
                    <w:rPr>
                      <w:rFonts w:hint="default" w:eastAsia="微软雅黑"/>
                      <w:bCs/>
                      <w:color w:val="auto"/>
                      <w:kern w:val="2"/>
                      <w:sz w:val="21"/>
                      <w:szCs w:val="21"/>
                      <w:highlight w:val="yellow"/>
                      <w:lang w:val="en-US" w:eastAsia="zh-CN"/>
                    </w:rPr>
                  </w:pPr>
                  <w:r>
                    <w:rPr>
                      <w:rFonts w:hint="eastAsia"/>
                      <w:bCs/>
                      <w:color w:val="auto"/>
                      <w:kern w:val="2"/>
                      <w:sz w:val="21"/>
                      <w:szCs w:val="21"/>
                    </w:rPr>
                    <w:t>202</w:t>
                  </w:r>
                  <w:r>
                    <w:rPr>
                      <w:rFonts w:hint="eastAsia"/>
                      <w:bCs/>
                      <w:color w:val="auto"/>
                      <w:kern w:val="2"/>
                      <w:sz w:val="21"/>
                      <w:szCs w:val="21"/>
                      <w:lang w:val="en-US" w:eastAsia="zh-CN"/>
                    </w:rPr>
                    <w:t>6</w:t>
                  </w:r>
                  <w:r>
                    <w:rPr>
                      <w:rFonts w:hint="eastAsia"/>
                      <w:bCs/>
                      <w:color w:val="auto"/>
                      <w:kern w:val="2"/>
                      <w:sz w:val="21"/>
                      <w:szCs w:val="21"/>
                    </w:rPr>
                    <w:t>.0</w:t>
                  </w:r>
                  <w:r>
                    <w:rPr>
                      <w:rFonts w:hint="eastAsia"/>
                      <w:bCs/>
                      <w:color w:val="auto"/>
                      <w:kern w:val="2"/>
                      <w:sz w:val="21"/>
                      <w:szCs w:val="21"/>
                      <w:lang w:val="en-US" w:eastAsia="zh-CN"/>
                    </w:rPr>
                    <w:t>8</w:t>
                  </w:r>
                  <w:r>
                    <w:rPr>
                      <w:rFonts w:hint="eastAsia"/>
                      <w:bCs/>
                      <w:color w:val="auto"/>
                      <w:kern w:val="2"/>
                      <w:sz w:val="21"/>
                      <w:szCs w:val="21"/>
                    </w:rPr>
                    <w:t>.</w:t>
                  </w:r>
                  <w:r>
                    <w:rPr>
                      <w:rFonts w:hint="eastAsia"/>
                      <w:bCs/>
                      <w:color w:val="auto"/>
                      <w:kern w:val="2"/>
                      <w:sz w:val="21"/>
                      <w:szCs w:val="21"/>
                      <w:lang w:val="en-US" w:eastAsia="zh-CN"/>
                    </w:rPr>
                    <w:t>08</w:t>
                  </w:r>
                </w:p>
              </w:tc>
              <w:tc>
                <w:tcPr>
                  <w:tcW w:w="4381" w:type="dxa"/>
                  <w:tcBorders>
                    <w:top w:val="single" w:color="auto" w:sz="4" w:space="0"/>
                    <w:left w:val="single" w:color="auto" w:sz="4" w:space="0"/>
                    <w:bottom w:val="single" w:color="auto" w:sz="4" w:space="0"/>
                    <w:right w:val="nil"/>
                  </w:tcBorders>
                  <w:shd w:val="clear" w:color="auto" w:fill="auto"/>
                  <w:vAlign w:val="center"/>
                </w:tcPr>
                <w:p w14:paraId="4BD9A7E5">
                  <w:pPr>
                    <w:pStyle w:val="19"/>
                    <w:widowControl w:val="0"/>
                    <w:spacing w:after="0"/>
                    <w:ind w:left="0" w:leftChars="0" w:firstLine="0" w:firstLineChars="0"/>
                    <w:jc w:val="center"/>
                    <w:rPr>
                      <w:rFonts w:hint="default" w:ascii="Times New Roman" w:hAnsi="Times New Roman" w:eastAsia="微软雅黑"/>
                      <w:bCs/>
                      <w:color w:val="auto"/>
                      <w:kern w:val="2"/>
                      <w:sz w:val="21"/>
                      <w:szCs w:val="21"/>
                      <w:lang w:val="en-US" w:eastAsia="zh-CN"/>
                    </w:rPr>
                  </w:pPr>
                  <w:r>
                    <w:rPr>
                      <w:rFonts w:hint="eastAsia" w:ascii="Times New Roman" w:hAnsi="Times New Roman"/>
                      <w:bCs/>
                      <w:color w:val="auto"/>
                      <w:kern w:val="2"/>
                      <w:sz w:val="21"/>
                      <w:szCs w:val="21"/>
                      <w:lang w:val="en-US" w:eastAsia="zh-CN"/>
                    </w:rPr>
                    <w:t>90</w:t>
                  </w:r>
                </w:p>
              </w:tc>
            </w:tr>
            <w:tr w14:paraId="428B1D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708" w:type="dxa"/>
                  <w:gridSpan w:val="2"/>
                  <w:tcBorders>
                    <w:top w:val="single" w:color="auto" w:sz="4" w:space="0"/>
                    <w:left w:val="nil"/>
                    <w:bottom w:val="single" w:color="auto" w:sz="8" w:space="0"/>
                    <w:right w:val="nil"/>
                  </w:tcBorders>
                  <w:vAlign w:val="center"/>
                </w:tcPr>
                <w:p w14:paraId="528B3C0A">
                  <w:pPr>
                    <w:widowControl w:val="0"/>
                    <w:adjustRightInd/>
                    <w:snapToGrid/>
                    <w:spacing w:after="0"/>
                    <w:jc w:val="both"/>
                    <w:rPr>
                      <w:rFonts w:eastAsia="宋体"/>
                      <w:bCs/>
                      <w:color w:val="auto"/>
                      <w:spacing w:val="4"/>
                      <w:kern w:val="2"/>
                      <w:sz w:val="21"/>
                      <w:szCs w:val="21"/>
                    </w:rPr>
                  </w:pPr>
                  <w:r>
                    <w:rPr>
                      <w:rFonts w:eastAsia="宋体"/>
                      <w:bCs/>
                      <w:color w:val="auto"/>
                      <w:spacing w:val="4"/>
                      <w:kern w:val="2"/>
                      <w:sz w:val="21"/>
                      <w:szCs w:val="21"/>
                    </w:rPr>
                    <w:t>备注：生产负荷由</w:t>
                  </w:r>
                  <w:r>
                    <w:rPr>
                      <w:rFonts w:hint="eastAsia" w:eastAsia="宋体"/>
                      <w:bCs/>
                      <w:color w:val="auto"/>
                      <w:spacing w:val="4"/>
                      <w:kern w:val="2"/>
                      <w:sz w:val="21"/>
                      <w:szCs w:val="21"/>
                      <w:lang w:eastAsia="zh-CN"/>
                    </w:rPr>
                    <w:t>长垣市聚博环保科技有限公司</w:t>
                  </w:r>
                  <w:r>
                    <w:rPr>
                      <w:rFonts w:eastAsia="宋体"/>
                      <w:bCs/>
                      <w:color w:val="auto"/>
                      <w:spacing w:val="4"/>
                      <w:kern w:val="2"/>
                      <w:sz w:val="21"/>
                      <w:szCs w:val="21"/>
                    </w:rPr>
                    <w:t>提供。</w:t>
                  </w:r>
                </w:p>
              </w:tc>
            </w:tr>
          </w:tbl>
          <w:p w14:paraId="6DFE7214">
            <w:pPr>
              <w:spacing w:after="0" w:line="520" w:lineRule="exact"/>
              <w:ind w:firstLine="480" w:firstLineChars="200"/>
              <w:textAlignment w:val="baseline"/>
              <w:rPr>
                <w:rFonts w:eastAsia="宋体"/>
                <w:bCs/>
                <w:color w:val="auto"/>
                <w:sz w:val="24"/>
                <w:szCs w:val="24"/>
              </w:rPr>
            </w:pPr>
          </w:p>
        </w:tc>
      </w:tr>
      <w:tr w14:paraId="3AA3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vAlign w:val="center"/>
          </w:tcPr>
          <w:p w14:paraId="0FE5E9F4">
            <w:pPr>
              <w:spacing w:after="0" w:line="460" w:lineRule="exact"/>
              <w:jc w:val="both"/>
              <w:textAlignment w:val="baseline"/>
              <w:rPr>
                <w:rFonts w:eastAsia="宋体"/>
                <w:bCs/>
                <w:color w:val="auto"/>
                <w:sz w:val="24"/>
                <w:szCs w:val="24"/>
              </w:rPr>
            </w:pPr>
            <w:r>
              <w:rPr>
                <w:rFonts w:eastAsia="宋体"/>
                <w:bCs/>
                <w:color w:val="auto"/>
                <w:sz w:val="24"/>
                <w:szCs w:val="24"/>
              </w:rPr>
              <w:t>验收监测结果：</w:t>
            </w:r>
          </w:p>
          <w:p w14:paraId="024CF6FB">
            <w:pPr>
              <w:spacing w:after="0" w:line="440" w:lineRule="exact"/>
              <w:jc w:val="both"/>
              <w:textAlignment w:val="baseline"/>
              <w:rPr>
                <w:rFonts w:eastAsia="宋体"/>
                <w:b/>
                <w:bCs/>
                <w:color w:val="auto"/>
                <w:sz w:val="24"/>
                <w:szCs w:val="24"/>
              </w:rPr>
            </w:pPr>
            <w:bookmarkStart w:id="12" w:name="_Toc501703555"/>
            <w:bookmarkStart w:id="13" w:name="_Toc504492853"/>
            <w:r>
              <w:rPr>
                <w:rFonts w:eastAsia="宋体"/>
                <w:b/>
                <w:bCs/>
                <w:color w:val="auto"/>
                <w:sz w:val="24"/>
                <w:szCs w:val="24"/>
              </w:rPr>
              <w:t>一、</w:t>
            </w:r>
            <w:bookmarkEnd w:id="12"/>
            <w:bookmarkEnd w:id="13"/>
            <w:r>
              <w:rPr>
                <w:rFonts w:eastAsia="宋体"/>
                <w:b/>
                <w:bCs/>
                <w:color w:val="auto"/>
                <w:sz w:val="24"/>
                <w:szCs w:val="24"/>
              </w:rPr>
              <w:t>环境保护设施调试效果</w:t>
            </w:r>
          </w:p>
          <w:p w14:paraId="5DABBDA5">
            <w:pPr>
              <w:spacing w:after="0" w:line="460" w:lineRule="exact"/>
              <w:ind w:firstLine="482" w:firstLineChars="200"/>
              <w:jc w:val="both"/>
              <w:textAlignment w:val="baseline"/>
              <w:rPr>
                <w:rFonts w:eastAsia="宋体"/>
                <w:b/>
                <w:bCs/>
                <w:color w:val="auto"/>
                <w:sz w:val="24"/>
                <w:szCs w:val="24"/>
              </w:rPr>
            </w:pPr>
            <w:bookmarkStart w:id="14" w:name="_Toc515972416"/>
            <w:bookmarkStart w:id="15" w:name="_Toc504492856"/>
            <w:bookmarkStart w:id="16" w:name="_Toc502673723"/>
            <w:r>
              <w:rPr>
                <w:rFonts w:eastAsia="宋体"/>
                <w:b/>
                <w:bCs/>
                <w:color w:val="auto"/>
                <w:sz w:val="24"/>
                <w:szCs w:val="24"/>
              </w:rPr>
              <w:t>1、污染物达标排放监测结果</w:t>
            </w:r>
          </w:p>
          <w:p w14:paraId="20974135">
            <w:pPr>
              <w:spacing w:after="0" w:line="460" w:lineRule="exact"/>
              <w:ind w:firstLine="482" w:firstLineChars="200"/>
              <w:jc w:val="both"/>
              <w:textAlignment w:val="baseline"/>
              <w:rPr>
                <w:rFonts w:eastAsia="宋体"/>
                <w:b/>
                <w:bCs/>
                <w:color w:val="auto"/>
                <w:sz w:val="24"/>
                <w:szCs w:val="24"/>
              </w:rPr>
            </w:pPr>
            <w:r>
              <w:rPr>
                <w:rFonts w:eastAsia="宋体"/>
                <w:b/>
                <w:bCs/>
                <w:color w:val="auto"/>
                <w:sz w:val="24"/>
                <w:szCs w:val="24"/>
              </w:rPr>
              <w:t>（1）废气：</w:t>
            </w:r>
          </w:p>
          <w:p w14:paraId="49D3574D">
            <w:pPr>
              <w:spacing w:after="0" w:line="500" w:lineRule="exact"/>
              <w:ind w:firstLine="480" w:firstLineChars="200"/>
              <w:jc w:val="both"/>
              <w:textAlignment w:val="baseline"/>
              <w:rPr>
                <w:rFonts w:hint="eastAsia" w:eastAsia="宋体"/>
                <w:color w:val="auto"/>
                <w:kern w:val="2"/>
                <w:sz w:val="24"/>
                <w:szCs w:val="20"/>
                <w:lang w:val="zh-CN"/>
              </w:rPr>
            </w:pPr>
            <w:r>
              <w:rPr>
                <w:rFonts w:hint="eastAsia" w:eastAsia="宋体"/>
                <w:color w:val="auto"/>
                <w:kern w:val="2"/>
                <w:sz w:val="24"/>
                <w:szCs w:val="20"/>
                <w:lang w:val="en-US" w:eastAsia="zh-CN"/>
              </w:rPr>
              <w:t>本项目废气主要来源于危废暂存间废气及储罐废气。危废暂存间废气经密闭间+集气罩收集后于储罐废气一同进入二级活性炭装置处理，废气经处理后通过1根15m高排气筒DA001排放</w:t>
            </w:r>
            <w:r>
              <w:rPr>
                <w:rFonts w:hint="eastAsia" w:eastAsia="宋体"/>
                <w:color w:val="auto"/>
                <w:kern w:val="2"/>
                <w:sz w:val="24"/>
                <w:szCs w:val="20"/>
                <w:lang w:val="zh-CN"/>
              </w:rPr>
              <w:t>。</w:t>
            </w:r>
          </w:p>
          <w:p w14:paraId="67F56AAC">
            <w:pPr>
              <w:spacing w:after="0" w:line="500" w:lineRule="exact"/>
              <w:ind w:firstLine="480" w:firstLineChars="200"/>
              <w:jc w:val="both"/>
              <w:textAlignment w:val="baseline"/>
              <w:rPr>
                <w:rFonts w:hint="default" w:ascii="Times New Roman" w:hAnsi="Times New Roman" w:eastAsia="宋体" w:cs="Times New Roman"/>
                <w:color w:val="auto"/>
                <w:kern w:val="2"/>
                <w:sz w:val="24"/>
                <w:szCs w:val="20"/>
                <w:lang w:val="en-US" w:eastAsia="zh-CN"/>
              </w:rPr>
            </w:pPr>
            <w:r>
              <w:rPr>
                <w:rFonts w:hint="eastAsia" w:ascii="Times New Roman" w:hAnsi="Times New Roman" w:eastAsia="宋体" w:cs="Times New Roman"/>
                <w:color w:val="auto"/>
                <w:kern w:val="2"/>
                <w:sz w:val="24"/>
                <w:szCs w:val="20"/>
                <w:lang w:val="en-US" w:eastAsia="zh-CN"/>
              </w:rPr>
              <w:t>有组织废气监测结果见下表。</w:t>
            </w:r>
          </w:p>
          <w:p w14:paraId="25179A9C">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default" w:ascii="Times New Roman" w:hAnsi="Times New Roman" w:cs="宋体"/>
                <w:color w:val="auto"/>
                <w:lang w:val="en-US" w:eastAsia="zh-CN"/>
              </w:rPr>
            </w:pPr>
            <w:r>
              <w:rPr>
                <w:rFonts w:hint="eastAsia" w:ascii="Times New Roman" w:hAnsi="Times New Roman" w:cs="宋体"/>
                <w:color w:val="auto"/>
                <w:lang w:val="en-US" w:eastAsia="zh-CN"/>
              </w:rPr>
              <w:t xml:space="preserve">                   </w:t>
            </w:r>
            <w:r>
              <w:rPr>
                <w:rFonts w:hint="default" w:ascii="Times New Roman" w:hAnsi="Times New Roman" w:cs="宋体"/>
                <w:color w:val="auto"/>
                <w:lang w:val="en-US" w:eastAsia="zh-CN"/>
              </w:rPr>
              <w:t>废气有组织排放检测结果</w:t>
            </w:r>
          </w:p>
          <w:tbl>
            <w:tblPr>
              <w:tblStyle w:val="21"/>
              <w:tblW w:w="4991"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227"/>
              <w:gridCol w:w="1185"/>
              <w:gridCol w:w="1571"/>
              <w:gridCol w:w="2071"/>
              <w:gridCol w:w="1853"/>
            </w:tblGrid>
            <w:tr w14:paraId="547B85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34" w:type="pct"/>
                  <w:vMerge w:val="restart"/>
                  <w:tcBorders>
                    <w:tl2br w:val="nil"/>
                    <w:tr2bl w:val="nil"/>
                  </w:tcBorders>
                  <w:noWrap w:val="0"/>
                  <w:vAlign w:val="center"/>
                </w:tcPr>
                <w:p w14:paraId="59C654B9">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采样日期</w:t>
                  </w:r>
                </w:p>
              </w:tc>
              <w:tc>
                <w:tcPr>
                  <w:tcW w:w="677" w:type="pct"/>
                  <w:vMerge w:val="restart"/>
                  <w:tcBorders>
                    <w:tl2br w:val="nil"/>
                    <w:tr2bl w:val="nil"/>
                  </w:tcBorders>
                  <w:noWrap w:val="0"/>
                  <w:vAlign w:val="center"/>
                </w:tcPr>
                <w:p w14:paraId="6F52E595">
                  <w:pPr>
                    <w:spacing w:after="0"/>
                    <w:jc w:val="center"/>
                    <w:textAlignment w:val="baseline"/>
                    <w:rPr>
                      <w:rFonts w:hint="eastAsia"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采样点位</w:t>
                  </w:r>
                </w:p>
              </w:tc>
              <w:tc>
                <w:tcPr>
                  <w:tcW w:w="654" w:type="pct"/>
                  <w:vMerge w:val="restart"/>
                  <w:tcBorders>
                    <w:tl2br w:val="nil"/>
                    <w:tr2bl w:val="nil"/>
                  </w:tcBorders>
                  <w:noWrap w:val="0"/>
                  <w:vAlign w:val="center"/>
                </w:tcPr>
                <w:p w14:paraId="654E110A">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采样频次</w:t>
                  </w:r>
                </w:p>
              </w:tc>
              <w:tc>
                <w:tcPr>
                  <w:tcW w:w="867" w:type="pct"/>
                  <w:vMerge w:val="restart"/>
                  <w:tcBorders>
                    <w:tl2br w:val="nil"/>
                    <w:tr2bl w:val="nil"/>
                  </w:tcBorders>
                  <w:noWrap w:val="0"/>
                  <w:vAlign w:val="center"/>
                </w:tcPr>
                <w:p w14:paraId="3198B42F">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eastAsia" w:ascii="Times New Roman" w:hAnsi="Times New Roman" w:eastAsia="宋体" w:cs="Times New Roman"/>
                      <w:b/>
                      <w:bCs w:val="0"/>
                      <w:color w:val="auto"/>
                      <w:sz w:val="21"/>
                      <w:szCs w:val="21"/>
                      <w:lang w:val="en-US" w:eastAsia="zh-CN"/>
                    </w:rPr>
                    <w:t>标干流量</w:t>
                  </w:r>
                  <w:r>
                    <w:rPr>
                      <w:rFonts w:hint="default" w:ascii="Times New Roman" w:hAnsi="Times New Roman" w:eastAsia="宋体" w:cs="Times New Roman"/>
                      <w:b/>
                      <w:bCs w:val="0"/>
                      <w:color w:val="auto"/>
                      <w:sz w:val="21"/>
                      <w:szCs w:val="21"/>
                      <w:lang w:val="en-US" w:eastAsia="zh-CN"/>
                    </w:rPr>
                    <w:t>（</w:t>
                  </w:r>
                  <w:r>
                    <w:rPr>
                      <w:rFonts w:hint="eastAsia" w:ascii="Times New Roman" w:hAnsi="Times New Roman" w:eastAsia="宋体" w:cs="Times New Roman"/>
                      <w:b/>
                      <w:bCs w:val="0"/>
                      <w:color w:val="auto"/>
                      <w:sz w:val="21"/>
                      <w:szCs w:val="21"/>
                      <w:lang w:val="en-US" w:eastAsia="zh-CN"/>
                    </w:rPr>
                    <w:t>N</w:t>
                  </w:r>
                  <w:r>
                    <w:rPr>
                      <w:rFonts w:hint="default" w:ascii="Times New Roman" w:hAnsi="Times New Roman" w:eastAsia="宋体" w:cs="Times New Roman"/>
                      <w:b/>
                      <w:bCs w:val="0"/>
                      <w:color w:val="auto"/>
                      <w:sz w:val="21"/>
                      <w:szCs w:val="21"/>
                      <w:lang w:val="en-US" w:eastAsia="zh-CN"/>
                    </w:rPr>
                    <w:t>m</w:t>
                  </w:r>
                  <w:r>
                    <w:rPr>
                      <w:rFonts w:hint="default" w:ascii="Times New Roman" w:hAnsi="Times New Roman" w:eastAsia="宋体" w:cs="Times New Roman"/>
                      <w:b/>
                      <w:bCs w:val="0"/>
                      <w:color w:val="auto"/>
                      <w:sz w:val="21"/>
                      <w:szCs w:val="21"/>
                      <w:vertAlign w:val="superscript"/>
                      <w:lang w:val="en-US" w:eastAsia="zh-CN"/>
                    </w:rPr>
                    <w:t>3</w:t>
                  </w:r>
                  <w:r>
                    <w:rPr>
                      <w:rFonts w:hint="default" w:ascii="Times New Roman" w:hAnsi="Times New Roman" w:eastAsia="宋体" w:cs="Times New Roman"/>
                      <w:b/>
                      <w:bCs w:val="0"/>
                      <w:color w:val="auto"/>
                      <w:sz w:val="21"/>
                      <w:szCs w:val="21"/>
                      <w:lang w:val="en-US" w:eastAsia="zh-CN"/>
                    </w:rPr>
                    <w:t>/h）</w:t>
                  </w:r>
                </w:p>
              </w:tc>
              <w:tc>
                <w:tcPr>
                  <w:tcW w:w="2165" w:type="pct"/>
                  <w:gridSpan w:val="2"/>
                  <w:tcBorders>
                    <w:tl2br w:val="nil"/>
                    <w:tr2bl w:val="nil"/>
                  </w:tcBorders>
                  <w:noWrap w:val="0"/>
                  <w:vAlign w:val="center"/>
                </w:tcPr>
                <w:p w14:paraId="740BC09D">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非甲烷总烃（以碳计）</w:t>
                  </w:r>
                </w:p>
              </w:tc>
            </w:tr>
            <w:tr w14:paraId="2EFD9E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34" w:type="pct"/>
                  <w:vMerge w:val="continue"/>
                  <w:tcBorders>
                    <w:tl2br w:val="nil"/>
                    <w:tr2bl w:val="nil"/>
                  </w:tcBorders>
                  <w:noWrap w:val="0"/>
                  <w:vAlign w:val="center"/>
                </w:tcPr>
                <w:p w14:paraId="0E7F834C">
                  <w:pPr>
                    <w:spacing w:after="0"/>
                    <w:jc w:val="center"/>
                    <w:textAlignment w:val="baseline"/>
                    <w:rPr>
                      <w:rFonts w:hint="default" w:ascii="Times New Roman" w:hAnsi="Times New Roman" w:eastAsia="宋体" w:cs="Times New Roman"/>
                      <w:b/>
                      <w:bCs w:val="0"/>
                      <w:color w:val="auto"/>
                      <w:sz w:val="21"/>
                      <w:szCs w:val="21"/>
                      <w:lang w:val="en-US" w:eastAsia="zh-CN"/>
                    </w:rPr>
                  </w:pPr>
                </w:p>
              </w:tc>
              <w:tc>
                <w:tcPr>
                  <w:tcW w:w="677" w:type="pct"/>
                  <w:vMerge w:val="continue"/>
                  <w:tcBorders>
                    <w:tl2br w:val="nil"/>
                    <w:tr2bl w:val="nil"/>
                  </w:tcBorders>
                  <w:noWrap w:val="0"/>
                  <w:vAlign w:val="center"/>
                </w:tcPr>
                <w:p w14:paraId="54CADDD3">
                  <w:pPr>
                    <w:spacing w:after="0"/>
                    <w:jc w:val="center"/>
                    <w:textAlignment w:val="baseline"/>
                    <w:rPr>
                      <w:rFonts w:hint="default" w:ascii="Times New Roman" w:hAnsi="Times New Roman" w:eastAsia="宋体" w:cs="Times New Roman"/>
                      <w:b/>
                      <w:bCs w:val="0"/>
                      <w:color w:val="auto"/>
                      <w:sz w:val="21"/>
                      <w:szCs w:val="21"/>
                      <w:lang w:val="en-US" w:eastAsia="zh-CN"/>
                    </w:rPr>
                  </w:pPr>
                </w:p>
              </w:tc>
              <w:tc>
                <w:tcPr>
                  <w:tcW w:w="654" w:type="pct"/>
                  <w:vMerge w:val="continue"/>
                  <w:tcBorders>
                    <w:tl2br w:val="nil"/>
                    <w:tr2bl w:val="nil"/>
                  </w:tcBorders>
                  <w:noWrap w:val="0"/>
                  <w:vAlign w:val="center"/>
                </w:tcPr>
                <w:p w14:paraId="1A6F1858">
                  <w:pPr>
                    <w:spacing w:after="0"/>
                    <w:jc w:val="center"/>
                    <w:textAlignment w:val="baseline"/>
                    <w:rPr>
                      <w:rFonts w:hint="default" w:ascii="Times New Roman" w:hAnsi="Times New Roman" w:eastAsia="宋体" w:cs="Times New Roman"/>
                      <w:b/>
                      <w:bCs w:val="0"/>
                      <w:color w:val="auto"/>
                      <w:sz w:val="21"/>
                      <w:szCs w:val="21"/>
                      <w:lang w:val="en-US" w:eastAsia="zh-CN"/>
                    </w:rPr>
                  </w:pPr>
                </w:p>
              </w:tc>
              <w:tc>
                <w:tcPr>
                  <w:tcW w:w="867" w:type="pct"/>
                  <w:vMerge w:val="continue"/>
                  <w:tcBorders>
                    <w:tl2br w:val="nil"/>
                    <w:tr2bl w:val="nil"/>
                  </w:tcBorders>
                  <w:noWrap w:val="0"/>
                  <w:vAlign w:val="center"/>
                </w:tcPr>
                <w:p w14:paraId="674EC30F">
                  <w:pPr>
                    <w:spacing w:after="0"/>
                    <w:jc w:val="center"/>
                    <w:textAlignment w:val="baseline"/>
                    <w:rPr>
                      <w:rFonts w:hint="default" w:ascii="Times New Roman" w:hAnsi="Times New Roman" w:eastAsia="宋体" w:cs="Times New Roman"/>
                      <w:b/>
                      <w:bCs w:val="0"/>
                      <w:color w:val="auto"/>
                      <w:sz w:val="21"/>
                      <w:szCs w:val="21"/>
                      <w:lang w:val="en-US" w:eastAsia="zh-CN"/>
                    </w:rPr>
                  </w:pPr>
                </w:p>
              </w:tc>
              <w:tc>
                <w:tcPr>
                  <w:tcW w:w="1143" w:type="pct"/>
                  <w:tcBorders>
                    <w:tl2br w:val="nil"/>
                    <w:tr2bl w:val="nil"/>
                  </w:tcBorders>
                  <w:noWrap w:val="0"/>
                  <w:vAlign w:val="center"/>
                </w:tcPr>
                <w:p w14:paraId="1E595775">
                  <w:pPr>
                    <w:spacing w:after="0"/>
                    <w:jc w:val="center"/>
                    <w:textAlignment w:val="baseline"/>
                    <w:rPr>
                      <w:rFonts w:hint="eastAsia"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排放浓度</w:t>
                  </w:r>
                  <w:r>
                    <w:rPr>
                      <w:rFonts w:hint="eastAsia" w:ascii="Times New Roman" w:hAnsi="Times New Roman" w:eastAsia="宋体" w:cs="Times New Roman"/>
                      <w:b/>
                      <w:bCs w:val="0"/>
                      <w:color w:val="auto"/>
                      <w:sz w:val="21"/>
                      <w:szCs w:val="21"/>
                      <w:lang w:val="en-US" w:eastAsia="zh-CN"/>
                    </w:rPr>
                    <w:t>（</w:t>
                  </w:r>
                  <w:r>
                    <w:rPr>
                      <w:rFonts w:hint="default" w:ascii="Times New Roman" w:hAnsi="Times New Roman" w:eastAsia="宋体" w:cs="Times New Roman"/>
                      <w:b/>
                      <w:bCs w:val="0"/>
                      <w:color w:val="auto"/>
                      <w:sz w:val="21"/>
                      <w:szCs w:val="21"/>
                      <w:lang w:val="en-US" w:eastAsia="zh-CN"/>
                    </w:rPr>
                    <w:t>mg/m</w:t>
                  </w:r>
                  <w:r>
                    <w:rPr>
                      <w:rFonts w:hint="default" w:ascii="Times New Roman" w:hAnsi="Times New Roman" w:eastAsia="宋体" w:cs="Times New Roman"/>
                      <w:b/>
                      <w:bCs w:val="0"/>
                      <w:color w:val="auto"/>
                      <w:sz w:val="21"/>
                      <w:szCs w:val="21"/>
                      <w:vertAlign w:val="superscript"/>
                      <w:lang w:val="en-US" w:eastAsia="zh-CN"/>
                    </w:rPr>
                    <w:t>3</w:t>
                  </w:r>
                  <w:r>
                    <w:rPr>
                      <w:rFonts w:hint="eastAsia" w:ascii="Times New Roman" w:hAnsi="Times New Roman" w:eastAsia="宋体" w:cs="Times New Roman"/>
                      <w:b/>
                      <w:bCs w:val="0"/>
                      <w:color w:val="auto"/>
                      <w:sz w:val="21"/>
                      <w:szCs w:val="21"/>
                      <w:lang w:val="en-US" w:eastAsia="zh-CN"/>
                    </w:rPr>
                    <w:t>）</w:t>
                  </w:r>
                </w:p>
              </w:tc>
              <w:tc>
                <w:tcPr>
                  <w:tcW w:w="1021" w:type="pct"/>
                  <w:tcBorders>
                    <w:tl2br w:val="nil"/>
                    <w:tr2bl w:val="nil"/>
                  </w:tcBorders>
                  <w:noWrap w:val="0"/>
                  <w:vAlign w:val="center"/>
                </w:tcPr>
                <w:p w14:paraId="15018F31">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排放速率</w:t>
                  </w:r>
                  <w:r>
                    <w:rPr>
                      <w:rFonts w:hint="eastAsia" w:ascii="Times New Roman" w:hAnsi="Times New Roman" w:eastAsia="宋体" w:cs="Times New Roman"/>
                      <w:b/>
                      <w:bCs w:val="0"/>
                      <w:color w:val="auto"/>
                      <w:sz w:val="21"/>
                      <w:szCs w:val="21"/>
                      <w:lang w:val="en-US" w:eastAsia="zh-CN"/>
                    </w:rPr>
                    <w:t>（</w:t>
                  </w:r>
                  <w:r>
                    <w:rPr>
                      <w:rFonts w:hint="default" w:ascii="Times New Roman" w:hAnsi="Times New Roman" w:eastAsia="宋体" w:cs="Times New Roman"/>
                      <w:b/>
                      <w:bCs w:val="0"/>
                      <w:color w:val="auto"/>
                      <w:sz w:val="21"/>
                      <w:szCs w:val="21"/>
                      <w:lang w:val="en-US" w:eastAsia="zh-CN"/>
                    </w:rPr>
                    <w:t>kg/h</w:t>
                  </w:r>
                  <w:r>
                    <w:rPr>
                      <w:rFonts w:hint="eastAsia" w:ascii="Times New Roman" w:hAnsi="Times New Roman" w:eastAsia="宋体" w:cs="Times New Roman"/>
                      <w:b/>
                      <w:bCs w:val="0"/>
                      <w:color w:val="auto"/>
                      <w:sz w:val="21"/>
                      <w:szCs w:val="21"/>
                      <w:lang w:val="en-US" w:eastAsia="zh-CN"/>
                    </w:rPr>
                    <w:t>）</w:t>
                  </w:r>
                </w:p>
              </w:tc>
            </w:tr>
            <w:tr w14:paraId="2127D3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restart"/>
                  <w:tcBorders>
                    <w:tl2br w:val="nil"/>
                    <w:tr2bl w:val="nil"/>
                  </w:tcBorders>
                  <w:noWrap w:val="0"/>
                  <w:tcMar>
                    <w:top w:w="0" w:type="dxa"/>
                    <w:left w:w="6" w:type="dxa"/>
                    <w:bottom w:w="0" w:type="dxa"/>
                    <w:right w:w="6" w:type="dxa"/>
                  </w:tcMar>
                  <w:vAlign w:val="center"/>
                </w:tcPr>
                <w:p w14:paraId="48B1DA5C">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2026.08.07</w:t>
                  </w:r>
                </w:p>
              </w:tc>
              <w:tc>
                <w:tcPr>
                  <w:tcW w:w="677" w:type="pct"/>
                  <w:vMerge w:val="restart"/>
                  <w:tcBorders>
                    <w:tl2br w:val="nil"/>
                    <w:tr2bl w:val="nil"/>
                  </w:tcBorders>
                  <w:noWrap w:val="0"/>
                  <w:tcMar>
                    <w:top w:w="0" w:type="dxa"/>
                    <w:left w:w="6" w:type="dxa"/>
                    <w:bottom w:w="0" w:type="dxa"/>
                    <w:right w:w="6" w:type="dxa"/>
                  </w:tcMar>
                  <w:vAlign w:val="center"/>
                </w:tcPr>
                <w:p w14:paraId="6532D0A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DA001进口</w:t>
                  </w:r>
                </w:p>
              </w:tc>
              <w:tc>
                <w:tcPr>
                  <w:tcW w:w="654" w:type="pct"/>
                  <w:tcBorders>
                    <w:tl2br w:val="nil"/>
                    <w:tr2bl w:val="nil"/>
                  </w:tcBorders>
                  <w:noWrap w:val="0"/>
                  <w:tcMar>
                    <w:top w:w="0" w:type="dxa"/>
                    <w:left w:w="6" w:type="dxa"/>
                    <w:bottom w:w="0" w:type="dxa"/>
                    <w:right w:w="6" w:type="dxa"/>
                  </w:tcMar>
                  <w:vAlign w:val="center"/>
                </w:tcPr>
                <w:p w14:paraId="3061C62B">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867" w:type="pct"/>
                  <w:tcBorders>
                    <w:tl2br w:val="nil"/>
                    <w:tr2bl w:val="nil"/>
                  </w:tcBorders>
                  <w:noWrap w:val="0"/>
                  <w:tcMar>
                    <w:top w:w="0" w:type="dxa"/>
                    <w:left w:w="6" w:type="dxa"/>
                    <w:bottom w:w="0" w:type="dxa"/>
                    <w:right w:w="6" w:type="dxa"/>
                  </w:tcMar>
                  <w:vAlign w:val="center"/>
                </w:tcPr>
                <w:p w14:paraId="4023516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3.90×10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2246929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39.2</w:t>
                  </w:r>
                </w:p>
              </w:tc>
              <w:tc>
                <w:tcPr>
                  <w:tcW w:w="1021" w:type="pct"/>
                  <w:tcBorders>
                    <w:tl2br w:val="nil"/>
                    <w:tr2bl w:val="nil"/>
                  </w:tcBorders>
                  <w:noWrap w:val="0"/>
                  <w:tcMar>
                    <w:top w:w="0" w:type="dxa"/>
                    <w:left w:w="6" w:type="dxa"/>
                    <w:bottom w:w="0" w:type="dxa"/>
                    <w:right w:w="6" w:type="dxa"/>
                  </w:tcMar>
                  <w:vAlign w:val="center"/>
                </w:tcPr>
                <w:p w14:paraId="1C62D57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0.153</w:t>
                  </w:r>
                </w:p>
              </w:tc>
            </w:tr>
            <w:tr w14:paraId="29E939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2BBF5F18">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tcBorders>
                    <w:tl2br w:val="nil"/>
                    <w:tr2bl w:val="nil"/>
                  </w:tcBorders>
                  <w:noWrap w:val="0"/>
                  <w:tcMar>
                    <w:top w:w="0" w:type="dxa"/>
                    <w:left w:w="6" w:type="dxa"/>
                    <w:bottom w:w="0" w:type="dxa"/>
                    <w:right w:w="6" w:type="dxa"/>
                  </w:tcMar>
                  <w:vAlign w:val="center"/>
                </w:tcPr>
                <w:p w14:paraId="0647C73D">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tcBorders>
                    <w:tl2br w:val="nil"/>
                    <w:tr2bl w:val="nil"/>
                  </w:tcBorders>
                  <w:noWrap w:val="0"/>
                  <w:tcMar>
                    <w:top w:w="0" w:type="dxa"/>
                    <w:left w:w="6" w:type="dxa"/>
                    <w:bottom w:w="0" w:type="dxa"/>
                    <w:right w:w="6" w:type="dxa"/>
                  </w:tcMar>
                  <w:vAlign w:val="center"/>
                </w:tcPr>
                <w:p w14:paraId="0526AE64">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867" w:type="pct"/>
                  <w:tcBorders>
                    <w:tl2br w:val="nil"/>
                    <w:tr2bl w:val="nil"/>
                  </w:tcBorders>
                  <w:noWrap w:val="0"/>
                  <w:tcMar>
                    <w:top w:w="0" w:type="dxa"/>
                    <w:left w:w="6" w:type="dxa"/>
                    <w:bottom w:w="0" w:type="dxa"/>
                    <w:right w:w="6" w:type="dxa"/>
                  </w:tcMar>
                  <w:vAlign w:val="center"/>
                </w:tcPr>
                <w:p w14:paraId="44319E7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3.99×10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7490063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39.1</w:t>
                  </w:r>
                </w:p>
              </w:tc>
              <w:tc>
                <w:tcPr>
                  <w:tcW w:w="1021" w:type="pct"/>
                  <w:tcBorders>
                    <w:tl2br w:val="nil"/>
                    <w:tr2bl w:val="nil"/>
                  </w:tcBorders>
                  <w:noWrap w:val="0"/>
                  <w:tcMar>
                    <w:top w:w="0" w:type="dxa"/>
                    <w:left w:w="6" w:type="dxa"/>
                    <w:bottom w:w="0" w:type="dxa"/>
                    <w:right w:w="6" w:type="dxa"/>
                  </w:tcMar>
                  <w:vAlign w:val="center"/>
                </w:tcPr>
                <w:p w14:paraId="22284C5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0.156</w:t>
                  </w:r>
                </w:p>
              </w:tc>
            </w:tr>
            <w:tr w14:paraId="2BC248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5992368C">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tcBorders>
                    <w:tl2br w:val="nil"/>
                    <w:tr2bl w:val="nil"/>
                  </w:tcBorders>
                  <w:noWrap w:val="0"/>
                  <w:tcMar>
                    <w:top w:w="0" w:type="dxa"/>
                    <w:left w:w="6" w:type="dxa"/>
                    <w:bottom w:w="0" w:type="dxa"/>
                    <w:right w:w="6" w:type="dxa"/>
                  </w:tcMar>
                  <w:vAlign w:val="center"/>
                </w:tcPr>
                <w:p w14:paraId="461D6433">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tcBorders>
                    <w:tl2br w:val="nil"/>
                    <w:tr2bl w:val="nil"/>
                  </w:tcBorders>
                  <w:noWrap w:val="0"/>
                  <w:tcMar>
                    <w:top w:w="0" w:type="dxa"/>
                    <w:left w:w="6" w:type="dxa"/>
                    <w:bottom w:w="0" w:type="dxa"/>
                    <w:right w:w="6" w:type="dxa"/>
                  </w:tcMar>
                  <w:vAlign w:val="center"/>
                </w:tcPr>
                <w:p w14:paraId="37382F27">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867" w:type="pct"/>
                  <w:tcBorders>
                    <w:tl2br w:val="nil"/>
                    <w:tr2bl w:val="nil"/>
                  </w:tcBorders>
                  <w:noWrap w:val="0"/>
                  <w:tcMar>
                    <w:top w:w="0" w:type="dxa"/>
                    <w:left w:w="6" w:type="dxa"/>
                    <w:bottom w:w="0" w:type="dxa"/>
                    <w:right w:w="6" w:type="dxa"/>
                  </w:tcMar>
                  <w:vAlign w:val="center"/>
                </w:tcPr>
                <w:p w14:paraId="09E85EF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3.85×10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33FA955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38.5</w:t>
                  </w:r>
                </w:p>
              </w:tc>
              <w:tc>
                <w:tcPr>
                  <w:tcW w:w="1021" w:type="pct"/>
                  <w:tcBorders>
                    <w:tl2br w:val="nil"/>
                    <w:tr2bl w:val="nil"/>
                  </w:tcBorders>
                  <w:noWrap w:val="0"/>
                  <w:tcMar>
                    <w:top w:w="0" w:type="dxa"/>
                    <w:left w:w="6" w:type="dxa"/>
                    <w:bottom w:w="0" w:type="dxa"/>
                    <w:right w:w="6" w:type="dxa"/>
                  </w:tcMar>
                  <w:vAlign w:val="center"/>
                </w:tcPr>
                <w:p w14:paraId="64E5D56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0.148</w:t>
                  </w:r>
                </w:p>
              </w:tc>
            </w:tr>
            <w:tr w14:paraId="08A87A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6AD7EBE9">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tcBorders>
                    <w:tl2br w:val="nil"/>
                    <w:tr2bl w:val="nil"/>
                  </w:tcBorders>
                  <w:noWrap w:val="0"/>
                  <w:tcMar>
                    <w:top w:w="0" w:type="dxa"/>
                    <w:left w:w="6" w:type="dxa"/>
                    <w:bottom w:w="0" w:type="dxa"/>
                    <w:right w:w="6" w:type="dxa"/>
                  </w:tcMar>
                  <w:vAlign w:val="center"/>
                </w:tcPr>
                <w:p w14:paraId="4FD86B4D">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tcBorders>
                    <w:tl2br w:val="nil"/>
                    <w:tr2bl w:val="nil"/>
                  </w:tcBorders>
                  <w:noWrap w:val="0"/>
                  <w:tcMar>
                    <w:top w:w="0" w:type="dxa"/>
                    <w:left w:w="6" w:type="dxa"/>
                    <w:bottom w:w="0" w:type="dxa"/>
                    <w:right w:w="6" w:type="dxa"/>
                  </w:tcMar>
                  <w:vAlign w:val="center"/>
                </w:tcPr>
                <w:p w14:paraId="210111A8">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均值</w:t>
                  </w:r>
                </w:p>
              </w:tc>
              <w:tc>
                <w:tcPr>
                  <w:tcW w:w="867" w:type="pct"/>
                  <w:tcBorders>
                    <w:tl2br w:val="nil"/>
                    <w:tr2bl w:val="nil"/>
                  </w:tcBorders>
                  <w:noWrap w:val="0"/>
                  <w:tcMar>
                    <w:top w:w="0" w:type="dxa"/>
                    <w:left w:w="6" w:type="dxa"/>
                    <w:bottom w:w="0" w:type="dxa"/>
                    <w:right w:w="6" w:type="dxa"/>
                  </w:tcMar>
                  <w:vAlign w:val="center"/>
                </w:tcPr>
                <w:p w14:paraId="3E56B23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3.91×10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73D98A5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38.9</w:t>
                  </w:r>
                </w:p>
              </w:tc>
              <w:tc>
                <w:tcPr>
                  <w:tcW w:w="1021" w:type="pct"/>
                  <w:tcBorders>
                    <w:tl2br w:val="nil"/>
                    <w:tr2bl w:val="nil"/>
                  </w:tcBorders>
                  <w:noWrap w:val="0"/>
                  <w:tcMar>
                    <w:top w:w="0" w:type="dxa"/>
                    <w:left w:w="6" w:type="dxa"/>
                    <w:bottom w:w="0" w:type="dxa"/>
                    <w:right w:w="6" w:type="dxa"/>
                  </w:tcMar>
                  <w:vAlign w:val="center"/>
                </w:tcPr>
                <w:p w14:paraId="3850939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0.152</w:t>
                  </w:r>
                </w:p>
              </w:tc>
            </w:tr>
            <w:tr w14:paraId="10CACC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6A940C01">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restart"/>
                  <w:tcBorders>
                    <w:tl2br w:val="nil"/>
                    <w:tr2bl w:val="nil"/>
                  </w:tcBorders>
                  <w:noWrap w:val="0"/>
                  <w:tcMar>
                    <w:top w:w="0" w:type="dxa"/>
                    <w:left w:w="6" w:type="dxa"/>
                    <w:bottom w:w="0" w:type="dxa"/>
                    <w:right w:w="6" w:type="dxa"/>
                  </w:tcMar>
                  <w:vAlign w:val="center"/>
                </w:tcPr>
                <w:p w14:paraId="3A2CC84C">
                  <w:pPr>
                    <w:spacing w:after="0"/>
                    <w:jc w:val="center"/>
                    <w:textAlignment w:val="baseline"/>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DA001</w:t>
                  </w:r>
                  <w:r>
                    <w:rPr>
                      <w:rFonts w:hint="eastAsia" w:ascii="Times New Roman" w:hAnsi="Times New Roman" w:eastAsia="宋体" w:cs="Times New Roman"/>
                      <w:bCs/>
                      <w:color w:val="auto"/>
                      <w:sz w:val="21"/>
                      <w:szCs w:val="21"/>
                      <w:lang w:val="en-US" w:eastAsia="zh-CN"/>
                    </w:rPr>
                    <w:t>出</w:t>
                  </w:r>
                  <w:r>
                    <w:rPr>
                      <w:rFonts w:hint="default" w:ascii="Times New Roman" w:hAnsi="Times New Roman" w:eastAsia="宋体" w:cs="Times New Roman"/>
                      <w:bCs/>
                      <w:color w:val="auto"/>
                      <w:sz w:val="21"/>
                      <w:szCs w:val="21"/>
                      <w:lang w:val="en-US" w:eastAsia="zh-CN"/>
                    </w:rPr>
                    <w:t>口</w:t>
                  </w:r>
                </w:p>
              </w:tc>
              <w:tc>
                <w:tcPr>
                  <w:tcW w:w="654" w:type="pct"/>
                  <w:tcBorders>
                    <w:tl2br w:val="nil"/>
                    <w:tr2bl w:val="nil"/>
                  </w:tcBorders>
                  <w:noWrap w:val="0"/>
                  <w:tcMar>
                    <w:top w:w="0" w:type="dxa"/>
                    <w:left w:w="6" w:type="dxa"/>
                    <w:bottom w:w="0" w:type="dxa"/>
                    <w:right w:w="6" w:type="dxa"/>
                  </w:tcMar>
                  <w:vAlign w:val="center"/>
                </w:tcPr>
                <w:p w14:paraId="2234D966">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867" w:type="pct"/>
                  <w:tcBorders>
                    <w:tl2br w:val="nil"/>
                    <w:tr2bl w:val="nil"/>
                  </w:tcBorders>
                  <w:noWrap w:val="0"/>
                  <w:tcMar>
                    <w:top w:w="0" w:type="dxa"/>
                    <w:left w:w="6" w:type="dxa"/>
                    <w:bottom w:w="0" w:type="dxa"/>
                    <w:right w:w="6" w:type="dxa"/>
                  </w:tcMar>
                  <w:vAlign w:val="center"/>
                </w:tcPr>
                <w:p w14:paraId="659BBBC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4.25×10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5377058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6.93</w:t>
                  </w:r>
                </w:p>
              </w:tc>
              <w:tc>
                <w:tcPr>
                  <w:tcW w:w="1021" w:type="pct"/>
                  <w:tcBorders>
                    <w:tl2br w:val="nil"/>
                    <w:tr2bl w:val="nil"/>
                  </w:tcBorders>
                  <w:noWrap w:val="0"/>
                  <w:tcMar>
                    <w:top w:w="0" w:type="dxa"/>
                    <w:left w:w="6" w:type="dxa"/>
                    <w:bottom w:w="0" w:type="dxa"/>
                    <w:right w:w="6" w:type="dxa"/>
                  </w:tcMar>
                  <w:vAlign w:val="center"/>
                </w:tcPr>
                <w:p w14:paraId="24BB1C8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0.0295</w:t>
                  </w:r>
                </w:p>
              </w:tc>
            </w:tr>
            <w:tr w14:paraId="498754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378EE6A2">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tcBorders>
                    <w:tl2br w:val="nil"/>
                    <w:tr2bl w:val="nil"/>
                  </w:tcBorders>
                  <w:noWrap w:val="0"/>
                  <w:tcMar>
                    <w:top w:w="0" w:type="dxa"/>
                    <w:left w:w="6" w:type="dxa"/>
                    <w:bottom w:w="0" w:type="dxa"/>
                    <w:right w:w="6" w:type="dxa"/>
                  </w:tcMar>
                  <w:vAlign w:val="center"/>
                </w:tcPr>
                <w:p w14:paraId="17A531D9">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tcBorders>
                    <w:tl2br w:val="nil"/>
                    <w:tr2bl w:val="nil"/>
                  </w:tcBorders>
                  <w:noWrap w:val="0"/>
                  <w:tcMar>
                    <w:top w:w="0" w:type="dxa"/>
                    <w:left w:w="6" w:type="dxa"/>
                    <w:bottom w:w="0" w:type="dxa"/>
                    <w:right w:w="6" w:type="dxa"/>
                  </w:tcMar>
                  <w:vAlign w:val="center"/>
                </w:tcPr>
                <w:p w14:paraId="3CEA0CFE">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867" w:type="pct"/>
                  <w:tcBorders>
                    <w:tl2br w:val="nil"/>
                    <w:tr2bl w:val="nil"/>
                  </w:tcBorders>
                  <w:noWrap w:val="0"/>
                  <w:tcMar>
                    <w:top w:w="0" w:type="dxa"/>
                    <w:left w:w="6" w:type="dxa"/>
                    <w:bottom w:w="0" w:type="dxa"/>
                    <w:right w:w="6" w:type="dxa"/>
                  </w:tcMar>
                  <w:vAlign w:val="center"/>
                </w:tcPr>
                <w:p w14:paraId="3DCB4CE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4.17×10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2670965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7.29</w:t>
                  </w:r>
                </w:p>
              </w:tc>
              <w:tc>
                <w:tcPr>
                  <w:tcW w:w="1021" w:type="pct"/>
                  <w:tcBorders>
                    <w:tl2br w:val="nil"/>
                    <w:tr2bl w:val="nil"/>
                  </w:tcBorders>
                  <w:noWrap w:val="0"/>
                  <w:tcMar>
                    <w:top w:w="0" w:type="dxa"/>
                    <w:left w:w="6" w:type="dxa"/>
                    <w:bottom w:w="0" w:type="dxa"/>
                    <w:right w:w="6" w:type="dxa"/>
                  </w:tcMar>
                  <w:vAlign w:val="center"/>
                </w:tcPr>
                <w:p w14:paraId="1B47B58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0.0304</w:t>
                  </w:r>
                </w:p>
              </w:tc>
            </w:tr>
            <w:tr w14:paraId="10FE06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0CD89B6E">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tcBorders>
                    <w:tl2br w:val="nil"/>
                    <w:tr2bl w:val="nil"/>
                  </w:tcBorders>
                  <w:noWrap w:val="0"/>
                  <w:tcMar>
                    <w:top w:w="0" w:type="dxa"/>
                    <w:left w:w="6" w:type="dxa"/>
                    <w:bottom w:w="0" w:type="dxa"/>
                    <w:right w:w="6" w:type="dxa"/>
                  </w:tcMar>
                  <w:vAlign w:val="center"/>
                </w:tcPr>
                <w:p w14:paraId="27AC5BE3">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tcBorders>
                    <w:tl2br w:val="nil"/>
                    <w:tr2bl w:val="nil"/>
                  </w:tcBorders>
                  <w:noWrap w:val="0"/>
                  <w:tcMar>
                    <w:top w:w="0" w:type="dxa"/>
                    <w:left w:w="6" w:type="dxa"/>
                    <w:bottom w:w="0" w:type="dxa"/>
                    <w:right w:w="6" w:type="dxa"/>
                  </w:tcMar>
                  <w:vAlign w:val="center"/>
                </w:tcPr>
                <w:p w14:paraId="7FD65793">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867" w:type="pct"/>
                  <w:tcBorders>
                    <w:tl2br w:val="nil"/>
                    <w:tr2bl w:val="nil"/>
                  </w:tcBorders>
                  <w:noWrap w:val="0"/>
                  <w:tcMar>
                    <w:top w:w="0" w:type="dxa"/>
                    <w:left w:w="6" w:type="dxa"/>
                    <w:bottom w:w="0" w:type="dxa"/>
                    <w:right w:w="6" w:type="dxa"/>
                  </w:tcMar>
                  <w:vAlign w:val="center"/>
                </w:tcPr>
                <w:p w14:paraId="6C88F88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4.09×10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3163F39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7.01</w:t>
                  </w:r>
                </w:p>
              </w:tc>
              <w:tc>
                <w:tcPr>
                  <w:tcW w:w="1021" w:type="pct"/>
                  <w:tcBorders>
                    <w:tl2br w:val="nil"/>
                    <w:tr2bl w:val="nil"/>
                  </w:tcBorders>
                  <w:noWrap w:val="0"/>
                  <w:tcMar>
                    <w:top w:w="0" w:type="dxa"/>
                    <w:left w:w="6" w:type="dxa"/>
                    <w:bottom w:w="0" w:type="dxa"/>
                    <w:right w:w="6" w:type="dxa"/>
                  </w:tcMar>
                  <w:vAlign w:val="center"/>
                </w:tcPr>
                <w:p w14:paraId="256B429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0.0287</w:t>
                  </w:r>
                </w:p>
              </w:tc>
            </w:tr>
            <w:tr w14:paraId="14DAF4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3234E80B">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tcBorders>
                    <w:tl2br w:val="nil"/>
                    <w:tr2bl w:val="nil"/>
                  </w:tcBorders>
                  <w:noWrap w:val="0"/>
                  <w:tcMar>
                    <w:top w:w="0" w:type="dxa"/>
                    <w:left w:w="6" w:type="dxa"/>
                    <w:bottom w:w="0" w:type="dxa"/>
                    <w:right w:w="6" w:type="dxa"/>
                  </w:tcMar>
                  <w:vAlign w:val="center"/>
                </w:tcPr>
                <w:p w14:paraId="50539ECC">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tcBorders>
                    <w:tl2br w:val="nil"/>
                    <w:tr2bl w:val="nil"/>
                  </w:tcBorders>
                  <w:noWrap w:val="0"/>
                  <w:tcMar>
                    <w:top w:w="0" w:type="dxa"/>
                    <w:left w:w="6" w:type="dxa"/>
                    <w:bottom w:w="0" w:type="dxa"/>
                    <w:right w:w="6" w:type="dxa"/>
                  </w:tcMar>
                  <w:vAlign w:val="center"/>
                </w:tcPr>
                <w:p w14:paraId="40D7CDFF">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均值</w:t>
                  </w:r>
                </w:p>
              </w:tc>
              <w:tc>
                <w:tcPr>
                  <w:tcW w:w="867" w:type="pct"/>
                  <w:tcBorders>
                    <w:tl2br w:val="nil"/>
                    <w:tr2bl w:val="nil"/>
                  </w:tcBorders>
                  <w:noWrap w:val="0"/>
                  <w:tcMar>
                    <w:top w:w="0" w:type="dxa"/>
                    <w:left w:w="6" w:type="dxa"/>
                    <w:bottom w:w="0" w:type="dxa"/>
                    <w:right w:w="6" w:type="dxa"/>
                  </w:tcMar>
                  <w:vAlign w:val="center"/>
                </w:tcPr>
                <w:p w14:paraId="29A3BDC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4.17×10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730248B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7.08</w:t>
                  </w:r>
                </w:p>
              </w:tc>
              <w:tc>
                <w:tcPr>
                  <w:tcW w:w="1021" w:type="pct"/>
                  <w:tcBorders>
                    <w:tl2br w:val="nil"/>
                    <w:tr2bl w:val="nil"/>
                  </w:tcBorders>
                  <w:noWrap w:val="0"/>
                  <w:tcMar>
                    <w:top w:w="0" w:type="dxa"/>
                    <w:left w:w="6" w:type="dxa"/>
                    <w:bottom w:w="0" w:type="dxa"/>
                    <w:right w:w="6" w:type="dxa"/>
                  </w:tcMar>
                  <w:vAlign w:val="center"/>
                </w:tcPr>
                <w:p w14:paraId="3E51F8E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0.0295</w:t>
                  </w:r>
                </w:p>
              </w:tc>
            </w:tr>
            <w:tr w14:paraId="2D404E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restart"/>
                  <w:tcBorders>
                    <w:tl2br w:val="nil"/>
                    <w:tr2bl w:val="nil"/>
                  </w:tcBorders>
                  <w:noWrap w:val="0"/>
                  <w:tcMar>
                    <w:top w:w="0" w:type="dxa"/>
                    <w:left w:w="6" w:type="dxa"/>
                    <w:bottom w:w="0" w:type="dxa"/>
                    <w:right w:w="6" w:type="dxa"/>
                  </w:tcMar>
                  <w:vAlign w:val="center"/>
                </w:tcPr>
                <w:p w14:paraId="09E5E9A0">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2026.08.08</w:t>
                  </w:r>
                </w:p>
              </w:tc>
              <w:tc>
                <w:tcPr>
                  <w:tcW w:w="677" w:type="pct"/>
                  <w:vMerge w:val="restart"/>
                  <w:tcBorders>
                    <w:tl2br w:val="nil"/>
                    <w:tr2bl w:val="nil"/>
                  </w:tcBorders>
                  <w:noWrap w:val="0"/>
                  <w:tcMar>
                    <w:top w:w="0" w:type="dxa"/>
                    <w:left w:w="6" w:type="dxa"/>
                    <w:bottom w:w="0" w:type="dxa"/>
                    <w:right w:w="6" w:type="dxa"/>
                  </w:tcMar>
                  <w:vAlign w:val="center"/>
                </w:tcPr>
                <w:p w14:paraId="5256F8DE">
                  <w:pPr>
                    <w:spacing w:after="0"/>
                    <w:jc w:val="center"/>
                    <w:textAlignment w:val="baseline"/>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DA001进口</w:t>
                  </w:r>
                </w:p>
              </w:tc>
              <w:tc>
                <w:tcPr>
                  <w:tcW w:w="654" w:type="pct"/>
                  <w:tcBorders>
                    <w:tl2br w:val="nil"/>
                    <w:tr2bl w:val="nil"/>
                  </w:tcBorders>
                  <w:noWrap w:val="0"/>
                  <w:tcMar>
                    <w:top w:w="0" w:type="dxa"/>
                    <w:left w:w="6" w:type="dxa"/>
                    <w:bottom w:w="0" w:type="dxa"/>
                    <w:right w:w="6" w:type="dxa"/>
                  </w:tcMar>
                  <w:vAlign w:val="center"/>
                </w:tcPr>
                <w:p w14:paraId="014FD978">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867" w:type="pct"/>
                  <w:tcBorders>
                    <w:tl2br w:val="nil"/>
                    <w:tr2bl w:val="nil"/>
                  </w:tcBorders>
                  <w:noWrap w:val="0"/>
                  <w:tcMar>
                    <w:top w:w="0" w:type="dxa"/>
                    <w:left w:w="6" w:type="dxa"/>
                    <w:bottom w:w="0" w:type="dxa"/>
                    <w:right w:w="6" w:type="dxa"/>
                  </w:tcMar>
                  <w:vAlign w:val="center"/>
                </w:tcPr>
                <w:p w14:paraId="481F4D2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4.04×10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428F565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38.1</w:t>
                  </w:r>
                </w:p>
              </w:tc>
              <w:tc>
                <w:tcPr>
                  <w:tcW w:w="1021" w:type="pct"/>
                  <w:tcBorders>
                    <w:tl2br w:val="nil"/>
                    <w:tr2bl w:val="nil"/>
                  </w:tcBorders>
                  <w:noWrap w:val="0"/>
                  <w:tcMar>
                    <w:top w:w="0" w:type="dxa"/>
                    <w:left w:w="6" w:type="dxa"/>
                    <w:bottom w:w="0" w:type="dxa"/>
                    <w:right w:w="6" w:type="dxa"/>
                  </w:tcMar>
                  <w:vAlign w:val="center"/>
                </w:tcPr>
                <w:p w14:paraId="3B1FD92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0.154</w:t>
                  </w:r>
                </w:p>
              </w:tc>
            </w:tr>
            <w:tr w14:paraId="3FFB6F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tcBorders>
                    <w:tl2br w:val="nil"/>
                    <w:tr2bl w:val="nil"/>
                  </w:tcBorders>
                  <w:noWrap w:val="0"/>
                  <w:tcMar>
                    <w:top w:w="0" w:type="dxa"/>
                    <w:left w:w="6" w:type="dxa"/>
                    <w:bottom w:w="0" w:type="dxa"/>
                    <w:right w:w="6" w:type="dxa"/>
                  </w:tcMar>
                  <w:vAlign w:val="center"/>
                </w:tcPr>
                <w:p w14:paraId="5983CFA2">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tcBorders>
                    <w:tl2br w:val="nil"/>
                    <w:tr2bl w:val="nil"/>
                  </w:tcBorders>
                  <w:noWrap w:val="0"/>
                  <w:tcMar>
                    <w:top w:w="0" w:type="dxa"/>
                    <w:left w:w="6" w:type="dxa"/>
                    <w:bottom w:w="0" w:type="dxa"/>
                    <w:right w:w="6" w:type="dxa"/>
                  </w:tcMar>
                  <w:vAlign w:val="center"/>
                </w:tcPr>
                <w:p w14:paraId="1724C683">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tcBorders>
                    <w:tl2br w:val="nil"/>
                    <w:tr2bl w:val="nil"/>
                  </w:tcBorders>
                  <w:noWrap w:val="0"/>
                  <w:tcMar>
                    <w:top w:w="0" w:type="dxa"/>
                    <w:left w:w="6" w:type="dxa"/>
                    <w:bottom w:w="0" w:type="dxa"/>
                    <w:right w:w="6" w:type="dxa"/>
                  </w:tcMar>
                  <w:vAlign w:val="center"/>
                </w:tcPr>
                <w:p w14:paraId="066CEFCA">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867" w:type="pct"/>
                  <w:tcBorders>
                    <w:tl2br w:val="nil"/>
                    <w:tr2bl w:val="nil"/>
                  </w:tcBorders>
                  <w:noWrap w:val="0"/>
                  <w:tcMar>
                    <w:top w:w="0" w:type="dxa"/>
                    <w:left w:w="6" w:type="dxa"/>
                    <w:bottom w:w="0" w:type="dxa"/>
                    <w:right w:w="6" w:type="dxa"/>
                  </w:tcMar>
                  <w:vAlign w:val="center"/>
                </w:tcPr>
                <w:p w14:paraId="2CDDAE0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3.89×10</w:t>
                  </w:r>
                  <w:r>
                    <w:rPr>
                      <w:rFonts w:hint="default" w:ascii="Times New Roman" w:hAnsi="Times New Roman" w:eastAsia="宋体" w:cs="Times New Roman"/>
                      <w:bCs/>
                      <w:color w:val="auto"/>
                      <w:sz w:val="21"/>
                      <w:szCs w:val="21"/>
                      <w:vertAlign w:val="superscript"/>
                      <w:lang w:val="en-US" w:eastAsia="zh-CN"/>
                    </w:rPr>
                    <w:t>3</w:t>
                  </w:r>
                </w:p>
              </w:tc>
              <w:tc>
                <w:tcPr>
                  <w:tcW w:w="1143" w:type="pct"/>
                  <w:tcBorders>
                    <w:tl2br w:val="nil"/>
                    <w:tr2bl w:val="nil"/>
                  </w:tcBorders>
                  <w:noWrap w:val="0"/>
                  <w:tcMar>
                    <w:top w:w="0" w:type="dxa"/>
                    <w:left w:w="6" w:type="dxa"/>
                    <w:bottom w:w="0" w:type="dxa"/>
                    <w:right w:w="6" w:type="dxa"/>
                  </w:tcMar>
                  <w:vAlign w:val="center"/>
                </w:tcPr>
                <w:p w14:paraId="2234C7E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38.5</w:t>
                  </w:r>
                </w:p>
              </w:tc>
              <w:tc>
                <w:tcPr>
                  <w:tcW w:w="1021" w:type="pct"/>
                  <w:tcBorders>
                    <w:tl2br w:val="nil"/>
                    <w:tr2bl w:val="nil"/>
                  </w:tcBorders>
                  <w:noWrap w:val="0"/>
                  <w:tcMar>
                    <w:top w:w="0" w:type="dxa"/>
                    <w:left w:w="6" w:type="dxa"/>
                    <w:bottom w:w="0" w:type="dxa"/>
                    <w:right w:w="6" w:type="dxa"/>
                  </w:tcMar>
                  <w:vAlign w:val="center"/>
                </w:tcPr>
                <w:p w14:paraId="292914C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0.150</w:t>
                  </w:r>
                </w:p>
              </w:tc>
            </w:tr>
            <w:tr w14:paraId="39C32D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noWrap w:val="0"/>
                  <w:vAlign w:val="top"/>
                </w:tcPr>
                <w:p w14:paraId="67AE4205">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noWrap w:val="0"/>
                  <w:vAlign w:val="center"/>
                </w:tcPr>
                <w:p w14:paraId="20FB0912">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noWrap w:val="0"/>
                  <w:vAlign w:val="center"/>
                </w:tcPr>
                <w:p w14:paraId="7A2109D3">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867" w:type="pct"/>
                  <w:noWrap w:val="0"/>
                  <w:vAlign w:val="center"/>
                </w:tcPr>
                <w:p w14:paraId="37851C0C">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3.98×10</w:t>
                  </w:r>
                  <w:r>
                    <w:rPr>
                      <w:rFonts w:hint="default" w:ascii="Times New Roman" w:hAnsi="Times New Roman" w:eastAsia="宋体" w:cs="Times New Roman"/>
                      <w:bCs/>
                      <w:color w:val="auto"/>
                      <w:sz w:val="21"/>
                      <w:szCs w:val="21"/>
                      <w:vertAlign w:val="superscript"/>
                      <w:lang w:val="en-US" w:eastAsia="zh-CN"/>
                    </w:rPr>
                    <w:t>3</w:t>
                  </w:r>
                </w:p>
              </w:tc>
              <w:tc>
                <w:tcPr>
                  <w:tcW w:w="1143" w:type="pct"/>
                  <w:noWrap w:val="0"/>
                  <w:vAlign w:val="center"/>
                </w:tcPr>
                <w:p w14:paraId="4BACE51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37.5</w:t>
                  </w:r>
                </w:p>
              </w:tc>
              <w:tc>
                <w:tcPr>
                  <w:tcW w:w="1021" w:type="pct"/>
                  <w:noWrap w:val="0"/>
                  <w:vAlign w:val="center"/>
                </w:tcPr>
                <w:p w14:paraId="505AF30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0.149</w:t>
                  </w:r>
                </w:p>
              </w:tc>
            </w:tr>
            <w:tr w14:paraId="232215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noWrap w:val="0"/>
                  <w:vAlign w:val="top"/>
                </w:tcPr>
                <w:p w14:paraId="03081086">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noWrap w:val="0"/>
                  <w:vAlign w:val="center"/>
                </w:tcPr>
                <w:p w14:paraId="71AF83A1">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noWrap w:val="0"/>
                  <w:vAlign w:val="center"/>
                </w:tcPr>
                <w:p w14:paraId="280761E2">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均值</w:t>
                  </w:r>
                </w:p>
              </w:tc>
              <w:tc>
                <w:tcPr>
                  <w:tcW w:w="867" w:type="pct"/>
                  <w:noWrap w:val="0"/>
                  <w:vAlign w:val="center"/>
                </w:tcPr>
                <w:p w14:paraId="71BF8FF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3.97×10</w:t>
                  </w:r>
                  <w:r>
                    <w:rPr>
                      <w:rFonts w:hint="default" w:ascii="Times New Roman" w:hAnsi="Times New Roman" w:eastAsia="宋体" w:cs="Times New Roman"/>
                      <w:bCs/>
                      <w:color w:val="auto"/>
                      <w:sz w:val="21"/>
                      <w:szCs w:val="21"/>
                      <w:vertAlign w:val="superscript"/>
                      <w:lang w:val="en-US" w:eastAsia="zh-CN"/>
                    </w:rPr>
                    <w:t>3</w:t>
                  </w:r>
                </w:p>
              </w:tc>
              <w:tc>
                <w:tcPr>
                  <w:tcW w:w="1143" w:type="pct"/>
                  <w:noWrap w:val="0"/>
                  <w:vAlign w:val="center"/>
                </w:tcPr>
                <w:p w14:paraId="0F34E3C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38.0</w:t>
                  </w:r>
                </w:p>
              </w:tc>
              <w:tc>
                <w:tcPr>
                  <w:tcW w:w="1021" w:type="pct"/>
                  <w:noWrap w:val="0"/>
                  <w:vAlign w:val="center"/>
                </w:tcPr>
                <w:p w14:paraId="544AE5D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0.151</w:t>
                  </w:r>
                </w:p>
              </w:tc>
            </w:tr>
            <w:tr w14:paraId="2C459F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noWrap w:val="0"/>
                  <w:vAlign w:val="center"/>
                </w:tcPr>
                <w:p w14:paraId="5B17B00F">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restart"/>
                  <w:noWrap w:val="0"/>
                  <w:vAlign w:val="center"/>
                </w:tcPr>
                <w:p w14:paraId="531350E5">
                  <w:pPr>
                    <w:spacing w:after="0"/>
                    <w:jc w:val="center"/>
                    <w:textAlignment w:val="baseline"/>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DA001</w:t>
                  </w:r>
                  <w:r>
                    <w:rPr>
                      <w:rFonts w:hint="eastAsia" w:ascii="Times New Roman" w:hAnsi="Times New Roman" w:eastAsia="宋体" w:cs="Times New Roman"/>
                      <w:bCs/>
                      <w:color w:val="auto"/>
                      <w:sz w:val="21"/>
                      <w:szCs w:val="21"/>
                      <w:lang w:val="en-US" w:eastAsia="zh-CN"/>
                    </w:rPr>
                    <w:t>出</w:t>
                  </w:r>
                  <w:r>
                    <w:rPr>
                      <w:rFonts w:hint="default" w:ascii="Times New Roman" w:hAnsi="Times New Roman" w:eastAsia="宋体" w:cs="Times New Roman"/>
                      <w:bCs/>
                      <w:color w:val="auto"/>
                      <w:sz w:val="21"/>
                      <w:szCs w:val="21"/>
                      <w:lang w:val="en-US" w:eastAsia="zh-CN"/>
                    </w:rPr>
                    <w:t>口</w:t>
                  </w:r>
                </w:p>
              </w:tc>
              <w:tc>
                <w:tcPr>
                  <w:tcW w:w="654" w:type="pct"/>
                  <w:noWrap w:val="0"/>
                  <w:vAlign w:val="center"/>
                </w:tcPr>
                <w:p w14:paraId="368E5782">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867" w:type="pct"/>
                  <w:noWrap w:val="0"/>
                  <w:vAlign w:val="center"/>
                </w:tcPr>
                <w:p w14:paraId="36F9254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4.36×10</w:t>
                  </w:r>
                  <w:r>
                    <w:rPr>
                      <w:rFonts w:hint="default" w:ascii="Times New Roman" w:hAnsi="Times New Roman" w:eastAsia="宋体" w:cs="Times New Roman"/>
                      <w:bCs/>
                      <w:color w:val="auto"/>
                      <w:sz w:val="21"/>
                      <w:szCs w:val="21"/>
                      <w:vertAlign w:val="superscript"/>
                      <w:lang w:val="en-US" w:eastAsia="zh-CN"/>
                    </w:rPr>
                    <w:t>3</w:t>
                  </w:r>
                </w:p>
              </w:tc>
              <w:tc>
                <w:tcPr>
                  <w:tcW w:w="1143" w:type="pct"/>
                  <w:noWrap w:val="0"/>
                  <w:vAlign w:val="center"/>
                </w:tcPr>
                <w:p w14:paraId="3B13F92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7.03</w:t>
                  </w:r>
                </w:p>
              </w:tc>
              <w:tc>
                <w:tcPr>
                  <w:tcW w:w="1021" w:type="pct"/>
                  <w:noWrap w:val="0"/>
                  <w:vAlign w:val="center"/>
                </w:tcPr>
                <w:p w14:paraId="336132A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0.0307</w:t>
                  </w:r>
                </w:p>
              </w:tc>
            </w:tr>
            <w:tr w14:paraId="740B58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noWrap w:val="0"/>
                  <w:vAlign w:val="top"/>
                </w:tcPr>
                <w:p w14:paraId="3572CA40">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noWrap w:val="0"/>
                  <w:vAlign w:val="center"/>
                </w:tcPr>
                <w:p w14:paraId="4FA07032">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noWrap w:val="0"/>
                  <w:vAlign w:val="center"/>
                </w:tcPr>
                <w:p w14:paraId="4E4E2647">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867" w:type="pct"/>
                  <w:noWrap w:val="0"/>
                  <w:vAlign w:val="center"/>
                </w:tcPr>
                <w:p w14:paraId="67F26ED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4.24×10</w:t>
                  </w:r>
                  <w:r>
                    <w:rPr>
                      <w:rFonts w:hint="default" w:ascii="Times New Roman" w:hAnsi="Times New Roman" w:eastAsia="宋体" w:cs="Times New Roman"/>
                      <w:bCs/>
                      <w:color w:val="auto"/>
                      <w:sz w:val="21"/>
                      <w:szCs w:val="21"/>
                      <w:vertAlign w:val="superscript"/>
                      <w:lang w:val="en-US" w:eastAsia="zh-CN"/>
                    </w:rPr>
                    <w:t>3</w:t>
                  </w:r>
                </w:p>
              </w:tc>
              <w:tc>
                <w:tcPr>
                  <w:tcW w:w="1143" w:type="pct"/>
                  <w:noWrap w:val="0"/>
                  <w:vAlign w:val="center"/>
                </w:tcPr>
                <w:p w14:paraId="173B911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6.92</w:t>
                  </w:r>
                </w:p>
              </w:tc>
              <w:tc>
                <w:tcPr>
                  <w:tcW w:w="1021" w:type="pct"/>
                  <w:noWrap w:val="0"/>
                  <w:vAlign w:val="center"/>
                </w:tcPr>
                <w:p w14:paraId="59DA3FF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0.0293</w:t>
                  </w:r>
                </w:p>
              </w:tc>
            </w:tr>
            <w:tr w14:paraId="546608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noWrap w:val="0"/>
                  <w:vAlign w:val="top"/>
                </w:tcPr>
                <w:p w14:paraId="57EB54B4">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noWrap w:val="0"/>
                  <w:vAlign w:val="center"/>
                </w:tcPr>
                <w:p w14:paraId="6C406550">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noWrap w:val="0"/>
                  <w:vAlign w:val="center"/>
                </w:tcPr>
                <w:p w14:paraId="5E5FFA0B">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867" w:type="pct"/>
                  <w:noWrap w:val="0"/>
                  <w:vAlign w:val="center"/>
                </w:tcPr>
                <w:p w14:paraId="68ECE07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4.30×10</w:t>
                  </w:r>
                  <w:r>
                    <w:rPr>
                      <w:rFonts w:hint="default" w:ascii="Times New Roman" w:hAnsi="Times New Roman" w:eastAsia="宋体" w:cs="Times New Roman"/>
                      <w:bCs/>
                      <w:color w:val="auto"/>
                      <w:sz w:val="21"/>
                      <w:szCs w:val="21"/>
                      <w:vertAlign w:val="superscript"/>
                      <w:lang w:val="en-US" w:eastAsia="zh-CN"/>
                    </w:rPr>
                    <w:t>3</w:t>
                  </w:r>
                </w:p>
              </w:tc>
              <w:tc>
                <w:tcPr>
                  <w:tcW w:w="1143" w:type="pct"/>
                  <w:noWrap w:val="0"/>
                  <w:vAlign w:val="center"/>
                </w:tcPr>
                <w:p w14:paraId="1E0C6C3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6.88</w:t>
                  </w:r>
                </w:p>
              </w:tc>
              <w:tc>
                <w:tcPr>
                  <w:tcW w:w="1021" w:type="pct"/>
                  <w:noWrap w:val="0"/>
                  <w:vAlign w:val="center"/>
                </w:tcPr>
                <w:p w14:paraId="4FDEBA7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0.0296</w:t>
                  </w:r>
                </w:p>
              </w:tc>
            </w:tr>
            <w:tr w14:paraId="3A677E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pct"/>
                  <w:vMerge w:val="continue"/>
                  <w:noWrap w:val="0"/>
                  <w:vAlign w:val="top"/>
                </w:tcPr>
                <w:p w14:paraId="6CACF0AE">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77" w:type="pct"/>
                  <w:vMerge w:val="continue"/>
                  <w:noWrap w:val="0"/>
                  <w:vAlign w:val="center"/>
                </w:tcPr>
                <w:p w14:paraId="2AC4F359">
                  <w:pPr>
                    <w:spacing w:after="0"/>
                    <w:jc w:val="center"/>
                    <w:textAlignment w:val="baseline"/>
                    <w:rPr>
                      <w:rFonts w:hint="default" w:ascii="Times New Roman" w:hAnsi="Times New Roman" w:eastAsia="宋体" w:cs="Times New Roman"/>
                      <w:bCs/>
                      <w:color w:val="auto"/>
                      <w:sz w:val="21"/>
                      <w:szCs w:val="21"/>
                      <w:lang w:val="en-US" w:eastAsia="zh-CN"/>
                    </w:rPr>
                  </w:pPr>
                </w:p>
              </w:tc>
              <w:tc>
                <w:tcPr>
                  <w:tcW w:w="654" w:type="pct"/>
                  <w:noWrap w:val="0"/>
                  <w:vAlign w:val="center"/>
                </w:tcPr>
                <w:p w14:paraId="722F4593">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均值</w:t>
                  </w:r>
                </w:p>
              </w:tc>
              <w:tc>
                <w:tcPr>
                  <w:tcW w:w="867" w:type="pct"/>
                  <w:noWrap w:val="0"/>
                  <w:vAlign w:val="center"/>
                </w:tcPr>
                <w:p w14:paraId="1D34551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4.30×10</w:t>
                  </w:r>
                  <w:r>
                    <w:rPr>
                      <w:rFonts w:hint="default" w:ascii="Times New Roman" w:hAnsi="Times New Roman" w:eastAsia="宋体" w:cs="Times New Roman"/>
                      <w:bCs/>
                      <w:color w:val="auto"/>
                      <w:sz w:val="21"/>
                      <w:szCs w:val="21"/>
                      <w:vertAlign w:val="superscript"/>
                      <w:lang w:val="en-US" w:eastAsia="zh-CN"/>
                    </w:rPr>
                    <w:t>3</w:t>
                  </w:r>
                </w:p>
              </w:tc>
              <w:tc>
                <w:tcPr>
                  <w:tcW w:w="1143" w:type="pct"/>
                  <w:noWrap w:val="0"/>
                  <w:vAlign w:val="center"/>
                </w:tcPr>
                <w:p w14:paraId="20F1670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6.94</w:t>
                  </w:r>
                </w:p>
              </w:tc>
              <w:tc>
                <w:tcPr>
                  <w:tcW w:w="1021" w:type="pct"/>
                  <w:noWrap w:val="0"/>
                  <w:vAlign w:val="center"/>
                </w:tcPr>
                <w:p w14:paraId="329A10F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0.0298</w:t>
                  </w:r>
                </w:p>
              </w:tc>
            </w:tr>
          </w:tbl>
          <w:p w14:paraId="53A3337F">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lang w:val="en-US" w:eastAsia="zh-CN"/>
              </w:rPr>
            </w:pPr>
            <w:r>
              <w:rPr>
                <w:rFonts w:hint="eastAsia" w:ascii="Times New Roman" w:hAnsi="Times New Roman" w:cs="宋体"/>
                <w:color w:val="auto"/>
                <w:lang w:val="en-US" w:eastAsia="zh-CN"/>
              </w:rPr>
              <w:t xml:space="preserve">              本项目废气污染物排放情况一览表</w:t>
            </w:r>
          </w:p>
          <w:tbl>
            <w:tblPr>
              <w:tblStyle w:val="20"/>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1393"/>
              <w:gridCol w:w="1428"/>
              <w:gridCol w:w="1237"/>
              <w:gridCol w:w="1083"/>
              <w:gridCol w:w="1082"/>
              <w:gridCol w:w="1451"/>
            </w:tblGrid>
            <w:tr w14:paraId="1D0EBC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8" w:type="pct"/>
                  <w:noWrap w:val="0"/>
                  <w:vAlign w:val="center"/>
                </w:tcPr>
                <w:p w14:paraId="2463D56B">
                  <w:pPr>
                    <w:pStyle w:val="69"/>
                    <w:rPr>
                      <w:b/>
                      <w:bCs/>
                      <w:color w:val="auto"/>
                    </w:rPr>
                  </w:pPr>
                  <w:r>
                    <w:rPr>
                      <w:rFonts w:hint="eastAsia"/>
                      <w:b/>
                      <w:bCs/>
                      <w:color w:val="auto"/>
                    </w:rPr>
                    <w:t>排放口名称</w:t>
                  </w:r>
                </w:p>
              </w:tc>
              <w:tc>
                <w:tcPr>
                  <w:tcW w:w="768" w:type="pct"/>
                  <w:noWrap w:val="0"/>
                  <w:vAlign w:val="center"/>
                </w:tcPr>
                <w:p w14:paraId="0CEC9E4B">
                  <w:pPr>
                    <w:pStyle w:val="69"/>
                    <w:rPr>
                      <w:b/>
                      <w:bCs/>
                      <w:color w:val="auto"/>
                    </w:rPr>
                  </w:pPr>
                  <w:r>
                    <w:rPr>
                      <w:rFonts w:hint="eastAsia"/>
                      <w:b/>
                      <w:bCs/>
                      <w:color w:val="auto"/>
                    </w:rPr>
                    <w:t>污染物</w:t>
                  </w:r>
                </w:p>
              </w:tc>
              <w:tc>
                <w:tcPr>
                  <w:tcW w:w="787" w:type="pct"/>
                  <w:noWrap w:val="0"/>
                  <w:vAlign w:val="center"/>
                </w:tcPr>
                <w:p w14:paraId="1AB8664F">
                  <w:pPr>
                    <w:pStyle w:val="69"/>
                    <w:rPr>
                      <w:b/>
                      <w:bCs/>
                      <w:color w:val="auto"/>
                    </w:rPr>
                  </w:pPr>
                  <w:r>
                    <w:rPr>
                      <w:rFonts w:hint="eastAsia"/>
                      <w:b/>
                      <w:bCs/>
                      <w:color w:val="auto"/>
                      <w:lang w:val="en-US" w:eastAsia="zh-CN"/>
                    </w:rPr>
                    <w:t>最大</w:t>
                  </w:r>
                  <w:r>
                    <w:rPr>
                      <w:rFonts w:hint="eastAsia"/>
                      <w:b/>
                      <w:bCs/>
                      <w:color w:val="auto"/>
                    </w:rPr>
                    <w:t>排放速率（</w:t>
                  </w:r>
                  <w:r>
                    <w:rPr>
                      <w:b/>
                      <w:bCs/>
                      <w:color w:val="auto"/>
                    </w:rPr>
                    <w:t>kg</w:t>
                  </w:r>
                  <w:r>
                    <w:rPr>
                      <w:rFonts w:hint="eastAsia"/>
                      <w:b/>
                      <w:bCs/>
                      <w:color w:val="auto"/>
                    </w:rPr>
                    <w:t>/</w:t>
                  </w:r>
                  <w:r>
                    <w:rPr>
                      <w:b/>
                      <w:bCs/>
                      <w:color w:val="auto"/>
                    </w:rPr>
                    <w:t>h</w:t>
                  </w:r>
                  <w:r>
                    <w:rPr>
                      <w:rFonts w:hint="eastAsia"/>
                      <w:b/>
                      <w:bCs/>
                      <w:color w:val="auto"/>
                    </w:rPr>
                    <w:t>）</w:t>
                  </w:r>
                </w:p>
              </w:tc>
              <w:tc>
                <w:tcPr>
                  <w:tcW w:w="682" w:type="pct"/>
                  <w:noWrap w:val="0"/>
                  <w:vAlign w:val="center"/>
                </w:tcPr>
                <w:p w14:paraId="34B60526">
                  <w:pPr>
                    <w:pStyle w:val="69"/>
                    <w:rPr>
                      <w:b/>
                      <w:bCs/>
                      <w:color w:val="auto"/>
                    </w:rPr>
                  </w:pPr>
                  <w:r>
                    <w:rPr>
                      <w:rFonts w:hint="eastAsia"/>
                      <w:b/>
                      <w:bCs/>
                      <w:color w:val="auto"/>
                    </w:rPr>
                    <w:t>工作时间（</w:t>
                  </w:r>
                  <w:r>
                    <w:rPr>
                      <w:b/>
                      <w:bCs/>
                      <w:color w:val="auto"/>
                    </w:rPr>
                    <w:t>h</w:t>
                  </w:r>
                  <w:r>
                    <w:rPr>
                      <w:rFonts w:hint="eastAsia"/>
                      <w:b/>
                      <w:bCs/>
                      <w:color w:val="auto"/>
                    </w:rPr>
                    <w:t>/</w:t>
                  </w:r>
                  <w:r>
                    <w:rPr>
                      <w:b/>
                      <w:bCs/>
                      <w:color w:val="auto"/>
                    </w:rPr>
                    <w:t>a</w:t>
                  </w:r>
                  <w:r>
                    <w:rPr>
                      <w:rFonts w:hint="eastAsia"/>
                      <w:b/>
                      <w:bCs/>
                      <w:color w:val="auto"/>
                    </w:rPr>
                    <w:t>）</w:t>
                  </w:r>
                </w:p>
              </w:tc>
              <w:tc>
                <w:tcPr>
                  <w:tcW w:w="597" w:type="pct"/>
                  <w:noWrap w:val="0"/>
                  <w:vAlign w:val="center"/>
                </w:tcPr>
                <w:p w14:paraId="630142AD">
                  <w:pPr>
                    <w:pStyle w:val="69"/>
                    <w:rPr>
                      <w:b/>
                      <w:bCs/>
                      <w:color w:val="auto"/>
                    </w:rPr>
                  </w:pPr>
                  <w:r>
                    <w:rPr>
                      <w:rFonts w:hint="eastAsia"/>
                      <w:b/>
                      <w:bCs/>
                      <w:color w:val="auto"/>
                    </w:rPr>
                    <w:t>排放量（</w:t>
                  </w:r>
                  <w:r>
                    <w:rPr>
                      <w:b/>
                      <w:bCs/>
                      <w:color w:val="auto"/>
                    </w:rPr>
                    <w:t>t</w:t>
                  </w:r>
                  <w:r>
                    <w:rPr>
                      <w:rFonts w:hint="eastAsia"/>
                      <w:b/>
                      <w:bCs/>
                      <w:color w:val="auto"/>
                    </w:rPr>
                    <w:t>/</w:t>
                  </w:r>
                  <w:r>
                    <w:rPr>
                      <w:b/>
                      <w:bCs/>
                      <w:color w:val="auto"/>
                    </w:rPr>
                    <w:t>a</w:t>
                  </w:r>
                  <w:r>
                    <w:rPr>
                      <w:rFonts w:hint="eastAsia"/>
                      <w:b/>
                      <w:bCs/>
                      <w:color w:val="auto"/>
                    </w:rPr>
                    <w:t>）</w:t>
                  </w:r>
                </w:p>
              </w:tc>
              <w:tc>
                <w:tcPr>
                  <w:tcW w:w="596" w:type="pct"/>
                  <w:noWrap w:val="0"/>
                  <w:vAlign w:val="center"/>
                </w:tcPr>
                <w:p w14:paraId="029D3165">
                  <w:pPr>
                    <w:pStyle w:val="69"/>
                    <w:rPr>
                      <w:b/>
                      <w:bCs/>
                      <w:color w:val="auto"/>
                    </w:rPr>
                  </w:pPr>
                  <w:r>
                    <w:rPr>
                      <w:rFonts w:hint="eastAsia"/>
                      <w:b/>
                      <w:bCs/>
                      <w:color w:val="auto"/>
                    </w:rPr>
                    <w:t>生产负荷</w:t>
                  </w:r>
                </w:p>
              </w:tc>
              <w:tc>
                <w:tcPr>
                  <w:tcW w:w="799" w:type="pct"/>
                  <w:noWrap w:val="0"/>
                  <w:vAlign w:val="center"/>
                </w:tcPr>
                <w:p w14:paraId="6B57E0C0">
                  <w:pPr>
                    <w:pStyle w:val="69"/>
                    <w:rPr>
                      <w:b/>
                      <w:bCs/>
                      <w:color w:val="auto"/>
                    </w:rPr>
                  </w:pPr>
                  <w:r>
                    <w:rPr>
                      <w:rFonts w:hint="eastAsia"/>
                      <w:b/>
                      <w:bCs/>
                      <w:color w:val="auto"/>
                    </w:rPr>
                    <w:t>满负荷排放量（</w:t>
                  </w:r>
                  <w:r>
                    <w:rPr>
                      <w:b/>
                      <w:bCs/>
                      <w:color w:val="auto"/>
                    </w:rPr>
                    <w:t>t</w:t>
                  </w:r>
                  <w:r>
                    <w:rPr>
                      <w:rFonts w:hint="eastAsia"/>
                      <w:b/>
                      <w:bCs/>
                      <w:color w:val="auto"/>
                    </w:rPr>
                    <w:t>/</w:t>
                  </w:r>
                  <w:r>
                    <w:rPr>
                      <w:b/>
                      <w:bCs/>
                      <w:color w:val="auto"/>
                    </w:rPr>
                    <w:t>a</w:t>
                  </w:r>
                  <w:r>
                    <w:rPr>
                      <w:rFonts w:hint="eastAsia"/>
                      <w:b/>
                      <w:bCs/>
                      <w:color w:val="auto"/>
                    </w:rPr>
                    <w:t>）</w:t>
                  </w:r>
                </w:p>
              </w:tc>
            </w:tr>
            <w:tr w14:paraId="572996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8" w:type="pct"/>
                  <w:noWrap w:val="0"/>
                  <w:vAlign w:val="center"/>
                </w:tcPr>
                <w:p w14:paraId="07979CEC">
                  <w:pPr>
                    <w:pStyle w:val="69"/>
                    <w:rPr>
                      <w:rFonts w:hint="default" w:ascii="Times New Roman" w:hAnsi="Times New Roman" w:eastAsia="宋体" w:cs="Times New Roman"/>
                      <w:bCs/>
                      <w:color w:val="auto"/>
                      <w:lang w:val="en-US" w:eastAsia="zh-CN"/>
                    </w:rPr>
                  </w:pPr>
                  <w:r>
                    <w:rPr>
                      <w:rFonts w:hint="eastAsia" w:ascii="Times New Roman" w:hAnsi="Times New Roman" w:eastAsia="宋体" w:cs="Times New Roman"/>
                      <w:bCs/>
                      <w:color w:val="auto"/>
                      <w:lang w:val="en-US" w:eastAsia="zh-CN"/>
                    </w:rPr>
                    <w:t>DA001</w:t>
                  </w:r>
                </w:p>
              </w:tc>
              <w:tc>
                <w:tcPr>
                  <w:tcW w:w="768" w:type="pct"/>
                  <w:noWrap w:val="0"/>
                  <w:vAlign w:val="center"/>
                </w:tcPr>
                <w:p w14:paraId="0079AACC">
                  <w:pPr>
                    <w:pStyle w:val="69"/>
                    <w:rPr>
                      <w:rFonts w:hint="eastAsia" w:ascii="Times New Roman" w:hAnsi="Times New Roman" w:eastAsia="宋体" w:cs="Times New Roman"/>
                      <w:bCs/>
                      <w:color w:val="auto"/>
                      <w:lang w:val="en-US" w:eastAsia="zh-CN"/>
                    </w:rPr>
                  </w:pPr>
                  <w:r>
                    <w:rPr>
                      <w:rFonts w:hint="eastAsia" w:ascii="Times New Roman" w:hAnsi="Times New Roman" w:eastAsia="宋体" w:cs="Times New Roman"/>
                      <w:bCs/>
                      <w:color w:val="auto"/>
                      <w:lang w:val="en-US" w:eastAsia="zh-CN"/>
                    </w:rPr>
                    <w:t>非甲烷总烃</w:t>
                  </w:r>
                </w:p>
              </w:tc>
              <w:tc>
                <w:tcPr>
                  <w:tcW w:w="787" w:type="pct"/>
                  <w:noWrap w:val="0"/>
                  <w:vAlign w:val="center"/>
                </w:tcPr>
                <w:p w14:paraId="35633014">
                  <w:pPr>
                    <w:pStyle w:val="69"/>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0.0</w:t>
                  </w:r>
                  <w:r>
                    <w:rPr>
                      <w:rFonts w:hint="eastAsia" w:cs="Times New Roman"/>
                      <w:bCs/>
                      <w:color w:val="auto"/>
                      <w:lang w:val="en-US" w:eastAsia="zh-CN"/>
                    </w:rPr>
                    <w:t>307</w:t>
                  </w:r>
                </w:p>
              </w:tc>
              <w:tc>
                <w:tcPr>
                  <w:tcW w:w="682" w:type="pct"/>
                  <w:noWrap w:val="0"/>
                  <w:vAlign w:val="center"/>
                </w:tcPr>
                <w:p w14:paraId="5B9E4DE2">
                  <w:pPr>
                    <w:pStyle w:val="69"/>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7200</w:t>
                  </w:r>
                </w:p>
              </w:tc>
              <w:tc>
                <w:tcPr>
                  <w:tcW w:w="597" w:type="pct"/>
                  <w:noWrap w:val="0"/>
                  <w:vAlign w:val="center"/>
                </w:tcPr>
                <w:p w14:paraId="7B7A0695">
                  <w:pPr>
                    <w:pStyle w:val="69"/>
                    <w:rPr>
                      <w:rFonts w:hint="default" w:ascii="Times New Roman" w:hAnsi="Times New Roman" w:eastAsia="宋体" w:cs="Times New Roman"/>
                      <w:bCs/>
                      <w:color w:val="auto"/>
                      <w:lang w:val="en-US" w:eastAsia="zh-CN"/>
                    </w:rPr>
                  </w:pPr>
                  <w:r>
                    <w:rPr>
                      <w:rFonts w:hint="eastAsia" w:cs="Times New Roman"/>
                      <w:bCs/>
                      <w:color w:val="auto"/>
                      <w:lang w:val="en-US" w:eastAsia="zh-CN"/>
                    </w:rPr>
                    <w:t>0.2210</w:t>
                  </w:r>
                </w:p>
              </w:tc>
              <w:tc>
                <w:tcPr>
                  <w:tcW w:w="596" w:type="pct"/>
                  <w:noWrap w:val="0"/>
                  <w:vAlign w:val="center"/>
                </w:tcPr>
                <w:p w14:paraId="63C9C074">
                  <w:pPr>
                    <w:pStyle w:val="69"/>
                    <w:rPr>
                      <w:rFonts w:hint="default" w:ascii="Times New Roman" w:hAnsi="Times New Roman" w:eastAsia="宋体" w:cs="Times New Roman"/>
                      <w:bCs/>
                      <w:color w:val="auto"/>
                      <w:lang w:val="en-US" w:eastAsia="zh-CN"/>
                    </w:rPr>
                  </w:pPr>
                  <w:r>
                    <w:rPr>
                      <w:rFonts w:hint="eastAsia" w:cs="Times New Roman"/>
                      <w:bCs/>
                      <w:color w:val="auto"/>
                      <w:lang w:val="en-US" w:eastAsia="zh-CN"/>
                    </w:rPr>
                    <w:t>9</w:t>
                  </w:r>
                  <w:r>
                    <w:rPr>
                      <w:rFonts w:hint="default" w:ascii="Times New Roman" w:hAnsi="Times New Roman" w:eastAsia="宋体" w:cs="Times New Roman"/>
                      <w:bCs/>
                      <w:color w:val="auto"/>
                      <w:lang w:val="en-US" w:eastAsia="zh-CN"/>
                    </w:rPr>
                    <w:t>0%</w:t>
                  </w:r>
                </w:p>
              </w:tc>
              <w:tc>
                <w:tcPr>
                  <w:tcW w:w="799" w:type="pct"/>
                  <w:noWrap w:val="0"/>
                  <w:vAlign w:val="center"/>
                </w:tcPr>
                <w:p w14:paraId="33B013C6">
                  <w:pPr>
                    <w:pStyle w:val="69"/>
                    <w:rPr>
                      <w:rFonts w:hint="default" w:ascii="Times New Roman" w:hAnsi="Times New Roman" w:eastAsia="宋体" w:cs="Times New Roman"/>
                      <w:bCs/>
                      <w:color w:val="auto"/>
                      <w:lang w:val="en-US" w:eastAsia="zh-CN"/>
                    </w:rPr>
                  </w:pPr>
                  <w:r>
                    <w:rPr>
                      <w:rFonts w:hint="eastAsia" w:cs="Times New Roman"/>
                      <w:bCs/>
                      <w:color w:val="auto"/>
                      <w:lang w:val="en-US" w:eastAsia="zh-CN"/>
                    </w:rPr>
                    <w:t>0.2456</w:t>
                  </w:r>
                </w:p>
              </w:tc>
            </w:tr>
          </w:tbl>
          <w:p w14:paraId="4628A461">
            <w:pPr>
              <w:spacing w:after="0" w:line="500" w:lineRule="exact"/>
              <w:ind w:firstLine="480" w:firstLineChars="200"/>
              <w:jc w:val="both"/>
              <w:textAlignment w:val="baseline"/>
              <w:rPr>
                <w:rFonts w:hint="eastAsia"/>
              </w:rPr>
            </w:pPr>
            <w:r>
              <w:rPr>
                <w:rFonts w:eastAsia="宋体"/>
                <w:bCs/>
                <w:color w:val="auto"/>
                <w:kern w:val="2"/>
                <w:sz w:val="24"/>
                <w:szCs w:val="24"/>
              </w:rPr>
              <w:t>由上表中监测结果可知，</w:t>
            </w:r>
            <w:r>
              <w:rPr>
                <w:rFonts w:hint="eastAsia" w:eastAsia="宋体"/>
                <w:bCs/>
                <w:color w:val="auto"/>
                <w:sz w:val="24"/>
                <w:szCs w:val="24"/>
              </w:rPr>
              <w:t>本项目非甲烷总烃经处理后</w:t>
            </w:r>
            <w:r>
              <w:rPr>
                <w:rFonts w:hint="eastAsia" w:eastAsia="宋体"/>
                <w:bCs/>
                <w:color w:val="auto"/>
                <w:sz w:val="24"/>
                <w:szCs w:val="24"/>
                <w:lang w:val="en-US" w:eastAsia="zh-CN"/>
              </w:rPr>
              <w:t>最大排放浓度为7.29</w:t>
            </w:r>
            <w:r>
              <w:rPr>
                <w:rFonts w:hint="eastAsia" w:eastAsia="宋体"/>
                <w:bCs/>
                <w:color w:val="auto"/>
                <w:sz w:val="24"/>
                <w:szCs w:val="24"/>
              </w:rPr>
              <w:t>mg/m</w:t>
            </w:r>
            <w:r>
              <w:rPr>
                <w:rFonts w:hint="eastAsia" w:eastAsia="宋体"/>
                <w:bCs/>
                <w:color w:val="auto"/>
                <w:sz w:val="24"/>
                <w:szCs w:val="24"/>
                <w:vertAlign w:val="superscript"/>
              </w:rPr>
              <w:t>3</w:t>
            </w:r>
            <w:r>
              <w:rPr>
                <w:rFonts w:hint="eastAsia" w:eastAsia="宋体"/>
                <w:bCs/>
                <w:color w:val="auto"/>
                <w:sz w:val="24"/>
                <w:szCs w:val="24"/>
                <w:lang w:val="en-US" w:eastAsia="zh-CN"/>
              </w:rPr>
              <w:t>，最大排放速率为0.0307kg/h，</w:t>
            </w:r>
            <w:r>
              <w:rPr>
                <w:rFonts w:hint="eastAsia" w:eastAsia="宋体"/>
                <w:bCs/>
                <w:color w:val="auto"/>
                <w:sz w:val="24"/>
                <w:szCs w:val="24"/>
              </w:rPr>
              <w:t>满足《大气污染物综合排放标准》（GB16297-1996）非甲烷总烃有组织排放浓度120mg/m</w:t>
            </w:r>
            <w:r>
              <w:rPr>
                <w:rFonts w:hint="eastAsia" w:eastAsia="宋体"/>
                <w:bCs/>
                <w:color w:val="auto"/>
                <w:sz w:val="24"/>
                <w:szCs w:val="24"/>
                <w:vertAlign w:val="superscript"/>
              </w:rPr>
              <w:t>3</w:t>
            </w:r>
            <w:r>
              <w:rPr>
                <w:rFonts w:hint="eastAsia" w:eastAsia="宋体"/>
                <w:bCs/>
                <w:color w:val="auto"/>
                <w:sz w:val="24"/>
                <w:szCs w:val="24"/>
              </w:rPr>
              <w:t>、排放速率10kg/h（15m高排气筒）的标准要求；同时满足《关于全省开展工业企业挥发性有机物专项治理工作中排放建议值的通知》（豫环攻坚办〔2017〕162号）其他行业80mg/m</w:t>
            </w:r>
            <w:r>
              <w:rPr>
                <w:rFonts w:hint="eastAsia" w:eastAsia="宋体"/>
                <w:bCs/>
                <w:color w:val="auto"/>
                <w:sz w:val="24"/>
                <w:szCs w:val="24"/>
                <w:vertAlign w:val="superscript"/>
              </w:rPr>
              <w:t>3</w:t>
            </w:r>
            <w:r>
              <w:rPr>
                <w:rFonts w:hint="eastAsia" w:eastAsia="宋体"/>
                <w:bCs/>
                <w:color w:val="auto"/>
                <w:sz w:val="24"/>
                <w:szCs w:val="24"/>
              </w:rPr>
              <w:t>的限值要求，同时满足《河南省重污染天气通用行业应急减排措施制定技术指南（2024年修订版）》中涉VOCs行业NMHC排放限值不高于30mg/m</w:t>
            </w:r>
            <w:r>
              <w:rPr>
                <w:rFonts w:hint="eastAsia" w:eastAsia="宋体"/>
                <w:bCs/>
                <w:color w:val="auto"/>
                <w:sz w:val="24"/>
                <w:szCs w:val="24"/>
                <w:vertAlign w:val="superscript"/>
              </w:rPr>
              <w:t>3</w:t>
            </w:r>
            <w:r>
              <w:rPr>
                <w:rFonts w:hint="eastAsia" w:eastAsia="宋体"/>
                <w:bCs/>
                <w:color w:val="auto"/>
                <w:sz w:val="24"/>
                <w:szCs w:val="24"/>
              </w:rPr>
              <w:t>的要求。</w:t>
            </w:r>
          </w:p>
          <w:p w14:paraId="0AF8D823">
            <w:pPr>
              <w:pStyle w:val="45"/>
              <w:numPr>
                <w:ilvl w:val="0"/>
                <w:numId w:val="0"/>
              </w:numPr>
              <w:spacing w:line="460" w:lineRule="exact"/>
              <w:ind w:left="480" w:leftChars="0"/>
              <w:textAlignment w:val="baseline"/>
              <w:rPr>
                <w:bCs/>
                <w:color w:val="auto"/>
                <w:sz w:val="24"/>
                <w:szCs w:val="24"/>
              </w:rPr>
            </w:pPr>
            <w:r>
              <w:rPr>
                <w:rFonts w:hint="eastAsia"/>
                <w:color w:val="auto"/>
                <w:sz w:val="24"/>
                <w:szCs w:val="24"/>
              </w:rPr>
              <w:t>项目厂界无组织</w:t>
            </w:r>
            <w:r>
              <w:rPr>
                <w:rFonts w:hint="eastAsia"/>
                <w:bCs/>
                <w:color w:val="auto"/>
                <w:sz w:val="24"/>
                <w:szCs w:val="24"/>
              </w:rPr>
              <w:t>废气检测结果见下表。</w:t>
            </w:r>
          </w:p>
          <w:p w14:paraId="24C363E3">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无组织废气检测结果          </w:t>
            </w: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单位：mg/m</w:t>
            </w:r>
            <w:r>
              <w:rPr>
                <w:rFonts w:hint="eastAsia" w:ascii="Times New Roman" w:hAnsi="Times New Roman" w:cs="宋体"/>
                <w:color w:val="auto"/>
                <w:vertAlign w:val="superscript"/>
              </w:rPr>
              <w:t>3</w:t>
            </w:r>
          </w:p>
          <w:tbl>
            <w:tblPr>
              <w:tblStyle w:val="21"/>
              <w:tblW w:w="4992"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1319"/>
              <w:gridCol w:w="2007"/>
              <w:gridCol w:w="2261"/>
              <w:gridCol w:w="2082"/>
            </w:tblGrid>
            <w:tr w14:paraId="1577B2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blHeader/>
              </w:trPr>
              <w:tc>
                <w:tcPr>
                  <w:tcW w:w="766" w:type="pct"/>
                  <w:vMerge w:val="restart"/>
                  <w:tcBorders>
                    <w:tl2br w:val="nil"/>
                    <w:tr2bl w:val="nil"/>
                  </w:tcBorders>
                  <w:noWrap w:val="0"/>
                  <w:vAlign w:val="center"/>
                </w:tcPr>
                <w:p w14:paraId="3BC4FDB9">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采样日期</w:t>
                  </w:r>
                </w:p>
              </w:tc>
              <w:tc>
                <w:tcPr>
                  <w:tcW w:w="728" w:type="pct"/>
                  <w:vMerge w:val="restart"/>
                  <w:tcBorders>
                    <w:tl2br w:val="nil"/>
                    <w:tr2bl w:val="nil"/>
                  </w:tcBorders>
                  <w:noWrap w:val="0"/>
                  <w:vAlign w:val="center"/>
                </w:tcPr>
                <w:p w14:paraId="0C8E2AE6">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采样频次</w:t>
                  </w:r>
                </w:p>
              </w:tc>
              <w:tc>
                <w:tcPr>
                  <w:tcW w:w="1108" w:type="pct"/>
                  <w:vMerge w:val="restart"/>
                  <w:tcBorders>
                    <w:tl2br w:val="nil"/>
                    <w:tr2bl w:val="nil"/>
                  </w:tcBorders>
                  <w:noWrap w:val="0"/>
                  <w:vAlign w:val="center"/>
                </w:tcPr>
                <w:p w14:paraId="5804909F">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检测点位</w:t>
                  </w:r>
                </w:p>
              </w:tc>
              <w:tc>
                <w:tcPr>
                  <w:tcW w:w="1248" w:type="pct"/>
                  <w:tcBorders>
                    <w:tl2br w:val="nil"/>
                    <w:tr2bl w:val="nil"/>
                  </w:tcBorders>
                  <w:noWrap w:val="0"/>
                  <w:vAlign w:val="center"/>
                </w:tcPr>
                <w:p w14:paraId="0739A50F">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检测结果</w:t>
                  </w:r>
                </w:p>
              </w:tc>
              <w:tc>
                <w:tcPr>
                  <w:tcW w:w="1149" w:type="pct"/>
                  <w:vMerge w:val="restart"/>
                  <w:tcBorders>
                    <w:tl2br w:val="nil"/>
                    <w:tr2bl w:val="nil"/>
                  </w:tcBorders>
                  <w:noWrap w:val="0"/>
                  <w:vAlign w:val="center"/>
                </w:tcPr>
                <w:p w14:paraId="0BAE51F8">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气象参数</w:t>
                  </w:r>
                </w:p>
              </w:tc>
            </w:tr>
            <w:tr w14:paraId="669268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blHeader/>
              </w:trPr>
              <w:tc>
                <w:tcPr>
                  <w:tcW w:w="766" w:type="pct"/>
                  <w:vMerge w:val="continue"/>
                  <w:tcBorders>
                    <w:tl2br w:val="nil"/>
                    <w:tr2bl w:val="nil"/>
                  </w:tcBorders>
                  <w:noWrap w:val="0"/>
                  <w:vAlign w:val="center"/>
                </w:tcPr>
                <w:p w14:paraId="4D707155">
                  <w:pPr>
                    <w:spacing w:after="0"/>
                    <w:jc w:val="center"/>
                    <w:textAlignment w:val="baseline"/>
                    <w:rPr>
                      <w:rFonts w:hint="default" w:ascii="Times New Roman" w:hAnsi="Times New Roman" w:eastAsia="宋体" w:cs="Times New Roman"/>
                      <w:b/>
                      <w:bCs w:val="0"/>
                      <w:color w:val="auto"/>
                      <w:sz w:val="21"/>
                      <w:szCs w:val="21"/>
                      <w:lang w:val="en-US" w:eastAsia="zh-CN"/>
                    </w:rPr>
                  </w:pPr>
                </w:p>
              </w:tc>
              <w:tc>
                <w:tcPr>
                  <w:tcW w:w="728" w:type="pct"/>
                  <w:vMerge w:val="continue"/>
                  <w:tcBorders>
                    <w:tl2br w:val="nil"/>
                    <w:tr2bl w:val="nil"/>
                  </w:tcBorders>
                  <w:noWrap w:val="0"/>
                  <w:vAlign w:val="center"/>
                </w:tcPr>
                <w:p w14:paraId="26895C91">
                  <w:pPr>
                    <w:spacing w:after="0"/>
                    <w:jc w:val="center"/>
                    <w:textAlignment w:val="baseline"/>
                    <w:rPr>
                      <w:rFonts w:hint="default" w:ascii="Times New Roman" w:hAnsi="Times New Roman" w:eastAsia="宋体" w:cs="Times New Roman"/>
                      <w:b/>
                      <w:bCs w:val="0"/>
                      <w:color w:val="auto"/>
                      <w:sz w:val="21"/>
                      <w:szCs w:val="21"/>
                      <w:lang w:val="en-US" w:eastAsia="zh-CN"/>
                    </w:rPr>
                  </w:pPr>
                </w:p>
              </w:tc>
              <w:tc>
                <w:tcPr>
                  <w:tcW w:w="1108" w:type="pct"/>
                  <w:vMerge w:val="continue"/>
                  <w:tcBorders>
                    <w:tl2br w:val="nil"/>
                    <w:tr2bl w:val="nil"/>
                  </w:tcBorders>
                  <w:noWrap w:val="0"/>
                  <w:vAlign w:val="center"/>
                </w:tcPr>
                <w:p w14:paraId="001A1018">
                  <w:pPr>
                    <w:spacing w:after="0"/>
                    <w:jc w:val="center"/>
                    <w:textAlignment w:val="baseline"/>
                    <w:rPr>
                      <w:rFonts w:hint="default" w:ascii="Times New Roman" w:hAnsi="Times New Roman" w:eastAsia="宋体" w:cs="Times New Roman"/>
                      <w:b/>
                      <w:bCs w:val="0"/>
                      <w:color w:val="auto"/>
                      <w:sz w:val="21"/>
                      <w:szCs w:val="21"/>
                      <w:lang w:val="en-US" w:eastAsia="zh-CN"/>
                    </w:rPr>
                  </w:pPr>
                </w:p>
              </w:tc>
              <w:tc>
                <w:tcPr>
                  <w:tcW w:w="1248" w:type="pct"/>
                  <w:tcBorders>
                    <w:tl2br w:val="nil"/>
                    <w:tr2bl w:val="nil"/>
                  </w:tcBorders>
                  <w:noWrap w:val="0"/>
                  <w:vAlign w:val="center"/>
                </w:tcPr>
                <w:p w14:paraId="70901D61">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非甲烷总烃</w:t>
                  </w:r>
                </w:p>
                <w:p w14:paraId="679E02C3">
                  <w:pPr>
                    <w:spacing w:after="0"/>
                    <w:jc w:val="center"/>
                    <w:textAlignment w:val="baseline"/>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（以碳计）（mg/m</w:t>
                  </w:r>
                  <w:r>
                    <w:rPr>
                      <w:rFonts w:hint="default" w:ascii="Times New Roman" w:hAnsi="Times New Roman" w:eastAsia="宋体" w:cs="Times New Roman"/>
                      <w:b/>
                      <w:bCs w:val="0"/>
                      <w:color w:val="auto"/>
                      <w:sz w:val="21"/>
                      <w:szCs w:val="21"/>
                      <w:vertAlign w:val="superscript"/>
                      <w:lang w:val="en-US" w:eastAsia="zh-CN"/>
                    </w:rPr>
                    <w:t>3</w:t>
                  </w:r>
                  <w:r>
                    <w:rPr>
                      <w:rFonts w:hint="default" w:ascii="Times New Roman" w:hAnsi="Times New Roman" w:eastAsia="宋体" w:cs="Times New Roman"/>
                      <w:b/>
                      <w:bCs w:val="0"/>
                      <w:color w:val="auto"/>
                      <w:sz w:val="21"/>
                      <w:szCs w:val="21"/>
                      <w:lang w:val="en-US" w:eastAsia="zh-CN"/>
                    </w:rPr>
                    <w:t>）</w:t>
                  </w:r>
                </w:p>
              </w:tc>
              <w:tc>
                <w:tcPr>
                  <w:tcW w:w="1149" w:type="pct"/>
                  <w:vMerge w:val="continue"/>
                  <w:tcBorders>
                    <w:tl2br w:val="nil"/>
                    <w:tr2bl w:val="nil"/>
                  </w:tcBorders>
                  <w:noWrap w:val="0"/>
                  <w:vAlign w:val="center"/>
                </w:tcPr>
                <w:p w14:paraId="724F8D07">
                  <w:pPr>
                    <w:spacing w:after="0"/>
                    <w:jc w:val="center"/>
                    <w:textAlignment w:val="baseline"/>
                    <w:rPr>
                      <w:rFonts w:hint="default" w:ascii="Times New Roman" w:hAnsi="Times New Roman" w:eastAsia="宋体" w:cs="Times New Roman"/>
                      <w:b/>
                      <w:bCs w:val="0"/>
                      <w:color w:val="auto"/>
                      <w:sz w:val="21"/>
                      <w:szCs w:val="21"/>
                      <w:lang w:val="en-US" w:eastAsia="zh-CN"/>
                    </w:rPr>
                  </w:pPr>
                </w:p>
              </w:tc>
            </w:tr>
            <w:tr w14:paraId="05428A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tcBorders>
                    <w:tl2br w:val="nil"/>
                    <w:tr2bl w:val="nil"/>
                  </w:tcBorders>
                  <w:noWrap w:val="0"/>
                  <w:vAlign w:val="center"/>
                </w:tcPr>
                <w:p w14:paraId="6F83F896">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2026.08.07</w:t>
                  </w:r>
                </w:p>
              </w:tc>
              <w:tc>
                <w:tcPr>
                  <w:tcW w:w="728" w:type="pct"/>
                  <w:vMerge w:val="restart"/>
                  <w:tcBorders>
                    <w:tl2br w:val="nil"/>
                    <w:tr2bl w:val="nil"/>
                  </w:tcBorders>
                  <w:noWrap w:val="0"/>
                  <w:vAlign w:val="center"/>
                </w:tcPr>
                <w:p w14:paraId="76548BA9">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第1次</w:t>
                  </w:r>
                </w:p>
              </w:tc>
              <w:tc>
                <w:tcPr>
                  <w:tcW w:w="1108" w:type="pct"/>
                  <w:tcBorders>
                    <w:tl2br w:val="nil"/>
                    <w:tr2bl w:val="nil"/>
                  </w:tcBorders>
                  <w:noWrap w:val="0"/>
                  <w:vAlign w:val="center"/>
                </w:tcPr>
                <w:p w14:paraId="09C2D0B9">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tcBorders>
                    <w:tl2br w:val="nil"/>
                    <w:tr2bl w:val="nil"/>
                  </w:tcBorders>
                  <w:noWrap w:val="0"/>
                  <w:vAlign w:val="center"/>
                </w:tcPr>
                <w:p w14:paraId="4E6CB05F">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0.61</w:t>
                  </w:r>
                </w:p>
              </w:tc>
              <w:tc>
                <w:tcPr>
                  <w:tcW w:w="1149" w:type="pct"/>
                  <w:vMerge w:val="restart"/>
                  <w:tcBorders>
                    <w:tl2br w:val="nil"/>
                    <w:tr2bl w:val="nil"/>
                  </w:tcBorders>
                  <w:noWrap w:val="0"/>
                  <w:vAlign w:val="center"/>
                </w:tcPr>
                <w:p w14:paraId="23E1BEF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2BD4917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28.4</w:t>
                  </w:r>
                </w:p>
                <w:p w14:paraId="4A320AF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100.3</w:t>
                  </w:r>
                </w:p>
                <w:p w14:paraId="59BDC45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1.5</w:t>
                  </w:r>
                </w:p>
                <w:p w14:paraId="295DD12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040E18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72C9E496">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62D8C2D8">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4666CB94">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tcBorders>
                    <w:tl2br w:val="nil"/>
                    <w:tr2bl w:val="nil"/>
                  </w:tcBorders>
                  <w:noWrap w:val="0"/>
                  <w:vAlign w:val="center"/>
                </w:tcPr>
                <w:p w14:paraId="46D0665B">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0.73</w:t>
                  </w:r>
                </w:p>
              </w:tc>
              <w:tc>
                <w:tcPr>
                  <w:tcW w:w="1149" w:type="pct"/>
                  <w:vMerge w:val="continue"/>
                  <w:tcBorders>
                    <w:tl2br w:val="nil"/>
                    <w:tr2bl w:val="nil"/>
                  </w:tcBorders>
                  <w:noWrap w:val="0"/>
                  <w:vAlign w:val="top"/>
                </w:tcPr>
                <w:p w14:paraId="6FD83E72">
                  <w:pPr>
                    <w:spacing w:after="0"/>
                    <w:jc w:val="center"/>
                    <w:textAlignment w:val="baseline"/>
                    <w:rPr>
                      <w:rFonts w:hint="default" w:ascii="Times New Roman" w:hAnsi="Times New Roman" w:eastAsia="宋体" w:cs="Times New Roman"/>
                      <w:bCs/>
                      <w:color w:val="auto"/>
                      <w:sz w:val="21"/>
                      <w:szCs w:val="21"/>
                      <w:lang w:val="en-US" w:eastAsia="zh-CN"/>
                    </w:rPr>
                  </w:pPr>
                </w:p>
              </w:tc>
            </w:tr>
            <w:tr w14:paraId="7B1A8A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0C1788E3">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234E0DAD">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6ADF29BE">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tcBorders>
                    <w:tl2br w:val="nil"/>
                    <w:tr2bl w:val="nil"/>
                  </w:tcBorders>
                  <w:noWrap w:val="0"/>
                  <w:vAlign w:val="center"/>
                </w:tcPr>
                <w:p w14:paraId="1D933A2A">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0.70</w:t>
                  </w:r>
                </w:p>
              </w:tc>
              <w:tc>
                <w:tcPr>
                  <w:tcW w:w="1149" w:type="pct"/>
                  <w:vMerge w:val="continue"/>
                  <w:tcBorders>
                    <w:tl2br w:val="nil"/>
                    <w:tr2bl w:val="nil"/>
                  </w:tcBorders>
                  <w:noWrap w:val="0"/>
                  <w:vAlign w:val="top"/>
                </w:tcPr>
                <w:p w14:paraId="27C8F675">
                  <w:pPr>
                    <w:spacing w:after="0"/>
                    <w:jc w:val="center"/>
                    <w:textAlignment w:val="baseline"/>
                    <w:rPr>
                      <w:rFonts w:hint="default" w:ascii="Times New Roman" w:hAnsi="Times New Roman" w:eastAsia="宋体" w:cs="Times New Roman"/>
                      <w:bCs/>
                      <w:color w:val="auto"/>
                      <w:sz w:val="21"/>
                      <w:szCs w:val="21"/>
                      <w:lang w:val="en-US" w:eastAsia="zh-CN"/>
                    </w:rPr>
                  </w:pPr>
                </w:p>
              </w:tc>
            </w:tr>
            <w:tr w14:paraId="31C788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30E68F4A">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529DAEA0">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6CBA67FA">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tcBorders>
                    <w:tl2br w:val="nil"/>
                    <w:tr2bl w:val="nil"/>
                  </w:tcBorders>
                  <w:noWrap w:val="0"/>
                  <w:vAlign w:val="center"/>
                </w:tcPr>
                <w:p w14:paraId="3DC69E07">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0.68</w:t>
                  </w:r>
                </w:p>
              </w:tc>
              <w:tc>
                <w:tcPr>
                  <w:tcW w:w="1149" w:type="pct"/>
                  <w:vMerge w:val="continue"/>
                  <w:tcBorders>
                    <w:tl2br w:val="nil"/>
                    <w:tr2bl w:val="nil"/>
                  </w:tcBorders>
                  <w:noWrap w:val="0"/>
                  <w:vAlign w:val="top"/>
                </w:tcPr>
                <w:p w14:paraId="73DF3B7C">
                  <w:pPr>
                    <w:spacing w:after="0"/>
                    <w:jc w:val="center"/>
                    <w:textAlignment w:val="baseline"/>
                    <w:rPr>
                      <w:rFonts w:hint="default" w:ascii="Times New Roman" w:hAnsi="Times New Roman" w:eastAsia="宋体" w:cs="Times New Roman"/>
                      <w:bCs/>
                      <w:color w:val="auto"/>
                      <w:sz w:val="21"/>
                      <w:szCs w:val="21"/>
                      <w:lang w:val="en-US" w:eastAsia="zh-CN"/>
                    </w:rPr>
                  </w:pPr>
                </w:p>
              </w:tc>
            </w:tr>
            <w:tr w14:paraId="1C3171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tcBorders>
                    <w:tl2br w:val="nil"/>
                    <w:tr2bl w:val="nil"/>
                  </w:tcBorders>
                  <w:noWrap w:val="0"/>
                  <w:vAlign w:val="center"/>
                </w:tcPr>
                <w:p w14:paraId="0D1409F9">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2026.08.07</w:t>
                  </w:r>
                </w:p>
              </w:tc>
              <w:tc>
                <w:tcPr>
                  <w:tcW w:w="728" w:type="pct"/>
                  <w:vMerge w:val="restart"/>
                  <w:tcBorders>
                    <w:tl2br w:val="nil"/>
                    <w:tr2bl w:val="nil"/>
                  </w:tcBorders>
                  <w:noWrap w:val="0"/>
                  <w:vAlign w:val="center"/>
                </w:tcPr>
                <w:p w14:paraId="0FEC3A8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w:t>
                  </w:r>
                  <w:r>
                    <w:rPr>
                      <w:rFonts w:hint="eastAsia" w:ascii="Times New Roman" w:hAnsi="Times New Roman" w:eastAsia="宋体" w:cs="Times New Roman"/>
                      <w:bCs/>
                      <w:color w:val="auto"/>
                      <w:sz w:val="21"/>
                      <w:szCs w:val="21"/>
                      <w:lang w:val="en-US" w:eastAsia="zh-CN"/>
                    </w:rPr>
                    <w:t>2</w:t>
                  </w:r>
                  <w:r>
                    <w:rPr>
                      <w:rFonts w:hint="default" w:ascii="Times New Roman" w:hAnsi="Times New Roman" w:eastAsia="宋体" w:cs="Times New Roman"/>
                      <w:bCs/>
                      <w:color w:val="auto"/>
                      <w:sz w:val="21"/>
                      <w:szCs w:val="21"/>
                      <w:lang w:val="en-US" w:eastAsia="zh-CN"/>
                    </w:rPr>
                    <w:t>次</w:t>
                  </w:r>
                </w:p>
              </w:tc>
              <w:tc>
                <w:tcPr>
                  <w:tcW w:w="1108" w:type="pct"/>
                  <w:tcBorders>
                    <w:tl2br w:val="nil"/>
                    <w:tr2bl w:val="nil"/>
                  </w:tcBorders>
                  <w:noWrap w:val="0"/>
                  <w:vAlign w:val="center"/>
                </w:tcPr>
                <w:p w14:paraId="178867C5">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tcBorders>
                    <w:tl2br w:val="nil"/>
                    <w:tr2bl w:val="nil"/>
                  </w:tcBorders>
                  <w:noWrap w:val="0"/>
                  <w:vAlign w:val="center"/>
                </w:tcPr>
                <w:p w14:paraId="2FFEEC7A">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0.57</w:t>
                  </w:r>
                </w:p>
              </w:tc>
              <w:tc>
                <w:tcPr>
                  <w:tcW w:w="1149" w:type="pct"/>
                  <w:vMerge w:val="restart"/>
                  <w:tcBorders>
                    <w:tl2br w:val="nil"/>
                    <w:tr2bl w:val="nil"/>
                  </w:tcBorders>
                  <w:noWrap w:val="0"/>
                  <w:vAlign w:val="center"/>
                </w:tcPr>
                <w:p w14:paraId="61B4EE9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2D52C55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30.5</w:t>
                  </w:r>
                </w:p>
                <w:p w14:paraId="5AA2C5D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100.2</w:t>
                  </w: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1.4</w:t>
                  </w:r>
                </w:p>
                <w:p w14:paraId="20FBF1E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56C227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3EA4FDFE">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3F07E1DA">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63F5E95C">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tcBorders>
                    <w:tl2br w:val="nil"/>
                    <w:tr2bl w:val="nil"/>
                  </w:tcBorders>
                  <w:noWrap w:val="0"/>
                  <w:vAlign w:val="center"/>
                </w:tcPr>
                <w:p w14:paraId="6EE387FF">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0.69</w:t>
                  </w:r>
                </w:p>
              </w:tc>
              <w:tc>
                <w:tcPr>
                  <w:tcW w:w="1149" w:type="pct"/>
                  <w:vMerge w:val="continue"/>
                  <w:tcBorders>
                    <w:tl2br w:val="nil"/>
                    <w:tr2bl w:val="nil"/>
                  </w:tcBorders>
                  <w:noWrap w:val="0"/>
                  <w:vAlign w:val="center"/>
                </w:tcPr>
                <w:p w14:paraId="453D7CA6">
                  <w:pPr>
                    <w:spacing w:after="0"/>
                    <w:jc w:val="center"/>
                    <w:textAlignment w:val="baseline"/>
                    <w:rPr>
                      <w:rFonts w:hint="default" w:ascii="Times New Roman" w:hAnsi="Times New Roman" w:eastAsia="宋体" w:cs="Times New Roman"/>
                      <w:bCs/>
                      <w:color w:val="auto"/>
                      <w:sz w:val="21"/>
                      <w:szCs w:val="21"/>
                      <w:lang w:val="en-US" w:eastAsia="zh-CN"/>
                    </w:rPr>
                  </w:pPr>
                </w:p>
              </w:tc>
            </w:tr>
            <w:tr w14:paraId="23B795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3DB99161">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0D70F2B7">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2A47C334">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tcBorders>
                    <w:tl2br w:val="nil"/>
                    <w:tr2bl w:val="nil"/>
                  </w:tcBorders>
                  <w:noWrap w:val="0"/>
                  <w:vAlign w:val="center"/>
                </w:tcPr>
                <w:p w14:paraId="551A1026">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0.71</w:t>
                  </w:r>
                </w:p>
              </w:tc>
              <w:tc>
                <w:tcPr>
                  <w:tcW w:w="1149" w:type="pct"/>
                  <w:vMerge w:val="continue"/>
                  <w:tcBorders>
                    <w:tl2br w:val="nil"/>
                    <w:tr2bl w:val="nil"/>
                  </w:tcBorders>
                  <w:noWrap w:val="0"/>
                  <w:vAlign w:val="center"/>
                </w:tcPr>
                <w:p w14:paraId="1094A696">
                  <w:pPr>
                    <w:spacing w:after="0"/>
                    <w:jc w:val="center"/>
                    <w:textAlignment w:val="baseline"/>
                    <w:rPr>
                      <w:rFonts w:hint="default" w:ascii="Times New Roman" w:hAnsi="Times New Roman" w:eastAsia="宋体" w:cs="Times New Roman"/>
                      <w:bCs/>
                      <w:color w:val="auto"/>
                      <w:sz w:val="21"/>
                      <w:szCs w:val="21"/>
                      <w:lang w:val="en-US" w:eastAsia="zh-CN"/>
                    </w:rPr>
                  </w:pPr>
                </w:p>
              </w:tc>
            </w:tr>
            <w:tr w14:paraId="618E23E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41B64502">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30C5C418">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2CBCB401">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tcBorders>
                    <w:tl2br w:val="nil"/>
                    <w:tr2bl w:val="nil"/>
                  </w:tcBorders>
                  <w:noWrap w:val="0"/>
                  <w:vAlign w:val="center"/>
                </w:tcPr>
                <w:p w14:paraId="271B9177">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0.67</w:t>
                  </w:r>
                </w:p>
              </w:tc>
              <w:tc>
                <w:tcPr>
                  <w:tcW w:w="1149" w:type="pct"/>
                  <w:vMerge w:val="continue"/>
                  <w:tcBorders>
                    <w:tl2br w:val="nil"/>
                    <w:tr2bl w:val="nil"/>
                  </w:tcBorders>
                  <w:noWrap w:val="0"/>
                  <w:vAlign w:val="center"/>
                </w:tcPr>
                <w:p w14:paraId="1093F0B5">
                  <w:pPr>
                    <w:spacing w:after="0"/>
                    <w:jc w:val="center"/>
                    <w:textAlignment w:val="baseline"/>
                    <w:rPr>
                      <w:rFonts w:hint="default" w:ascii="Times New Roman" w:hAnsi="Times New Roman" w:eastAsia="宋体" w:cs="Times New Roman"/>
                      <w:bCs/>
                      <w:color w:val="auto"/>
                      <w:sz w:val="21"/>
                      <w:szCs w:val="21"/>
                      <w:lang w:val="en-US" w:eastAsia="zh-CN"/>
                    </w:rPr>
                  </w:pPr>
                </w:p>
              </w:tc>
            </w:tr>
            <w:tr w14:paraId="7AE68E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tcBorders>
                    <w:tl2br w:val="nil"/>
                    <w:tr2bl w:val="nil"/>
                  </w:tcBorders>
                  <w:noWrap w:val="0"/>
                  <w:vAlign w:val="center"/>
                </w:tcPr>
                <w:p w14:paraId="6F690706">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2026.08.07</w:t>
                  </w:r>
                </w:p>
              </w:tc>
              <w:tc>
                <w:tcPr>
                  <w:tcW w:w="728" w:type="pct"/>
                  <w:vMerge w:val="restart"/>
                  <w:tcBorders>
                    <w:tl2br w:val="nil"/>
                    <w:tr2bl w:val="nil"/>
                  </w:tcBorders>
                  <w:noWrap w:val="0"/>
                  <w:vAlign w:val="center"/>
                </w:tcPr>
                <w:p w14:paraId="7D098E8F">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w:t>
                  </w:r>
                  <w:r>
                    <w:rPr>
                      <w:rFonts w:hint="eastAsia" w:ascii="Times New Roman" w:hAnsi="Times New Roman" w:eastAsia="宋体" w:cs="Times New Roman"/>
                      <w:bCs/>
                      <w:color w:val="auto"/>
                      <w:sz w:val="21"/>
                      <w:szCs w:val="21"/>
                      <w:lang w:val="en-US" w:eastAsia="zh-CN"/>
                    </w:rPr>
                    <w:t>3</w:t>
                  </w:r>
                  <w:r>
                    <w:rPr>
                      <w:rFonts w:hint="default" w:ascii="Times New Roman" w:hAnsi="Times New Roman" w:eastAsia="宋体" w:cs="Times New Roman"/>
                      <w:bCs/>
                      <w:color w:val="auto"/>
                      <w:sz w:val="21"/>
                      <w:szCs w:val="21"/>
                      <w:lang w:val="en-US" w:eastAsia="zh-CN"/>
                    </w:rPr>
                    <w:t>次</w:t>
                  </w:r>
                </w:p>
              </w:tc>
              <w:tc>
                <w:tcPr>
                  <w:tcW w:w="1108" w:type="pct"/>
                  <w:tcBorders>
                    <w:tl2br w:val="nil"/>
                    <w:tr2bl w:val="nil"/>
                  </w:tcBorders>
                  <w:noWrap w:val="0"/>
                  <w:vAlign w:val="center"/>
                </w:tcPr>
                <w:p w14:paraId="4A11C70B">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tcBorders>
                    <w:tl2br w:val="nil"/>
                    <w:tr2bl w:val="nil"/>
                  </w:tcBorders>
                  <w:noWrap w:val="0"/>
                  <w:vAlign w:val="center"/>
                </w:tcPr>
                <w:p w14:paraId="1890BC65">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0.62</w:t>
                  </w:r>
                </w:p>
              </w:tc>
              <w:tc>
                <w:tcPr>
                  <w:tcW w:w="1149" w:type="pct"/>
                  <w:vMerge w:val="restart"/>
                  <w:tcBorders>
                    <w:tl2br w:val="nil"/>
                    <w:tr2bl w:val="nil"/>
                  </w:tcBorders>
                  <w:noWrap w:val="0"/>
                  <w:vAlign w:val="center"/>
                </w:tcPr>
                <w:p w14:paraId="367DCF7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7B2E8978">
                  <w:pPr>
                    <w:spacing w:after="0"/>
                    <w:jc w:val="center"/>
                    <w:textAlignment w:val="baseline"/>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31.8</w:t>
                  </w:r>
                </w:p>
                <w:p w14:paraId="29B6BD7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100.1</w:t>
                  </w:r>
                </w:p>
                <w:p w14:paraId="15DC48A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1.2</w:t>
                  </w:r>
                </w:p>
                <w:p w14:paraId="43E3353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64A9AC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603D9228">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46B41A39">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6CACBC0A">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tcBorders>
                    <w:tl2br w:val="nil"/>
                    <w:tr2bl w:val="nil"/>
                  </w:tcBorders>
                  <w:noWrap w:val="0"/>
                  <w:vAlign w:val="center"/>
                </w:tcPr>
                <w:p w14:paraId="12F6F608">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0.74</w:t>
                  </w:r>
                </w:p>
              </w:tc>
              <w:tc>
                <w:tcPr>
                  <w:tcW w:w="1149" w:type="pct"/>
                  <w:vMerge w:val="continue"/>
                  <w:tcBorders>
                    <w:tl2br w:val="nil"/>
                    <w:tr2bl w:val="nil"/>
                  </w:tcBorders>
                  <w:noWrap w:val="0"/>
                  <w:vAlign w:val="center"/>
                </w:tcPr>
                <w:p w14:paraId="6EC8D9B1">
                  <w:pPr>
                    <w:spacing w:after="0"/>
                    <w:jc w:val="center"/>
                    <w:textAlignment w:val="baseline"/>
                    <w:rPr>
                      <w:rFonts w:hint="default" w:ascii="Times New Roman" w:hAnsi="Times New Roman" w:eastAsia="宋体" w:cs="Times New Roman"/>
                      <w:bCs/>
                      <w:color w:val="auto"/>
                      <w:sz w:val="21"/>
                      <w:szCs w:val="21"/>
                      <w:lang w:val="en-US" w:eastAsia="zh-CN"/>
                    </w:rPr>
                  </w:pPr>
                </w:p>
              </w:tc>
            </w:tr>
            <w:tr w14:paraId="0E41B3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3A40331F">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359D0400">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30AD0FDE">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tcBorders>
                    <w:tl2br w:val="nil"/>
                    <w:tr2bl w:val="nil"/>
                  </w:tcBorders>
                  <w:noWrap w:val="0"/>
                  <w:vAlign w:val="center"/>
                </w:tcPr>
                <w:p w14:paraId="5FBC550C">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0.70</w:t>
                  </w:r>
                </w:p>
              </w:tc>
              <w:tc>
                <w:tcPr>
                  <w:tcW w:w="1149" w:type="pct"/>
                  <w:vMerge w:val="continue"/>
                  <w:tcBorders>
                    <w:tl2br w:val="nil"/>
                    <w:tr2bl w:val="nil"/>
                  </w:tcBorders>
                  <w:noWrap w:val="0"/>
                  <w:vAlign w:val="center"/>
                </w:tcPr>
                <w:p w14:paraId="4F36C6F1">
                  <w:pPr>
                    <w:spacing w:after="0"/>
                    <w:jc w:val="center"/>
                    <w:textAlignment w:val="baseline"/>
                    <w:rPr>
                      <w:rFonts w:hint="default" w:ascii="Times New Roman" w:hAnsi="Times New Roman" w:eastAsia="宋体" w:cs="Times New Roman"/>
                      <w:bCs/>
                      <w:color w:val="auto"/>
                      <w:sz w:val="21"/>
                      <w:szCs w:val="21"/>
                      <w:lang w:val="en-US" w:eastAsia="zh-CN"/>
                    </w:rPr>
                  </w:pPr>
                </w:p>
              </w:tc>
            </w:tr>
            <w:tr w14:paraId="238EC7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52502793">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50E99CCD">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6D42706D">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tcBorders>
                    <w:tl2br w:val="nil"/>
                    <w:tr2bl w:val="nil"/>
                  </w:tcBorders>
                  <w:noWrap w:val="0"/>
                  <w:vAlign w:val="center"/>
                </w:tcPr>
                <w:p w14:paraId="54C5978A">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0.73</w:t>
                  </w:r>
                </w:p>
              </w:tc>
              <w:tc>
                <w:tcPr>
                  <w:tcW w:w="1149" w:type="pct"/>
                  <w:vMerge w:val="continue"/>
                  <w:tcBorders>
                    <w:tl2br w:val="nil"/>
                    <w:tr2bl w:val="nil"/>
                  </w:tcBorders>
                  <w:noWrap w:val="0"/>
                  <w:vAlign w:val="center"/>
                </w:tcPr>
                <w:p w14:paraId="2F12907B">
                  <w:pPr>
                    <w:spacing w:after="0"/>
                    <w:jc w:val="center"/>
                    <w:textAlignment w:val="baseline"/>
                    <w:rPr>
                      <w:rFonts w:hint="default" w:ascii="Times New Roman" w:hAnsi="Times New Roman" w:eastAsia="宋体" w:cs="Times New Roman"/>
                      <w:bCs/>
                      <w:color w:val="auto"/>
                      <w:sz w:val="21"/>
                      <w:szCs w:val="21"/>
                      <w:lang w:val="en-US" w:eastAsia="zh-CN"/>
                    </w:rPr>
                  </w:pPr>
                </w:p>
              </w:tc>
            </w:tr>
            <w:tr w14:paraId="0BB847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tcBorders>
                    <w:tl2br w:val="nil"/>
                    <w:tr2bl w:val="nil"/>
                  </w:tcBorders>
                  <w:noWrap w:val="0"/>
                  <w:vAlign w:val="center"/>
                </w:tcPr>
                <w:p w14:paraId="16F5563E">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2026.08.07</w:t>
                  </w:r>
                </w:p>
              </w:tc>
              <w:tc>
                <w:tcPr>
                  <w:tcW w:w="728" w:type="pct"/>
                  <w:vMerge w:val="restart"/>
                  <w:tcBorders>
                    <w:tl2br w:val="nil"/>
                    <w:tr2bl w:val="nil"/>
                  </w:tcBorders>
                  <w:noWrap w:val="0"/>
                  <w:vAlign w:val="center"/>
                </w:tcPr>
                <w:p w14:paraId="3D11089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w:t>
                  </w:r>
                  <w:r>
                    <w:rPr>
                      <w:rFonts w:hint="eastAsia" w:ascii="Times New Roman" w:hAnsi="Times New Roman" w:eastAsia="宋体" w:cs="Times New Roman"/>
                      <w:bCs/>
                      <w:color w:val="auto"/>
                      <w:sz w:val="21"/>
                      <w:szCs w:val="21"/>
                      <w:lang w:val="en-US" w:eastAsia="zh-CN"/>
                    </w:rPr>
                    <w:t>4</w:t>
                  </w:r>
                  <w:r>
                    <w:rPr>
                      <w:rFonts w:hint="default" w:ascii="Times New Roman" w:hAnsi="Times New Roman" w:eastAsia="宋体" w:cs="Times New Roman"/>
                      <w:bCs/>
                      <w:color w:val="auto"/>
                      <w:sz w:val="21"/>
                      <w:szCs w:val="21"/>
                      <w:lang w:val="en-US" w:eastAsia="zh-CN"/>
                    </w:rPr>
                    <w:t>次</w:t>
                  </w:r>
                </w:p>
              </w:tc>
              <w:tc>
                <w:tcPr>
                  <w:tcW w:w="1108" w:type="pct"/>
                  <w:tcBorders>
                    <w:tl2br w:val="nil"/>
                    <w:tr2bl w:val="nil"/>
                  </w:tcBorders>
                  <w:noWrap w:val="0"/>
                  <w:vAlign w:val="center"/>
                </w:tcPr>
                <w:p w14:paraId="7E34C7CE">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tcBorders>
                    <w:tl2br w:val="nil"/>
                    <w:tr2bl w:val="nil"/>
                  </w:tcBorders>
                  <w:noWrap w:val="0"/>
                  <w:vAlign w:val="center"/>
                </w:tcPr>
                <w:p w14:paraId="62BC2457">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0.56</w:t>
                  </w:r>
                </w:p>
              </w:tc>
              <w:tc>
                <w:tcPr>
                  <w:tcW w:w="1149" w:type="pct"/>
                  <w:vMerge w:val="restart"/>
                  <w:tcBorders>
                    <w:tl2br w:val="nil"/>
                    <w:tr2bl w:val="nil"/>
                  </w:tcBorders>
                  <w:noWrap w:val="0"/>
                  <w:vAlign w:val="center"/>
                </w:tcPr>
                <w:p w14:paraId="1057F27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459B0B00">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32.7</w:t>
                  </w:r>
                </w:p>
                <w:p w14:paraId="2A71FBB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100.1</w:t>
                  </w:r>
                </w:p>
                <w:p w14:paraId="714BB08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1.3</w:t>
                  </w:r>
                </w:p>
                <w:p w14:paraId="182219A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7CD4C4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7CBBE21E">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53B7EC8C">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1A0C6D44">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tcBorders>
                    <w:tl2br w:val="nil"/>
                    <w:tr2bl w:val="nil"/>
                  </w:tcBorders>
                  <w:noWrap w:val="0"/>
                  <w:vAlign w:val="center"/>
                </w:tcPr>
                <w:p w14:paraId="12977AE8">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0.70</w:t>
                  </w:r>
                </w:p>
              </w:tc>
              <w:tc>
                <w:tcPr>
                  <w:tcW w:w="1149" w:type="pct"/>
                  <w:vMerge w:val="continue"/>
                  <w:tcBorders>
                    <w:tl2br w:val="nil"/>
                    <w:tr2bl w:val="nil"/>
                  </w:tcBorders>
                  <w:noWrap w:val="0"/>
                  <w:vAlign w:val="top"/>
                </w:tcPr>
                <w:p w14:paraId="183D88D7">
                  <w:pPr>
                    <w:spacing w:after="0"/>
                    <w:jc w:val="center"/>
                    <w:textAlignment w:val="baseline"/>
                    <w:rPr>
                      <w:rFonts w:hint="default" w:ascii="Times New Roman" w:hAnsi="Times New Roman" w:eastAsia="宋体" w:cs="Times New Roman"/>
                      <w:bCs/>
                      <w:color w:val="auto"/>
                      <w:sz w:val="21"/>
                      <w:szCs w:val="21"/>
                      <w:lang w:val="en-US" w:eastAsia="zh-CN"/>
                    </w:rPr>
                  </w:pPr>
                </w:p>
              </w:tc>
            </w:tr>
            <w:tr w14:paraId="601AB8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64D8117D">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3B03963D">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1B968768">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tcBorders>
                    <w:tl2br w:val="nil"/>
                    <w:tr2bl w:val="nil"/>
                  </w:tcBorders>
                  <w:noWrap w:val="0"/>
                  <w:vAlign w:val="center"/>
                </w:tcPr>
                <w:p w14:paraId="2B102C83">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0.68</w:t>
                  </w:r>
                </w:p>
              </w:tc>
              <w:tc>
                <w:tcPr>
                  <w:tcW w:w="1149" w:type="pct"/>
                  <w:vMerge w:val="continue"/>
                  <w:tcBorders>
                    <w:tl2br w:val="nil"/>
                    <w:tr2bl w:val="nil"/>
                  </w:tcBorders>
                  <w:noWrap w:val="0"/>
                  <w:vAlign w:val="top"/>
                </w:tcPr>
                <w:p w14:paraId="3D450534">
                  <w:pPr>
                    <w:spacing w:after="0"/>
                    <w:jc w:val="center"/>
                    <w:textAlignment w:val="baseline"/>
                    <w:rPr>
                      <w:rFonts w:hint="default" w:ascii="Times New Roman" w:hAnsi="Times New Roman" w:eastAsia="宋体" w:cs="Times New Roman"/>
                      <w:bCs/>
                      <w:color w:val="auto"/>
                      <w:sz w:val="21"/>
                      <w:szCs w:val="21"/>
                      <w:lang w:val="en-US" w:eastAsia="zh-CN"/>
                    </w:rPr>
                  </w:pPr>
                </w:p>
              </w:tc>
            </w:tr>
            <w:tr w14:paraId="4AF997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6E21090A">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189312DA">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79A81BFE">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tcBorders>
                    <w:tl2br w:val="nil"/>
                    <w:tr2bl w:val="nil"/>
                  </w:tcBorders>
                  <w:noWrap w:val="0"/>
                  <w:vAlign w:val="center"/>
                </w:tcPr>
                <w:p w14:paraId="7D782939">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0.73</w:t>
                  </w:r>
                </w:p>
              </w:tc>
              <w:tc>
                <w:tcPr>
                  <w:tcW w:w="1149" w:type="pct"/>
                  <w:vMerge w:val="continue"/>
                  <w:tcBorders>
                    <w:tl2br w:val="nil"/>
                    <w:tr2bl w:val="nil"/>
                  </w:tcBorders>
                  <w:noWrap w:val="0"/>
                  <w:vAlign w:val="top"/>
                </w:tcPr>
                <w:p w14:paraId="78B1D7C9">
                  <w:pPr>
                    <w:spacing w:after="0"/>
                    <w:jc w:val="center"/>
                    <w:textAlignment w:val="baseline"/>
                    <w:rPr>
                      <w:rFonts w:hint="default" w:ascii="Times New Roman" w:hAnsi="Times New Roman" w:eastAsia="宋体" w:cs="Times New Roman"/>
                      <w:bCs/>
                      <w:color w:val="auto"/>
                      <w:sz w:val="21"/>
                      <w:szCs w:val="21"/>
                      <w:lang w:val="en-US" w:eastAsia="zh-CN"/>
                    </w:rPr>
                  </w:pPr>
                </w:p>
              </w:tc>
            </w:tr>
            <w:tr w14:paraId="6CF077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tcBorders>
                    <w:tl2br w:val="nil"/>
                    <w:tr2bl w:val="nil"/>
                  </w:tcBorders>
                  <w:noWrap w:val="0"/>
                  <w:vAlign w:val="center"/>
                </w:tcPr>
                <w:p w14:paraId="14DCA2AB">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2026.08.08</w:t>
                  </w:r>
                </w:p>
              </w:tc>
              <w:tc>
                <w:tcPr>
                  <w:tcW w:w="728" w:type="pct"/>
                  <w:vMerge w:val="restart"/>
                  <w:tcBorders>
                    <w:tl2br w:val="nil"/>
                    <w:tr2bl w:val="nil"/>
                  </w:tcBorders>
                  <w:noWrap w:val="0"/>
                  <w:vAlign w:val="center"/>
                </w:tcPr>
                <w:p w14:paraId="5B0CFC5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w:t>
                  </w:r>
                  <w:r>
                    <w:rPr>
                      <w:rFonts w:hint="eastAsia" w:ascii="Times New Roman" w:hAnsi="Times New Roman" w:eastAsia="宋体" w:cs="Times New Roman"/>
                      <w:bCs/>
                      <w:color w:val="auto"/>
                      <w:sz w:val="21"/>
                      <w:szCs w:val="21"/>
                      <w:lang w:val="en-US" w:eastAsia="zh-CN"/>
                    </w:rPr>
                    <w:t>1</w:t>
                  </w:r>
                  <w:r>
                    <w:rPr>
                      <w:rFonts w:hint="default" w:ascii="Times New Roman" w:hAnsi="Times New Roman" w:eastAsia="宋体" w:cs="Times New Roman"/>
                      <w:bCs/>
                      <w:color w:val="auto"/>
                      <w:sz w:val="21"/>
                      <w:szCs w:val="21"/>
                      <w:lang w:val="en-US" w:eastAsia="zh-CN"/>
                    </w:rPr>
                    <w:t>次</w:t>
                  </w:r>
                </w:p>
              </w:tc>
              <w:tc>
                <w:tcPr>
                  <w:tcW w:w="1108" w:type="pct"/>
                  <w:tcBorders>
                    <w:tl2br w:val="nil"/>
                    <w:tr2bl w:val="nil"/>
                  </w:tcBorders>
                  <w:noWrap w:val="0"/>
                  <w:vAlign w:val="center"/>
                </w:tcPr>
                <w:p w14:paraId="2C06CC50">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tcBorders>
                    <w:tl2br w:val="nil"/>
                    <w:tr2bl w:val="nil"/>
                  </w:tcBorders>
                  <w:noWrap w:val="0"/>
                  <w:vAlign w:val="center"/>
                </w:tcPr>
                <w:p w14:paraId="76BDE718">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0.60</w:t>
                  </w:r>
                </w:p>
              </w:tc>
              <w:tc>
                <w:tcPr>
                  <w:tcW w:w="1149" w:type="pct"/>
                  <w:vMerge w:val="restart"/>
                  <w:tcBorders>
                    <w:tl2br w:val="nil"/>
                    <w:tr2bl w:val="nil"/>
                  </w:tcBorders>
                  <w:noWrap w:val="0"/>
                  <w:vAlign w:val="center"/>
                </w:tcPr>
                <w:p w14:paraId="311B8D9C">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4FCC204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25.9</w:t>
                  </w:r>
                </w:p>
                <w:p w14:paraId="64D29BFA">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100.4</w:t>
                  </w:r>
                </w:p>
                <w:p w14:paraId="0986BD9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2.1</w:t>
                  </w:r>
                </w:p>
                <w:p w14:paraId="5A7122FE">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7A591B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6EBF94AF">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5558F36A">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0921B268">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tcBorders>
                    <w:tl2br w:val="nil"/>
                    <w:tr2bl w:val="nil"/>
                  </w:tcBorders>
                  <w:noWrap w:val="0"/>
                  <w:vAlign w:val="center"/>
                </w:tcPr>
                <w:p w14:paraId="582FBD86">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0.71</w:t>
                  </w:r>
                </w:p>
              </w:tc>
              <w:tc>
                <w:tcPr>
                  <w:tcW w:w="1149" w:type="pct"/>
                  <w:vMerge w:val="continue"/>
                  <w:tcBorders>
                    <w:tl2br w:val="nil"/>
                    <w:tr2bl w:val="nil"/>
                  </w:tcBorders>
                  <w:noWrap w:val="0"/>
                  <w:vAlign w:val="top"/>
                </w:tcPr>
                <w:p w14:paraId="581AF092">
                  <w:pPr>
                    <w:spacing w:after="0"/>
                    <w:jc w:val="center"/>
                    <w:textAlignment w:val="baseline"/>
                    <w:rPr>
                      <w:rFonts w:hint="default" w:ascii="Times New Roman" w:hAnsi="Times New Roman" w:eastAsia="宋体" w:cs="Times New Roman"/>
                      <w:bCs/>
                      <w:color w:val="auto"/>
                      <w:sz w:val="21"/>
                      <w:szCs w:val="21"/>
                      <w:lang w:val="en-US" w:eastAsia="zh-CN"/>
                    </w:rPr>
                  </w:pPr>
                </w:p>
              </w:tc>
            </w:tr>
            <w:tr w14:paraId="5FA8C3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1D8BF002">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36C8E907">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3033C39F">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tcBorders>
                    <w:tl2br w:val="nil"/>
                    <w:tr2bl w:val="nil"/>
                  </w:tcBorders>
                  <w:noWrap w:val="0"/>
                  <w:vAlign w:val="center"/>
                </w:tcPr>
                <w:p w14:paraId="378496BA">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0.69</w:t>
                  </w:r>
                </w:p>
              </w:tc>
              <w:tc>
                <w:tcPr>
                  <w:tcW w:w="1149" w:type="pct"/>
                  <w:vMerge w:val="continue"/>
                  <w:tcBorders>
                    <w:tl2br w:val="nil"/>
                    <w:tr2bl w:val="nil"/>
                  </w:tcBorders>
                  <w:noWrap w:val="0"/>
                  <w:vAlign w:val="top"/>
                </w:tcPr>
                <w:p w14:paraId="56250AB0">
                  <w:pPr>
                    <w:spacing w:after="0"/>
                    <w:jc w:val="center"/>
                    <w:textAlignment w:val="baseline"/>
                    <w:rPr>
                      <w:rFonts w:hint="default" w:ascii="Times New Roman" w:hAnsi="Times New Roman" w:eastAsia="宋体" w:cs="Times New Roman"/>
                      <w:bCs/>
                      <w:color w:val="auto"/>
                      <w:sz w:val="21"/>
                      <w:szCs w:val="21"/>
                      <w:lang w:val="en-US" w:eastAsia="zh-CN"/>
                    </w:rPr>
                  </w:pPr>
                </w:p>
              </w:tc>
            </w:tr>
            <w:tr w14:paraId="580114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4E187F87">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1CD42BFF">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49C3FD67">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tcBorders>
                    <w:tl2br w:val="nil"/>
                    <w:tr2bl w:val="nil"/>
                  </w:tcBorders>
                  <w:noWrap w:val="0"/>
                  <w:vAlign w:val="center"/>
                </w:tcPr>
                <w:p w14:paraId="5910F4C3">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0.74</w:t>
                  </w:r>
                </w:p>
              </w:tc>
              <w:tc>
                <w:tcPr>
                  <w:tcW w:w="1149" w:type="pct"/>
                  <w:vMerge w:val="continue"/>
                  <w:tcBorders>
                    <w:tl2br w:val="nil"/>
                    <w:tr2bl w:val="nil"/>
                  </w:tcBorders>
                  <w:noWrap w:val="0"/>
                  <w:vAlign w:val="top"/>
                </w:tcPr>
                <w:p w14:paraId="341D4E72">
                  <w:pPr>
                    <w:spacing w:after="0"/>
                    <w:jc w:val="center"/>
                    <w:textAlignment w:val="baseline"/>
                    <w:rPr>
                      <w:rFonts w:hint="default" w:ascii="Times New Roman" w:hAnsi="Times New Roman" w:eastAsia="宋体" w:cs="Times New Roman"/>
                      <w:bCs/>
                      <w:color w:val="auto"/>
                      <w:sz w:val="21"/>
                      <w:szCs w:val="21"/>
                      <w:lang w:val="en-US" w:eastAsia="zh-CN"/>
                    </w:rPr>
                  </w:pPr>
                </w:p>
              </w:tc>
            </w:tr>
            <w:tr w14:paraId="6C8AE0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tcBorders>
                    <w:tl2br w:val="nil"/>
                    <w:tr2bl w:val="nil"/>
                  </w:tcBorders>
                  <w:noWrap w:val="0"/>
                  <w:vAlign w:val="center"/>
                </w:tcPr>
                <w:p w14:paraId="03D0B2C1">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2026.08.08</w:t>
                  </w:r>
                </w:p>
              </w:tc>
              <w:tc>
                <w:tcPr>
                  <w:tcW w:w="728" w:type="pct"/>
                  <w:vMerge w:val="restart"/>
                  <w:tcBorders>
                    <w:tl2br w:val="nil"/>
                    <w:tr2bl w:val="nil"/>
                  </w:tcBorders>
                  <w:noWrap w:val="0"/>
                  <w:vAlign w:val="center"/>
                </w:tcPr>
                <w:p w14:paraId="17A25D3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w:t>
                  </w:r>
                  <w:r>
                    <w:rPr>
                      <w:rFonts w:hint="eastAsia" w:ascii="Times New Roman" w:hAnsi="Times New Roman" w:eastAsia="宋体" w:cs="Times New Roman"/>
                      <w:bCs/>
                      <w:color w:val="auto"/>
                      <w:sz w:val="21"/>
                      <w:szCs w:val="21"/>
                      <w:lang w:val="en-US" w:eastAsia="zh-CN"/>
                    </w:rPr>
                    <w:t>2</w:t>
                  </w:r>
                  <w:r>
                    <w:rPr>
                      <w:rFonts w:hint="default" w:ascii="Times New Roman" w:hAnsi="Times New Roman" w:eastAsia="宋体" w:cs="Times New Roman"/>
                      <w:bCs/>
                      <w:color w:val="auto"/>
                      <w:sz w:val="21"/>
                      <w:szCs w:val="21"/>
                      <w:lang w:val="en-US" w:eastAsia="zh-CN"/>
                    </w:rPr>
                    <w:t>次</w:t>
                  </w:r>
                </w:p>
              </w:tc>
              <w:tc>
                <w:tcPr>
                  <w:tcW w:w="1108" w:type="pct"/>
                  <w:tcBorders>
                    <w:tl2br w:val="nil"/>
                    <w:tr2bl w:val="nil"/>
                  </w:tcBorders>
                  <w:noWrap w:val="0"/>
                  <w:vAlign w:val="center"/>
                </w:tcPr>
                <w:p w14:paraId="2D6BE36C">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tcBorders>
                    <w:tl2br w:val="nil"/>
                    <w:tr2bl w:val="nil"/>
                  </w:tcBorders>
                  <w:noWrap w:val="0"/>
                  <w:vAlign w:val="center"/>
                </w:tcPr>
                <w:p w14:paraId="0C8274AF">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0.62</w:t>
                  </w:r>
                </w:p>
              </w:tc>
              <w:tc>
                <w:tcPr>
                  <w:tcW w:w="1149" w:type="pct"/>
                  <w:vMerge w:val="restart"/>
                  <w:tcBorders>
                    <w:tl2br w:val="nil"/>
                    <w:tr2bl w:val="nil"/>
                  </w:tcBorders>
                  <w:noWrap w:val="0"/>
                  <w:vAlign w:val="center"/>
                </w:tcPr>
                <w:p w14:paraId="198A870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313AC2AA">
                  <w:pPr>
                    <w:spacing w:after="0"/>
                    <w:jc w:val="center"/>
                    <w:textAlignment w:val="baseline"/>
                    <w:rPr>
                      <w:rFonts w:hint="eastAsia"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28.6</w:t>
                  </w:r>
                </w:p>
                <w:p w14:paraId="2DE94584">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100.3</w:t>
                  </w:r>
                </w:p>
                <w:p w14:paraId="28E0090C">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1.9</w:t>
                  </w:r>
                </w:p>
                <w:p w14:paraId="5B7A4E7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2AA697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333F85E9">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48C2E574">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4E2F8613">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tcBorders>
                    <w:tl2br w:val="nil"/>
                    <w:tr2bl w:val="nil"/>
                  </w:tcBorders>
                  <w:noWrap w:val="0"/>
                  <w:vAlign w:val="center"/>
                </w:tcPr>
                <w:p w14:paraId="2A34A54E">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0.73</w:t>
                  </w:r>
                </w:p>
              </w:tc>
              <w:tc>
                <w:tcPr>
                  <w:tcW w:w="1149" w:type="pct"/>
                  <w:vMerge w:val="continue"/>
                  <w:tcBorders>
                    <w:tl2br w:val="nil"/>
                    <w:tr2bl w:val="nil"/>
                  </w:tcBorders>
                  <w:noWrap w:val="0"/>
                  <w:vAlign w:val="top"/>
                </w:tcPr>
                <w:p w14:paraId="6675EF8C">
                  <w:pPr>
                    <w:spacing w:after="0"/>
                    <w:jc w:val="center"/>
                    <w:textAlignment w:val="baseline"/>
                    <w:rPr>
                      <w:rFonts w:hint="default" w:ascii="Times New Roman" w:hAnsi="Times New Roman" w:eastAsia="宋体" w:cs="Times New Roman"/>
                      <w:bCs/>
                      <w:color w:val="auto"/>
                      <w:sz w:val="21"/>
                      <w:szCs w:val="21"/>
                      <w:lang w:val="en-US" w:eastAsia="zh-CN"/>
                    </w:rPr>
                  </w:pPr>
                </w:p>
              </w:tc>
            </w:tr>
            <w:tr w14:paraId="148819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61B03D7D">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62E7DC96">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63827711">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tcBorders>
                    <w:tl2br w:val="nil"/>
                    <w:tr2bl w:val="nil"/>
                  </w:tcBorders>
                  <w:noWrap w:val="0"/>
                  <w:vAlign w:val="center"/>
                </w:tcPr>
                <w:p w14:paraId="55FD21A7">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0.68</w:t>
                  </w:r>
                </w:p>
              </w:tc>
              <w:tc>
                <w:tcPr>
                  <w:tcW w:w="1149" w:type="pct"/>
                  <w:vMerge w:val="continue"/>
                  <w:tcBorders>
                    <w:tl2br w:val="nil"/>
                    <w:tr2bl w:val="nil"/>
                  </w:tcBorders>
                  <w:noWrap w:val="0"/>
                  <w:vAlign w:val="top"/>
                </w:tcPr>
                <w:p w14:paraId="5483D9B2">
                  <w:pPr>
                    <w:spacing w:after="0"/>
                    <w:jc w:val="center"/>
                    <w:textAlignment w:val="baseline"/>
                    <w:rPr>
                      <w:rFonts w:hint="default" w:ascii="Times New Roman" w:hAnsi="Times New Roman" w:eastAsia="宋体" w:cs="Times New Roman"/>
                      <w:bCs/>
                      <w:color w:val="auto"/>
                      <w:sz w:val="21"/>
                      <w:szCs w:val="21"/>
                      <w:lang w:val="en-US" w:eastAsia="zh-CN"/>
                    </w:rPr>
                  </w:pPr>
                </w:p>
              </w:tc>
            </w:tr>
            <w:tr w14:paraId="0FFB24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tcBorders>
                    <w:tl2br w:val="nil"/>
                    <w:tr2bl w:val="nil"/>
                  </w:tcBorders>
                  <w:noWrap w:val="0"/>
                  <w:vAlign w:val="center"/>
                </w:tcPr>
                <w:p w14:paraId="0F3000AB">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tcBorders>
                    <w:tl2br w:val="nil"/>
                    <w:tr2bl w:val="nil"/>
                  </w:tcBorders>
                  <w:noWrap w:val="0"/>
                  <w:vAlign w:val="top"/>
                </w:tcPr>
                <w:p w14:paraId="500BA84C">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tcBorders>
                    <w:tl2br w:val="nil"/>
                    <w:tr2bl w:val="nil"/>
                  </w:tcBorders>
                  <w:noWrap w:val="0"/>
                  <w:vAlign w:val="center"/>
                </w:tcPr>
                <w:p w14:paraId="45871755">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tcBorders>
                    <w:tl2br w:val="nil"/>
                    <w:tr2bl w:val="nil"/>
                  </w:tcBorders>
                  <w:noWrap w:val="0"/>
                  <w:vAlign w:val="center"/>
                </w:tcPr>
                <w:p w14:paraId="250F0465">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0.72</w:t>
                  </w:r>
                </w:p>
              </w:tc>
              <w:tc>
                <w:tcPr>
                  <w:tcW w:w="1149" w:type="pct"/>
                  <w:vMerge w:val="continue"/>
                  <w:tcBorders>
                    <w:tl2br w:val="nil"/>
                    <w:tr2bl w:val="nil"/>
                  </w:tcBorders>
                  <w:noWrap w:val="0"/>
                  <w:vAlign w:val="top"/>
                </w:tcPr>
                <w:p w14:paraId="489CFE40">
                  <w:pPr>
                    <w:spacing w:after="0"/>
                    <w:jc w:val="center"/>
                    <w:textAlignment w:val="baseline"/>
                    <w:rPr>
                      <w:rFonts w:hint="default" w:ascii="Times New Roman" w:hAnsi="Times New Roman" w:eastAsia="宋体" w:cs="Times New Roman"/>
                      <w:bCs/>
                      <w:color w:val="auto"/>
                      <w:sz w:val="21"/>
                      <w:szCs w:val="21"/>
                      <w:lang w:val="en-US" w:eastAsia="zh-CN"/>
                    </w:rPr>
                  </w:pPr>
                </w:p>
              </w:tc>
            </w:tr>
            <w:tr w14:paraId="26E0E6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tcBorders>
                    <w:tl2br w:val="nil"/>
                    <w:tr2bl w:val="nil"/>
                  </w:tcBorders>
                  <w:noWrap w:val="0"/>
                  <w:vAlign w:val="center"/>
                </w:tcPr>
                <w:p w14:paraId="37D64CFD">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2026.08.08</w:t>
                  </w:r>
                </w:p>
              </w:tc>
              <w:tc>
                <w:tcPr>
                  <w:tcW w:w="728" w:type="pct"/>
                  <w:vMerge w:val="restart"/>
                  <w:tcBorders>
                    <w:tl2br w:val="nil"/>
                    <w:tr2bl w:val="nil"/>
                  </w:tcBorders>
                  <w:noWrap w:val="0"/>
                  <w:vAlign w:val="center"/>
                </w:tcPr>
                <w:p w14:paraId="76D1FE0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w:t>
                  </w:r>
                  <w:r>
                    <w:rPr>
                      <w:rFonts w:hint="eastAsia" w:ascii="Times New Roman" w:hAnsi="Times New Roman" w:eastAsia="宋体" w:cs="Times New Roman"/>
                      <w:bCs/>
                      <w:color w:val="auto"/>
                      <w:sz w:val="21"/>
                      <w:szCs w:val="21"/>
                      <w:lang w:val="en-US" w:eastAsia="zh-CN"/>
                    </w:rPr>
                    <w:t>3</w:t>
                  </w:r>
                  <w:r>
                    <w:rPr>
                      <w:rFonts w:hint="default" w:ascii="Times New Roman" w:hAnsi="Times New Roman" w:eastAsia="宋体" w:cs="Times New Roman"/>
                      <w:bCs/>
                      <w:color w:val="auto"/>
                      <w:sz w:val="21"/>
                      <w:szCs w:val="21"/>
                      <w:lang w:val="en-US" w:eastAsia="zh-CN"/>
                    </w:rPr>
                    <w:t>次</w:t>
                  </w:r>
                </w:p>
              </w:tc>
              <w:tc>
                <w:tcPr>
                  <w:tcW w:w="1108" w:type="pct"/>
                  <w:tcBorders>
                    <w:tl2br w:val="nil"/>
                    <w:tr2bl w:val="nil"/>
                  </w:tcBorders>
                  <w:noWrap w:val="0"/>
                  <w:vAlign w:val="center"/>
                </w:tcPr>
                <w:p w14:paraId="770DFD4F">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tcBorders>
                    <w:tl2br w:val="nil"/>
                    <w:tr2bl w:val="nil"/>
                  </w:tcBorders>
                  <w:noWrap w:val="0"/>
                  <w:vAlign w:val="center"/>
                </w:tcPr>
                <w:p w14:paraId="23855AE4">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0.58</w:t>
                  </w:r>
                </w:p>
              </w:tc>
              <w:tc>
                <w:tcPr>
                  <w:tcW w:w="1149" w:type="pct"/>
                  <w:vMerge w:val="restart"/>
                  <w:tcBorders>
                    <w:tl2br w:val="nil"/>
                    <w:tr2bl w:val="nil"/>
                  </w:tcBorders>
                  <w:noWrap w:val="0"/>
                  <w:vAlign w:val="center"/>
                </w:tcPr>
                <w:p w14:paraId="247AA5E2">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5425C0F1">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30.5</w:t>
                  </w:r>
                </w:p>
                <w:p w14:paraId="63E08A43">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100.2</w:t>
                  </w:r>
                </w:p>
                <w:p w14:paraId="334D83C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1.7</w:t>
                  </w:r>
                </w:p>
                <w:p w14:paraId="04EB3587">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663BC2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noWrap w:val="0"/>
                  <w:vAlign w:val="top"/>
                </w:tcPr>
                <w:p w14:paraId="32CF3797">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noWrap w:val="0"/>
                  <w:vAlign w:val="top"/>
                </w:tcPr>
                <w:p w14:paraId="4B2F061E">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noWrap w:val="0"/>
                  <w:vAlign w:val="center"/>
                </w:tcPr>
                <w:p w14:paraId="7DA2EF94">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noWrap w:val="0"/>
                  <w:vAlign w:val="center"/>
                </w:tcPr>
                <w:p w14:paraId="37D17C9D">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0.72</w:t>
                  </w:r>
                </w:p>
              </w:tc>
              <w:tc>
                <w:tcPr>
                  <w:tcW w:w="1149" w:type="pct"/>
                  <w:vMerge w:val="continue"/>
                  <w:noWrap w:val="0"/>
                  <w:vAlign w:val="top"/>
                </w:tcPr>
                <w:p w14:paraId="391C308E">
                  <w:pPr>
                    <w:spacing w:after="0"/>
                    <w:jc w:val="center"/>
                    <w:textAlignment w:val="baseline"/>
                    <w:rPr>
                      <w:rFonts w:hint="default" w:ascii="Times New Roman" w:hAnsi="Times New Roman" w:eastAsia="宋体" w:cs="Times New Roman"/>
                      <w:bCs/>
                      <w:color w:val="auto"/>
                      <w:sz w:val="21"/>
                      <w:szCs w:val="21"/>
                      <w:lang w:val="en-US" w:eastAsia="zh-CN"/>
                    </w:rPr>
                  </w:pPr>
                </w:p>
              </w:tc>
            </w:tr>
            <w:tr w14:paraId="13763E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noWrap w:val="0"/>
                  <w:vAlign w:val="top"/>
                </w:tcPr>
                <w:p w14:paraId="17FCEA19">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noWrap w:val="0"/>
                  <w:vAlign w:val="top"/>
                </w:tcPr>
                <w:p w14:paraId="3D8CB8CC">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noWrap w:val="0"/>
                  <w:vAlign w:val="center"/>
                </w:tcPr>
                <w:p w14:paraId="48C4DD4A">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noWrap w:val="0"/>
                  <w:vAlign w:val="center"/>
                </w:tcPr>
                <w:p w14:paraId="731BD7F2">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0.70</w:t>
                  </w:r>
                </w:p>
              </w:tc>
              <w:tc>
                <w:tcPr>
                  <w:tcW w:w="1149" w:type="pct"/>
                  <w:vMerge w:val="continue"/>
                  <w:noWrap w:val="0"/>
                  <w:vAlign w:val="top"/>
                </w:tcPr>
                <w:p w14:paraId="00241600">
                  <w:pPr>
                    <w:spacing w:after="0"/>
                    <w:jc w:val="center"/>
                    <w:textAlignment w:val="baseline"/>
                    <w:rPr>
                      <w:rFonts w:hint="default" w:ascii="Times New Roman" w:hAnsi="Times New Roman" w:eastAsia="宋体" w:cs="Times New Roman"/>
                      <w:bCs/>
                      <w:color w:val="auto"/>
                      <w:sz w:val="21"/>
                      <w:szCs w:val="21"/>
                      <w:lang w:val="en-US" w:eastAsia="zh-CN"/>
                    </w:rPr>
                  </w:pPr>
                </w:p>
              </w:tc>
            </w:tr>
            <w:tr w14:paraId="5CFD8E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noWrap w:val="0"/>
                  <w:vAlign w:val="top"/>
                </w:tcPr>
                <w:p w14:paraId="27BBE226">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noWrap w:val="0"/>
                  <w:vAlign w:val="top"/>
                </w:tcPr>
                <w:p w14:paraId="3B587EBF">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noWrap w:val="0"/>
                  <w:vAlign w:val="center"/>
                </w:tcPr>
                <w:p w14:paraId="6412EE16">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noWrap w:val="0"/>
                  <w:vAlign w:val="center"/>
                </w:tcPr>
                <w:p w14:paraId="058DA4A1">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0.68</w:t>
                  </w:r>
                </w:p>
              </w:tc>
              <w:tc>
                <w:tcPr>
                  <w:tcW w:w="1149" w:type="pct"/>
                  <w:vMerge w:val="continue"/>
                  <w:noWrap w:val="0"/>
                  <w:vAlign w:val="top"/>
                </w:tcPr>
                <w:p w14:paraId="34E7CDB1">
                  <w:pPr>
                    <w:spacing w:after="0"/>
                    <w:jc w:val="center"/>
                    <w:textAlignment w:val="baseline"/>
                    <w:rPr>
                      <w:rFonts w:hint="default" w:ascii="Times New Roman" w:hAnsi="Times New Roman" w:eastAsia="宋体" w:cs="Times New Roman"/>
                      <w:bCs/>
                      <w:color w:val="auto"/>
                      <w:sz w:val="21"/>
                      <w:szCs w:val="21"/>
                      <w:lang w:val="en-US" w:eastAsia="zh-CN"/>
                    </w:rPr>
                  </w:pPr>
                </w:p>
              </w:tc>
            </w:tr>
            <w:tr w14:paraId="6E999F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restart"/>
                  <w:noWrap w:val="0"/>
                  <w:vAlign w:val="center"/>
                </w:tcPr>
                <w:p w14:paraId="7D921CEF">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2026.08.08</w:t>
                  </w:r>
                </w:p>
              </w:tc>
              <w:tc>
                <w:tcPr>
                  <w:tcW w:w="728" w:type="pct"/>
                  <w:vMerge w:val="restart"/>
                  <w:noWrap w:val="0"/>
                  <w:vAlign w:val="center"/>
                </w:tcPr>
                <w:p w14:paraId="2241EE8D">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第</w:t>
                  </w:r>
                  <w:r>
                    <w:rPr>
                      <w:rFonts w:hint="eastAsia" w:ascii="Times New Roman" w:hAnsi="Times New Roman" w:eastAsia="宋体" w:cs="Times New Roman"/>
                      <w:bCs/>
                      <w:color w:val="auto"/>
                      <w:sz w:val="21"/>
                      <w:szCs w:val="21"/>
                      <w:lang w:val="en-US" w:eastAsia="zh-CN"/>
                    </w:rPr>
                    <w:t>4</w:t>
                  </w:r>
                  <w:r>
                    <w:rPr>
                      <w:rFonts w:hint="default" w:ascii="Times New Roman" w:hAnsi="Times New Roman" w:eastAsia="宋体" w:cs="Times New Roman"/>
                      <w:bCs/>
                      <w:color w:val="auto"/>
                      <w:sz w:val="21"/>
                      <w:szCs w:val="21"/>
                      <w:lang w:val="en-US" w:eastAsia="zh-CN"/>
                    </w:rPr>
                    <w:t>次</w:t>
                  </w:r>
                </w:p>
              </w:tc>
              <w:tc>
                <w:tcPr>
                  <w:tcW w:w="1108" w:type="pct"/>
                  <w:noWrap w:val="0"/>
                  <w:vAlign w:val="center"/>
                </w:tcPr>
                <w:p w14:paraId="4AD35A35">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厂界上</w:t>
                  </w:r>
                  <w:r>
                    <w:rPr>
                      <w:rFonts w:hint="default" w:ascii="Times New Roman" w:hAnsi="Times New Roman" w:eastAsia="宋体" w:cs="Times New Roman"/>
                      <w:bCs/>
                      <w:color w:val="auto"/>
                      <w:sz w:val="21"/>
                      <w:szCs w:val="21"/>
                      <w:lang w:val="en-US" w:eastAsia="zh-CN"/>
                    </w:rPr>
                    <w:t>风向1#</w:t>
                  </w:r>
                </w:p>
              </w:tc>
              <w:tc>
                <w:tcPr>
                  <w:tcW w:w="1248" w:type="pct"/>
                  <w:noWrap w:val="0"/>
                  <w:vAlign w:val="center"/>
                </w:tcPr>
                <w:p w14:paraId="38603B98">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0.59</w:t>
                  </w:r>
                </w:p>
              </w:tc>
              <w:tc>
                <w:tcPr>
                  <w:tcW w:w="1149" w:type="pct"/>
                  <w:vMerge w:val="restart"/>
                  <w:noWrap w:val="0"/>
                  <w:vAlign w:val="top"/>
                </w:tcPr>
                <w:p w14:paraId="20BAF07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天气：</w:t>
                  </w:r>
                  <w:r>
                    <w:rPr>
                      <w:rFonts w:hint="eastAsia" w:ascii="Times New Roman" w:hAnsi="Times New Roman" w:eastAsia="宋体" w:cs="Times New Roman"/>
                      <w:bCs/>
                      <w:color w:val="auto"/>
                      <w:sz w:val="21"/>
                      <w:szCs w:val="21"/>
                      <w:lang w:val="en-US" w:eastAsia="zh-CN"/>
                    </w:rPr>
                    <w:t>晴</w:t>
                  </w:r>
                </w:p>
                <w:p w14:paraId="2C1F2A0B">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气温（℃）：</w:t>
                  </w:r>
                  <w:r>
                    <w:rPr>
                      <w:rFonts w:hint="eastAsia" w:ascii="Times New Roman" w:hAnsi="Times New Roman" w:eastAsia="宋体" w:cs="Times New Roman"/>
                      <w:bCs/>
                      <w:color w:val="auto"/>
                      <w:sz w:val="21"/>
                      <w:szCs w:val="21"/>
                      <w:lang w:val="en-US" w:eastAsia="zh-CN"/>
                    </w:rPr>
                    <w:t>31.1</w:t>
                  </w:r>
                </w:p>
                <w:p w14:paraId="68444DB6">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气压（kPa）：</w:t>
                  </w:r>
                  <w:r>
                    <w:rPr>
                      <w:rFonts w:hint="eastAsia" w:ascii="Times New Roman" w:hAnsi="Times New Roman" w:eastAsia="宋体" w:cs="Times New Roman"/>
                      <w:bCs/>
                      <w:color w:val="auto"/>
                      <w:sz w:val="21"/>
                      <w:szCs w:val="21"/>
                      <w:lang w:val="en-US" w:eastAsia="zh-CN"/>
                    </w:rPr>
                    <w:t>100.1</w:t>
                  </w:r>
                </w:p>
                <w:p w14:paraId="74777A95">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风速（m/s）：</w:t>
                  </w:r>
                  <w:r>
                    <w:rPr>
                      <w:rFonts w:hint="eastAsia" w:ascii="Times New Roman" w:hAnsi="Times New Roman" w:eastAsia="宋体" w:cs="Times New Roman"/>
                      <w:bCs/>
                      <w:color w:val="auto"/>
                      <w:sz w:val="21"/>
                      <w:szCs w:val="21"/>
                      <w:lang w:val="en-US" w:eastAsia="zh-CN"/>
                    </w:rPr>
                    <w:t>1.6</w:t>
                  </w:r>
                </w:p>
                <w:p w14:paraId="68BF26A8">
                  <w:pPr>
                    <w:spacing w:after="0"/>
                    <w:jc w:val="center"/>
                    <w:textAlignment w:val="baseline"/>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风向：</w:t>
                  </w:r>
                  <w:r>
                    <w:rPr>
                      <w:rFonts w:hint="eastAsia" w:ascii="Times New Roman" w:hAnsi="Times New Roman" w:eastAsia="宋体" w:cs="Times New Roman"/>
                      <w:bCs/>
                      <w:color w:val="auto"/>
                      <w:sz w:val="21"/>
                      <w:szCs w:val="21"/>
                      <w:lang w:val="en-US" w:eastAsia="zh-CN"/>
                    </w:rPr>
                    <w:t>NE</w:t>
                  </w:r>
                </w:p>
              </w:tc>
            </w:tr>
            <w:tr w14:paraId="6E708F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noWrap w:val="0"/>
                  <w:vAlign w:val="top"/>
                </w:tcPr>
                <w:p w14:paraId="6EAC25A4">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noWrap w:val="0"/>
                  <w:vAlign w:val="top"/>
                </w:tcPr>
                <w:p w14:paraId="4633A0FE">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noWrap w:val="0"/>
                  <w:vAlign w:val="center"/>
                </w:tcPr>
                <w:p w14:paraId="24C5E7C5">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下风向2#</w:t>
                  </w:r>
                </w:p>
              </w:tc>
              <w:tc>
                <w:tcPr>
                  <w:tcW w:w="1248" w:type="pct"/>
                  <w:noWrap w:val="0"/>
                  <w:vAlign w:val="center"/>
                </w:tcPr>
                <w:p w14:paraId="0B2E13B2">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0.67</w:t>
                  </w:r>
                </w:p>
              </w:tc>
              <w:tc>
                <w:tcPr>
                  <w:tcW w:w="1149" w:type="pct"/>
                  <w:vMerge w:val="continue"/>
                  <w:noWrap w:val="0"/>
                  <w:vAlign w:val="top"/>
                </w:tcPr>
                <w:p w14:paraId="52CF391C">
                  <w:pPr>
                    <w:spacing w:after="0"/>
                    <w:jc w:val="center"/>
                    <w:textAlignment w:val="baseline"/>
                    <w:rPr>
                      <w:rFonts w:hint="default" w:ascii="Times New Roman" w:hAnsi="Times New Roman" w:eastAsia="宋体" w:cs="Times New Roman"/>
                      <w:bCs/>
                      <w:color w:val="auto"/>
                      <w:sz w:val="21"/>
                      <w:szCs w:val="21"/>
                      <w:lang w:val="en-US" w:eastAsia="zh-CN"/>
                    </w:rPr>
                  </w:pPr>
                </w:p>
              </w:tc>
            </w:tr>
            <w:tr w14:paraId="21D331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noWrap w:val="0"/>
                  <w:vAlign w:val="top"/>
                </w:tcPr>
                <w:p w14:paraId="12F431E7">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noWrap w:val="0"/>
                  <w:vAlign w:val="top"/>
                </w:tcPr>
                <w:p w14:paraId="1B63A1DB">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noWrap w:val="0"/>
                  <w:vAlign w:val="center"/>
                </w:tcPr>
                <w:p w14:paraId="713D9312">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下风向3#</w:t>
                  </w:r>
                </w:p>
              </w:tc>
              <w:tc>
                <w:tcPr>
                  <w:tcW w:w="1248" w:type="pct"/>
                  <w:noWrap w:val="0"/>
                  <w:vAlign w:val="center"/>
                </w:tcPr>
                <w:p w14:paraId="5259125A">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0.69</w:t>
                  </w:r>
                </w:p>
              </w:tc>
              <w:tc>
                <w:tcPr>
                  <w:tcW w:w="1149" w:type="pct"/>
                  <w:vMerge w:val="continue"/>
                  <w:noWrap w:val="0"/>
                  <w:vAlign w:val="top"/>
                </w:tcPr>
                <w:p w14:paraId="337458D6">
                  <w:pPr>
                    <w:spacing w:after="0"/>
                    <w:jc w:val="center"/>
                    <w:textAlignment w:val="baseline"/>
                    <w:rPr>
                      <w:rFonts w:hint="default" w:ascii="Times New Roman" w:hAnsi="Times New Roman" w:eastAsia="宋体" w:cs="Times New Roman"/>
                      <w:bCs/>
                      <w:color w:val="auto"/>
                      <w:sz w:val="21"/>
                      <w:szCs w:val="21"/>
                      <w:lang w:val="en-US" w:eastAsia="zh-CN"/>
                    </w:rPr>
                  </w:pPr>
                </w:p>
              </w:tc>
            </w:tr>
            <w:tr w14:paraId="1FEF41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66" w:type="pct"/>
                  <w:vMerge w:val="continue"/>
                  <w:noWrap w:val="0"/>
                  <w:vAlign w:val="top"/>
                </w:tcPr>
                <w:p w14:paraId="6CA4B2F3">
                  <w:pPr>
                    <w:spacing w:after="0"/>
                    <w:jc w:val="center"/>
                    <w:textAlignment w:val="baseline"/>
                    <w:rPr>
                      <w:rFonts w:hint="default" w:ascii="Times New Roman" w:hAnsi="Times New Roman" w:eastAsia="宋体" w:cs="Times New Roman"/>
                      <w:bCs/>
                      <w:color w:val="auto"/>
                      <w:sz w:val="21"/>
                      <w:szCs w:val="21"/>
                      <w:lang w:val="en-US" w:eastAsia="zh-CN"/>
                    </w:rPr>
                  </w:pPr>
                </w:p>
              </w:tc>
              <w:tc>
                <w:tcPr>
                  <w:tcW w:w="728" w:type="pct"/>
                  <w:vMerge w:val="continue"/>
                  <w:noWrap w:val="0"/>
                  <w:vAlign w:val="top"/>
                </w:tcPr>
                <w:p w14:paraId="5F02D15B">
                  <w:pPr>
                    <w:spacing w:after="0"/>
                    <w:jc w:val="center"/>
                    <w:textAlignment w:val="baseline"/>
                    <w:rPr>
                      <w:rFonts w:hint="default" w:ascii="Times New Roman" w:hAnsi="Times New Roman" w:eastAsia="宋体" w:cs="Times New Roman"/>
                      <w:bCs/>
                      <w:color w:val="auto"/>
                      <w:sz w:val="21"/>
                      <w:szCs w:val="21"/>
                      <w:lang w:val="en-US" w:eastAsia="zh-CN"/>
                    </w:rPr>
                  </w:pPr>
                </w:p>
              </w:tc>
              <w:tc>
                <w:tcPr>
                  <w:tcW w:w="1108" w:type="pct"/>
                  <w:noWrap w:val="0"/>
                  <w:vAlign w:val="center"/>
                </w:tcPr>
                <w:p w14:paraId="31091A57">
                  <w:pPr>
                    <w:spacing w:after="0"/>
                    <w:jc w:val="center"/>
                    <w:textAlignment w:val="baseline"/>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厂界</w:t>
                  </w:r>
                  <w:r>
                    <w:rPr>
                      <w:rFonts w:hint="default" w:ascii="Times New Roman" w:hAnsi="Times New Roman" w:eastAsia="宋体" w:cs="Times New Roman"/>
                      <w:bCs/>
                      <w:color w:val="auto"/>
                      <w:sz w:val="21"/>
                      <w:szCs w:val="21"/>
                      <w:lang w:val="en-US" w:eastAsia="zh-CN"/>
                    </w:rPr>
                    <w:t>下风向4#</w:t>
                  </w:r>
                </w:p>
              </w:tc>
              <w:tc>
                <w:tcPr>
                  <w:tcW w:w="1248" w:type="pct"/>
                  <w:noWrap w:val="0"/>
                  <w:vAlign w:val="center"/>
                </w:tcPr>
                <w:p w14:paraId="0B79F3EC">
                  <w:pPr>
                    <w:spacing w:after="0"/>
                    <w:jc w:val="center"/>
                    <w:textAlignment w:val="baseline"/>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0.72</w:t>
                  </w:r>
                </w:p>
              </w:tc>
              <w:tc>
                <w:tcPr>
                  <w:tcW w:w="1149" w:type="pct"/>
                  <w:vMerge w:val="continue"/>
                  <w:noWrap w:val="0"/>
                  <w:vAlign w:val="top"/>
                </w:tcPr>
                <w:p w14:paraId="24709F30">
                  <w:pPr>
                    <w:spacing w:after="0"/>
                    <w:jc w:val="center"/>
                    <w:textAlignment w:val="baseline"/>
                    <w:rPr>
                      <w:rFonts w:hint="default" w:ascii="Times New Roman" w:hAnsi="Times New Roman" w:eastAsia="宋体" w:cs="Times New Roman"/>
                      <w:bCs/>
                      <w:color w:val="auto"/>
                      <w:sz w:val="21"/>
                      <w:szCs w:val="21"/>
                      <w:lang w:val="en-US" w:eastAsia="zh-CN"/>
                    </w:rPr>
                  </w:pPr>
                </w:p>
              </w:tc>
            </w:tr>
          </w:tbl>
          <w:p w14:paraId="674A86EC">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由上表中监测结果可知，</w:t>
            </w:r>
            <w:r>
              <w:rPr>
                <w:rFonts w:hint="eastAsia" w:eastAsia="宋体"/>
                <w:bCs/>
                <w:color w:val="auto"/>
                <w:sz w:val="24"/>
                <w:szCs w:val="24"/>
              </w:rPr>
              <w:t>本项目厂界</w:t>
            </w:r>
            <w:r>
              <w:rPr>
                <w:rFonts w:hint="eastAsia" w:eastAsia="宋体"/>
                <w:bCs/>
                <w:color w:val="auto"/>
                <w:sz w:val="24"/>
                <w:szCs w:val="24"/>
                <w:lang w:val="en-US" w:eastAsia="zh-CN"/>
              </w:rPr>
              <w:t>非甲烷总烃</w:t>
            </w:r>
            <w:r>
              <w:rPr>
                <w:rFonts w:hint="eastAsia" w:eastAsia="宋体"/>
                <w:bCs/>
                <w:color w:val="auto"/>
                <w:sz w:val="24"/>
                <w:szCs w:val="24"/>
              </w:rPr>
              <w:t>上风向、下风向无组织浓度值范围为：</w:t>
            </w:r>
            <w:r>
              <w:rPr>
                <w:rFonts w:hint="eastAsia" w:eastAsia="宋体"/>
                <w:bCs/>
                <w:color w:val="auto"/>
                <w:sz w:val="24"/>
                <w:szCs w:val="24"/>
                <w:lang w:val="en-US" w:eastAsia="zh-CN"/>
              </w:rPr>
              <w:t>0.56-0.74</w:t>
            </w:r>
            <w:r>
              <w:rPr>
                <w:rFonts w:eastAsia="宋体"/>
                <w:bCs/>
                <w:color w:val="auto"/>
                <w:sz w:val="24"/>
                <w:szCs w:val="24"/>
              </w:rPr>
              <w:t>mg/m</w:t>
            </w:r>
            <w:r>
              <w:rPr>
                <w:rFonts w:eastAsia="宋体"/>
                <w:bCs/>
                <w:color w:val="auto"/>
                <w:sz w:val="24"/>
                <w:szCs w:val="24"/>
                <w:vertAlign w:val="superscript"/>
              </w:rPr>
              <w:t>3</w:t>
            </w:r>
            <w:r>
              <w:rPr>
                <w:rFonts w:hint="eastAsia" w:eastAsia="宋体"/>
                <w:bCs/>
                <w:color w:val="auto"/>
                <w:sz w:val="24"/>
                <w:szCs w:val="24"/>
              </w:rPr>
              <w:t>，能够满足《关于全省开展工业企业挥发性有机物专项治理工作中排放建议值的通知》（豫环攻坚办[2017]162号）中工业企业边界排放浓度2.0mg/m</w:t>
            </w:r>
            <w:r>
              <w:rPr>
                <w:rFonts w:hint="eastAsia" w:eastAsia="宋体"/>
                <w:bCs/>
                <w:color w:val="auto"/>
                <w:sz w:val="24"/>
                <w:szCs w:val="24"/>
                <w:vertAlign w:val="superscript"/>
              </w:rPr>
              <w:t>3</w:t>
            </w:r>
            <w:r>
              <w:rPr>
                <w:rFonts w:hint="eastAsia" w:eastAsia="宋体"/>
                <w:bCs/>
                <w:color w:val="auto"/>
                <w:sz w:val="24"/>
                <w:szCs w:val="24"/>
              </w:rPr>
              <w:t>的标准要求。</w:t>
            </w:r>
          </w:p>
          <w:p w14:paraId="731EDB13">
            <w:pPr>
              <w:spacing w:after="0" w:line="500" w:lineRule="exact"/>
              <w:ind w:firstLine="480" w:firstLineChars="200"/>
              <w:jc w:val="both"/>
              <w:textAlignment w:val="baseline"/>
              <w:rPr>
                <w:rFonts w:eastAsia="宋体"/>
                <w:color w:val="auto"/>
                <w:sz w:val="24"/>
                <w:szCs w:val="24"/>
              </w:rPr>
            </w:pPr>
            <w:r>
              <w:rPr>
                <w:rFonts w:hint="eastAsia" w:eastAsia="宋体"/>
                <w:bCs/>
                <w:color w:val="auto"/>
                <w:sz w:val="24"/>
                <w:szCs w:val="24"/>
              </w:rPr>
              <w:t>（2）</w:t>
            </w:r>
            <w:r>
              <w:rPr>
                <w:rFonts w:eastAsia="宋体"/>
                <w:color w:val="auto"/>
                <w:sz w:val="24"/>
                <w:szCs w:val="24"/>
              </w:rPr>
              <w:t>噪声</w:t>
            </w:r>
            <w:r>
              <w:rPr>
                <w:rFonts w:hint="eastAsia" w:eastAsia="宋体"/>
                <w:color w:val="auto"/>
                <w:sz w:val="24"/>
                <w:szCs w:val="24"/>
              </w:rPr>
              <w:t>检</w:t>
            </w:r>
            <w:r>
              <w:rPr>
                <w:rFonts w:eastAsia="宋体"/>
                <w:color w:val="auto"/>
                <w:sz w:val="24"/>
                <w:szCs w:val="24"/>
              </w:rPr>
              <w:t>测结果与评价</w:t>
            </w:r>
          </w:p>
          <w:p w14:paraId="01C74FE8">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项目噪声监测结果见下表。</w:t>
            </w:r>
          </w:p>
          <w:p w14:paraId="333E0091">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lang w:val="en-US" w:eastAsia="zh-CN"/>
              </w:rPr>
              <w:t xml:space="preserve">       </w:t>
            </w:r>
            <w:r>
              <w:rPr>
                <w:rFonts w:hint="eastAsia" w:ascii="Times New Roman" w:hAnsi="Times New Roman" w:cs="宋体"/>
                <w:color w:val="auto"/>
              </w:rPr>
              <w:t xml:space="preserve">               噪声检测结果表</w:t>
            </w:r>
          </w:p>
          <w:tbl>
            <w:tblPr>
              <w:tblStyle w:val="20"/>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2782"/>
              <w:gridCol w:w="2153"/>
              <w:gridCol w:w="2158"/>
            </w:tblGrid>
            <w:tr w14:paraId="3FF803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restart"/>
                  <w:vAlign w:val="center"/>
                </w:tcPr>
                <w:p w14:paraId="6CA88647">
                  <w:pPr>
                    <w:spacing w:after="0"/>
                    <w:jc w:val="center"/>
                    <w:textAlignment w:val="baseline"/>
                    <w:rPr>
                      <w:rFonts w:eastAsia="宋体"/>
                      <w:b/>
                      <w:bCs/>
                      <w:color w:val="auto"/>
                      <w:sz w:val="21"/>
                      <w:szCs w:val="21"/>
                    </w:rPr>
                  </w:pPr>
                  <w:r>
                    <w:rPr>
                      <w:rFonts w:hint="eastAsia" w:eastAsia="宋体"/>
                      <w:b/>
                      <w:bCs/>
                      <w:color w:val="auto"/>
                      <w:sz w:val="21"/>
                      <w:szCs w:val="21"/>
                    </w:rPr>
                    <w:t>采样时间</w:t>
                  </w:r>
                </w:p>
              </w:tc>
              <w:tc>
                <w:tcPr>
                  <w:tcW w:w="1534" w:type="pct"/>
                  <w:vMerge w:val="restart"/>
                  <w:vAlign w:val="center"/>
                </w:tcPr>
                <w:p w14:paraId="18343633">
                  <w:pPr>
                    <w:spacing w:after="0"/>
                    <w:jc w:val="center"/>
                    <w:textAlignment w:val="baseline"/>
                    <w:rPr>
                      <w:rFonts w:eastAsia="宋体"/>
                      <w:b/>
                      <w:bCs/>
                      <w:color w:val="auto"/>
                      <w:sz w:val="21"/>
                      <w:szCs w:val="21"/>
                    </w:rPr>
                  </w:pPr>
                  <w:r>
                    <w:rPr>
                      <w:rFonts w:hint="eastAsia" w:eastAsia="宋体"/>
                      <w:b/>
                      <w:bCs/>
                      <w:color w:val="auto"/>
                      <w:sz w:val="21"/>
                      <w:szCs w:val="21"/>
                    </w:rPr>
                    <w:t>采样</w:t>
                  </w:r>
                  <w:r>
                    <w:rPr>
                      <w:rFonts w:eastAsia="宋体"/>
                      <w:b/>
                      <w:bCs/>
                      <w:color w:val="auto"/>
                      <w:sz w:val="21"/>
                      <w:szCs w:val="21"/>
                    </w:rPr>
                    <w:t>点位</w:t>
                  </w:r>
                </w:p>
              </w:tc>
              <w:tc>
                <w:tcPr>
                  <w:tcW w:w="2375" w:type="pct"/>
                  <w:gridSpan w:val="2"/>
                  <w:vAlign w:val="center"/>
                </w:tcPr>
                <w:p w14:paraId="2610054A">
                  <w:pPr>
                    <w:spacing w:after="0"/>
                    <w:jc w:val="center"/>
                    <w:textAlignment w:val="baseline"/>
                    <w:rPr>
                      <w:rFonts w:eastAsia="宋体"/>
                      <w:b/>
                      <w:bCs/>
                      <w:color w:val="auto"/>
                      <w:sz w:val="21"/>
                      <w:szCs w:val="21"/>
                    </w:rPr>
                  </w:pPr>
                  <w:r>
                    <w:rPr>
                      <w:rFonts w:hint="eastAsia" w:eastAsia="宋体"/>
                      <w:b/>
                      <w:bCs/>
                      <w:color w:val="auto"/>
                      <w:sz w:val="21"/>
                      <w:szCs w:val="21"/>
                    </w:rPr>
                    <w:t>测量值（</w:t>
                  </w:r>
                  <w:r>
                    <w:rPr>
                      <w:rFonts w:eastAsia="宋体"/>
                      <w:b/>
                      <w:bCs/>
                      <w:color w:val="auto"/>
                      <w:sz w:val="21"/>
                      <w:szCs w:val="21"/>
                    </w:rPr>
                    <w:t>Leq</w:t>
                  </w:r>
                  <w:r>
                    <w:rPr>
                      <w:rFonts w:hint="eastAsia" w:eastAsia="宋体"/>
                      <w:b/>
                      <w:bCs/>
                      <w:color w:val="auto"/>
                      <w:sz w:val="21"/>
                      <w:szCs w:val="21"/>
                    </w:rPr>
                    <w:t>）</w:t>
                  </w:r>
                </w:p>
              </w:tc>
            </w:tr>
            <w:tr w14:paraId="161B97E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70D6D25A">
                  <w:pPr>
                    <w:spacing w:after="0"/>
                    <w:jc w:val="center"/>
                    <w:textAlignment w:val="baseline"/>
                    <w:rPr>
                      <w:rFonts w:eastAsia="宋体"/>
                      <w:b/>
                      <w:bCs/>
                      <w:color w:val="auto"/>
                      <w:sz w:val="21"/>
                      <w:szCs w:val="21"/>
                    </w:rPr>
                  </w:pPr>
                </w:p>
              </w:tc>
              <w:tc>
                <w:tcPr>
                  <w:tcW w:w="1534" w:type="pct"/>
                  <w:vMerge w:val="continue"/>
                  <w:vAlign w:val="center"/>
                </w:tcPr>
                <w:p w14:paraId="7C50BAFB">
                  <w:pPr>
                    <w:spacing w:after="0"/>
                    <w:jc w:val="center"/>
                    <w:textAlignment w:val="baseline"/>
                    <w:rPr>
                      <w:rFonts w:eastAsia="宋体"/>
                      <w:b/>
                      <w:bCs/>
                      <w:color w:val="auto"/>
                      <w:sz w:val="21"/>
                      <w:szCs w:val="21"/>
                    </w:rPr>
                  </w:pPr>
                </w:p>
              </w:tc>
              <w:tc>
                <w:tcPr>
                  <w:tcW w:w="1187" w:type="pct"/>
                  <w:vAlign w:val="center"/>
                </w:tcPr>
                <w:p w14:paraId="40222BCA">
                  <w:pPr>
                    <w:spacing w:after="0"/>
                    <w:jc w:val="center"/>
                    <w:textAlignment w:val="baseline"/>
                    <w:rPr>
                      <w:rFonts w:eastAsia="宋体"/>
                      <w:b/>
                      <w:bCs/>
                      <w:color w:val="auto"/>
                      <w:sz w:val="21"/>
                      <w:szCs w:val="21"/>
                    </w:rPr>
                  </w:pPr>
                  <w:r>
                    <w:rPr>
                      <w:rFonts w:eastAsia="宋体"/>
                      <w:b/>
                      <w:bCs/>
                      <w:color w:val="auto"/>
                      <w:sz w:val="21"/>
                      <w:szCs w:val="21"/>
                    </w:rPr>
                    <w:t>昼间</w:t>
                  </w:r>
                  <w:r>
                    <w:rPr>
                      <w:rFonts w:hint="eastAsia" w:eastAsia="宋体"/>
                      <w:b/>
                      <w:bCs/>
                      <w:color w:val="auto"/>
                      <w:sz w:val="21"/>
                      <w:szCs w:val="21"/>
                    </w:rPr>
                    <w:t>d</w:t>
                  </w:r>
                  <w:r>
                    <w:rPr>
                      <w:rFonts w:eastAsia="宋体"/>
                      <w:b/>
                      <w:bCs/>
                      <w:color w:val="auto"/>
                      <w:sz w:val="21"/>
                      <w:szCs w:val="21"/>
                    </w:rPr>
                    <w:t>B</w:t>
                  </w:r>
                  <w:r>
                    <w:rPr>
                      <w:rFonts w:hint="eastAsia" w:eastAsia="宋体"/>
                      <w:b/>
                      <w:bCs/>
                      <w:color w:val="auto"/>
                      <w:sz w:val="21"/>
                      <w:szCs w:val="21"/>
                    </w:rPr>
                    <w:t>（A）</w:t>
                  </w:r>
                </w:p>
              </w:tc>
              <w:tc>
                <w:tcPr>
                  <w:tcW w:w="1188" w:type="pct"/>
                  <w:vAlign w:val="center"/>
                </w:tcPr>
                <w:p w14:paraId="3A9A7383">
                  <w:pPr>
                    <w:spacing w:after="0"/>
                    <w:jc w:val="center"/>
                    <w:textAlignment w:val="baseline"/>
                    <w:rPr>
                      <w:rFonts w:eastAsia="宋体"/>
                      <w:b/>
                      <w:bCs/>
                      <w:color w:val="auto"/>
                      <w:sz w:val="21"/>
                      <w:szCs w:val="21"/>
                    </w:rPr>
                  </w:pPr>
                  <w:r>
                    <w:rPr>
                      <w:rFonts w:hint="eastAsia" w:eastAsia="宋体"/>
                      <w:b/>
                      <w:bCs/>
                      <w:color w:val="auto"/>
                      <w:sz w:val="21"/>
                      <w:szCs w:val="21"/>
                      <w:lang w:val="en-US" w:eastAsia="zh-CN"/>
                    </w:rPr>
                    <w:t>夜</w:t>
                  </w:r>
                  <w:r>
                    <w:rPr>
                      <w:rFonts w:eastAsia="宋体"/>
                      <w:b/>
                      <w:bCs/>
                      <w:color w:val="auto"/>
                      <w:sz w:val="21"/>
                      <w:szCs w:val="21"/>
                    </w:rPr>
                    <w:t>间</w:t>
                  </w:r>
                  <w:r>
                    <w:rPr>
                      <w:rFonts w:hint="eastAsia" w:eastAsia="宋体"/>
                      <w:b/>
                      <w:bCs/>
                      <w:color w:val="auto"/>
                      <w:sz w:val="21"/>
                      <w:szCs w:val="21"/>
                    </w:rPr>
                    <w:t>d</w:t>
                  </w:r>
                  <w:r>
                    <w:rPr>
                      <w:rFonts w:eastAsia="宋体"/>
                      <w:b/>
                      <w:bCs/>
                      <w:color w:val="auto"/>
                      <w:sz w:val="21"/>
                      <w:szCs w:val="21"/>
                    </w:rPr>
                    <w:t>B</w:t>
                  </w:r>
                  <w:r>
                    <w:rPr>
                      <w:rFonts w:hint="eastAsia" w:eastAsia="宋体"/>
                      <w:b/>
                      <w:bCs/>
                      <w:color w:val="auto"/>
                      <w:sz w:val="21"/>
                      <w:szCs w:val="21"/>
                    </w:rPr>
                    <w:t>（A）</w:t>
                  </w:r>
                </w:p>
              </w:tc>
            </w:tr>
            <w:tr w14:paraId="1BE136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restart"/>
                  <w:vAlign w:val="center"/>
                </w:tcPr>
                <w:p w14:paraId="7333F4CF">
                  <w:pPr>
                    <w:spacing w:after="0"/>
                    <w:jc w:val="center"/>
                    <w:textAlignment w:val="baseline"/>
                    <w:rPr>
                      <w:rFonts w:hint="default" w:eastAsia="宋体"/>
                      <w:bCs/>
                      <w:color w:val="auto"/>
                      <w:sz w:val="21"/>
                      <w:szCs w:val="21"/>
                      <w:lang w:val="en-US" w:eastAsia="zh-CN"/>
                    </w:rPr>
                  </w:pPr>
                  <w:r>
                    <w:rPr>
                      <w:rFonts w:hint="eastAsia" w:ascii="Times New Roman" w:hAnsi="Times New Roman" w:eastAsia="宋体" w:cs="Times New Roman"/>
                      <w:bCs/>
                      <w:color w:val="auto"/>
                      <w:sz w:val="21"/>
                      <w:szCs w:val="21"/>
                      <w:lang w:val="en-US" w:eastAsia="zh-CN"/>
                    </w:rPr>
                    <w:t>2026.08.07</w:t>
                  </w:r>
                </w:p>
              </w:tc>
              <w:tc>
                <w:tcPr>
                  <w:tcW w:w="1534" w:type="pct"/>
                  <w:vAlign w:val="center"/>
                </w:tcPr>
                <w:p w14:paraId="2B43A01D">
                  <w:pPr>
                    <w:spacing w:after="0"/>
                    <w:ind w:right="122"/>
                    <w:jc w:val="center"/>
                    <w:textAlignment w:val="baseline"/>
                    <w:rPr>
                      <w:rFonts w:eastAsia="宋体"/>
                      <w:bCs/>
                      <w:color w:val="auto"/>
                      <w:sz w:val="21"/>
                      <w:szCs w:val="21"/>
                    </w:rPr>
                  </w:pPr>
                  <w:r>
                    <w:rPr>
                      <w:rFonts w:hint="eastAsia" w:eastAsia="宋体"/>
                      <w:bCs/>
                      <w:color w:val="auto"/>
                      <w:sz w:val="21"/>
                      <w:szCs w:val="21"/>
                      <w:lang w:val="en-US" w:eastAsia="zh-CN"/>
                    </w:rPr>
                    <w:t>东</w:t>
                  </w:r>
                  <w:r>
                    <w:rPr>
                      <w:rFonts w:eastAsia="宋体"/>
                      <w:bCs/>
                      <w:color w:val="auto"/>
                      <w:sz w:val="21"/>
                      <w:szCs w:val="21"/>
                    </w:rPr>
                    <w:t>厂界</w:t>
                  </w:r>
                </w:p>
              </w:tc>
              <w:tc>
                <w:tcPr>
                  <w:tcW w:w="1187" w:type="pct"/>
                  <w:vAlign w:val="center"/>
                </w:tcPr>
                <w:p w14:paraId="5C6243D6">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55</w:t>
                  </w:r>
                </w:p>
              </w:tc>
              <w:tc>
                <w:tcPr>
                  <w:tcW w:w="1188" w:type="pct"/>
                  <w:vAlign w:val="center"/>
                </w:tcPr>
                <w:p w14:paraId="57A31283">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44</w:t>
                  </w:r>
                </w:p>
              </w:tc>
            </w:tr>
            <w:tr w14:paraId="02C95D5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411166DB">
                  <w:pPr>
                    <w:keepNext w:val="0"/>
                    <w:keepLines w:val="0"/>
                    <w:pageBreakBefore w:val="0"/>
                    <w:widowControl/>
                    <w:kinsoku/>
                    <w:wordWrap w:val="0"/>
                    <w:overflowPunct/>
                    <w:topLinePunct w:val="0"/>
                    <w:autoSpaceDE/>
                    <w:autoSpaceDN/>
                    <w:bidi w:val="0"/>
                    <w:adjustRightInd w:val="0"/>
                    <w:snapToGrid w:val="0"/>
                    <w:spacing w:after="0"/>
                    <w:jc w:val="center"/>
                    <w:textAlignment w:val="baseline"/>
                    <w:rPr>
                      <w:rFonts w:eastAsia="宋体"/>
                      <w:bCs/>
                      <w:color w:val="auto"/>
                      <w:sz w:val="21"/>
                      <w:szCs w:val="21"/>
                    </w:rPr>
                  </w:pPr>
                </w:p>
              </w:tc>
              <w:tc>
                <w:tcPr>
                  <w:tcW w:w="1534" w:type="pct"/>
                  <w:vAlign w:val="center"/>
                </w:tcPr>
                <w:p w14:paraId="3A95465A">
                  <w:pPr>
                    <w:spacing w:after="0"/>
                    <w:ind w:right="122"/>
                    <w:jc w:val="center"/>
                    <w:textAlignment w:val="baseline"/>
                    <w:rPr>
                      <w:rFonts w:hint="eastAsia" w:eastAsia="宋体"/>
                      <w:bCs/>
                      <w:color w:val="auto"/>
                      <w:sz w:val="21"/>
                      <w:szCs w:val="21"/>
                      <w:lang w:val="en-US" w:eastAsia="zh-CN"/>
                    </w:rPr>
                  </w:pPr>
                  <w:r>
                    <w:rPr>
                      <w:rFonts w:hint="eastAsia" w:eastAsia="宋体"/>
                      <w:bCs/>
                      <w:color w:val="auto"/>
                      <w:sz w:val="21"/>
                      <w:szCs w:val="21"/>
                    </w:rPr>
                    <w:t>南</w:t>
                  </w:r>
                  <w:r>
                    <w:rPr>
                      <w:rFonts w:eastAsia="宋体"/>
                      <w:bCs/>
                      <w:color w:val="auto"/>
                      <w:sz w:val="21"/>
                      <w:szCs w:val="21"/>
                    </w:rPr>
                    <w:t>厂界</w:t>
                  </w:r>
                </w:p>
              </w:tc>
              <w:tc>
                <w:tcPr>
                  <w:tcW w:w="1187" w:type="pct"/>
                  <w:vAlign w:val="center"/>
                </w:tcPr>
                <w:p w14:paraId="35E4DFD4">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57</w:t>
                  </w:r>
                </w:p>
              </w:tc>
              <w:tc>
                <w:tcPr>
                  <w:tcW w:w="1188" w:type="pct"/>
                  <w:vAlign w:val="center"/>
                </w:tcPr>
                <w:p w14:paraId="2AF90EAE">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45</w:t>
                  </w:r>
                </w:p>
              </w:tc>
            </w:tr>
            <w:tr w14:paraId="2760A5F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restart"/>
                  <w:vAlign w:val="center"/>
                </w:tcPr>
                <w:p w14:paraId="6941A0E3">
                  <w:pPr>
                    <w:spacing w:after="0"/>
                    <w:jc w:val="center"/>
                    <w:textAlignment w:val="baseline"/>
                    <w:rPr>
                      <w:rFonts w:eastAsia="宋体"/>
                      <w:bCs/>
                      <w:color w:val="auto"/>
                      <w:sz w:val="21"/>
                      <w:szCs w:val="21"/>
                    </w:rPr>
                  </w:pPr>
                  <w:r>
                    <w:rPr>
                      <w:rFonts w:hint="eastAsia" w:ascii="Times New Roman" w:hAnsi="Times New Roman" w:eastAsia="宋体" w:cs="Times New Roman"/>
                      <w:bCs/>
                      <w:color w:val="auto"/>
                      <w:sz w:val="21"/>
                      <w:szCs w:val="21"/>
                      <w:lang w:val="en-US" w:eastAsia="zh-CN"/>
                    </w:rPr>
                    <w:t>2026.08.08</w:t>
                  </w:r>
                </w:p>
              </w:tc>
              <w:tc>
                <w:tcPr>
                  <w:tcW w:w="1534" w:type="pct"/>
                  <w:vAlign w:val="center"/>
                </w:tcPr>
                <w:p w14:paraId="15C62592">
                  <w:pPr>
                    <w:spacing w:after="0"/>
                    <w:ind w:right="122" w:rightChars="0"/>
                    <w:jc w:val="center"/>
                    <w:textAlignment w:val="baseline"/>
                    <w:rPr>
                      <w:rFonts w:eastAsia="宋体"/>
                      <w:bCs/>
                      <w:color w:val="auto"/>
                      <w:sz w:val="21"/>
                      <w:szCs w:val="21"/>
                    </w:rPr>
                  </w:pPr>
                  <w:r>
                    <w:rPr>
                      <w:rFonts w:hint="eastAsia" w:eastAsia="宋体"/>
                      <w:bCs/>
                      <w:color w:val="auto"/>
                      <w:sz w:val="21"/>
                      <w:szCs w:val="21"/>
                      <w:lang w:val="en-US" w:eastAsia="zh-CN"/>
                    </w:rPr>
                    <w:t>东</w:t>
                  </w:r>
                  <w:r>
                    <w:rPr>
                      <w:rFonts w:eastAsia="宋体"/>
                      <w:bCs/>
                      <w:color w:val="auto"/>
                      <w:sz w:val="21"/>
                      <w:szCs w:val="21"/>
                    </w:rPr>
                    <w:t>厂界</w:t>
                  </w:r>
                </w:p>
              </w:tc>
              <w:tc>
                <w:tcPr>
                  <w:tcW w:w="1187" w:type="pct"/>
                  <w:vAlign w:val="center"/>
                </w:tcPr>
                <w:p w14:paraId="6D9C043D">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53</w:t>
                  </w:r>
                </w:p>
              </w:tc>
              <w:tc>
                <w:tcPr>
                  <w:tcW w:w="1188" w:type="pct"/>
                  <w:vAlign w:val="center"/>
                </w:tcPr>
                <w:p w14:paraId="66DE9C30">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43</w:t>
                  </w:r>
                </w:p>
              </w:tc>
            </w:tr>
            <w:tr w14:paraId="7D48524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9" w:type="pct"/>
                  <w:vMerge w:val="continue"/>
                  <w:vAlign w:val="center"/>
                </w:tcPr>
                <w:p w14:paraId="2546703B">
                  <w:pPr>
                    <w:spacing w:after="0"/>
                    <w:jc w:val="center"/>
                    <w:textAlignment w:val="baseline"/>
                    <w:rPr>
                      <w:rFonts w:eastAsia="宋体"/>
                      <w:bCs/>
                      <w:color w:val="auto"/>
                      <w:sz w:val="21"/>
                      <w:szCs w:val="21"/>
                    </w:rPr>
                  </w:pPr>
                </w:p>
              </w:tc>
              <w:tc>
                <w:tcPr>
                  <w:tcW w:w="1534" w:type="pct"/>
                  <w:vAlign w:val="center"/>
                </w:tcPr>
                <w:p w14:paraId="79FE7EF6">
                  <w:pPr>
                    <w:spacing w:after="0"/>
                    <w:ind w:right="122" w:rightChars="0"/>
                    <w:jc w:val="center"/>
                    <w:textAlignment w:val="baseline"/>
                    <w:rPr>
                      <w:rFonts w:hint="eastAsia" w:eastAsia="宋体"/>
                      <w:bCs/>
                      <w:color w:val="auto"/>
                      <w:sz w:val="21"/>
                      <w:szCs w:val="21"/>
                    </w:rPr>
                  </w:pPr>
                  <w:r>
                    <w:rPr>
                      <w:rFonts w:hint="eastAsia" w:eastAsia="宋体"/>
                      <w:bCs/>
                      <w:color w:val="auto"/>
                      <w:sz w:val="21"/>
                      <w:szCs w:val="21"/>
                    </w:rPr>
                    <w:t>南</w:t>
                  </w:r>
                  <w:r>
                    <w:rPr>
                      <w:rFonts w:eastAsia="宋体"/>
                      <w:bCs/>
                      <w:color w:val="auto"/>
                      <w:sz w:val="21"/>
                      <w:szCs w:val="21"/>
                    </w:rPr>
                    <w:t>厂界</w:t>
                  </w:r>
                </w:p>
              </w:tc>
              <w:tc>
                <w:tcPr>
                  <w:tcW w:w="1187" w:type="pct"/>
                  <w:vAlign w:val="center"/>
                </w:tcPr>
                <w:p w14:paraId="44754AF9">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56</w:t>
                  </w:r>
                </w:p>
              </w:tc>
              <w:tc>
                <w:tcPr>
                  <w:tcW w:w="1188" w:type="pct"/>
                  <w:vAlign w:val="center"/>
                </w:tcPr>
                <w:p w14:paraId="51CE9E0A">
                  <w:pPr>
                    <w:spacing w:after="0"/>
                    <w:jc w:val="center"/>
                    <w:textAlignment w:val="baseline"/>
                    <w:rPr>
                      <w:rFonts w:hint="default" w:eastAsia="宋体"/>
                      <w:bCs/>
                      <w:color w:val="auto"/>
                      <w:sz w:val="21"/>
                      <w:szCs w:val="21"/>
                      <w:lang w:val="en-US" w:eastAsia="zh-CN"/>
                    </w:rPr>
                  </w:pPr>
                  <w:r>
                    <w:rPr>
                      <w:rFonts w:hint="eastAsia" w:eastAsia="宋体"/>
                      <w:bCs/>
                      <w:color w:val="auto"/>
                      <w:sz w:val="21"/>
                      <w:szCs w:val="21"/>
                      <w:lang w:val="en-US" w:eastAsia="zh-CN"/>
                    </w:rPr>
                    <w:t>45</w:t>
                  </w:r>
                </w:p>
              </w:tc>
            </w:tr>
            <w:tr w14:paraId="44C7DFF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453B2C2B">
                  <w:pPr>
                    <w:spacing w:after="0"/>
                    <w:jc w:val="both"/>
                    <w:textAlignment w:val="baseline"/>
                    <w:rPr>
                      <w:rFonts w:hint="eastAsia" w:eastAsia="宋体"/>
                      <w:bCs/>
                      <w:color w:val="auto"/>
                      <w:sz w:val="21"/>
                      <w:szCs w:val="21"/>
                      <w:lang w:val="en-US" w:eastAsia="zh-CN"/>
                    </w:rPr>
                  </w:pPr>
                  <w:r>
                    <w:rPr>
                      <w:rFonts w:hint="eastAsia" w:eastAsia="宋体"/>
                      <w:bCs/>
                      <w:color w:val="auto"/>
                      <w:sz w:val="21"/>
                      <w:szCs w:val="21"/>
                      <w:lang w:val="en-US" w:eastAsia="zh-CN"/>
                    </w:rPr>
                    <w:t>备注：西厂界、北厂界为共用厂界，不具备噪声检测条件。</w:t>
                  </w:r>
                </w:p>
              </w:tc>
            </w:tr>
          </w:tbl>
          <w:p w14:paraId="0C5EE6E2">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由</w:t>
            </w:r>
            <w:r>
              <w:rPr>
                <w:rFonts w:hint="eastAsia" w:eastAsia="宋体"/>
                <w:bCs/>
                <w:color w:val="auto"/>
                <w:kern w:val="2"/>
                <w:sz w:val="24"/>
                <w:szCs w:val="24"/>
              </w:rPr>
              <w:t>检测</w:t>
            </w:r>
            <w:r>
              <w:rPr>
                <w:rFonts w:eastAsia="宋体"/>
                <w:bCs/>
                <w:color w:val="auto"/>
                <w:kern w:val="2"/>
                <w:sz w:val="24"/>
                <w:szCs w:val="24"/>
              </w:rPr>
              <w:t>结果可知，本项目</w:t>
            </w:r>
            <w:r>
              <w:rPr>
                <w:rFonts w:eastAsia="宋体"/>
                <w:bCs/>
                <w:color w:val="auto"/>
                <w:sz w:val="24"/>
                <w:szCs w:val="24"/>
              </w:rPr>
              <w:t>厂界昼间噪声值为</w:t>
            </w:r>
            <w:r>
              <w:rPr>
                <w:rFonts w:hint="eastAsia" w:eastAsia="宋体"/>
                <w:bCs/>
                <w:color w:val="auto"/>
                <w:sz w:val="24"/>
                <w:szCs w:val="24"/>
                <w:lang w:val="en-US" w:eastAsia="zh-CN"/>
              </w:rPr>
              <w:t>53-57</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hint="eastAsia" w:eastAsia="宋体"/>
                <w:bCs/>
                <w:color w:val="auto"/>
                <w:sz w:val="24"/>
                <w:szCs w:val="24"/>
                <w:lang w:eastAsia="zh-CN"/>
              </w:rPr>
              <w:t>、</w:t>
            </w:r>
            <w:r>
              <w:rPr>
                <w:rFonts w:hint="eastAsia" w:eastAsia="宋体"/>
                <w:bCs/>
                <w:color w:val="auto"/>
                <w:sz w:val="24"/>
                <w:szCs w:val="24"/>
                <w:lang w:val="en-US" w:eastAsia="zh-CN"/>
              </w:rPr>
              <w:t>夜间</w:t>
            </w:r>
            <w:r>
              <w:rPr>
                <w:rFonts w:eastAsia="宋体"/>
                <w:bCs/>
                <w:color w:val="auto"/>
                <w:sz w:val="24"/>
                <w:szCs w:val="24"/>
              </w:rPr>
              <w:t>噪声值为</w:t>
            </w:r>
            <w:r>
              <w:rPr>
                <w:rFonts w:hint="eastAsia" w:eastAsia="宋体"/>
                <w:bCs/>
                <w:color w:val="auto"/>
                <w:sz w:val="24"/>
                <w:szCs w:val="24"/>
                <w:lang w:val="en-US" w:eastAsia="zh-CN"/>
              </w:rPr>
              <w:t>43-45</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eastAsia="宋体"/>
                <w:bCs/>
                <w:color w:val="auto"/>
                <w:kern w:val="2"/>
                <w:sz w:val="24"/>
                <w:szCs w:val="24"/>
              </w:rPr>
              <w:t>符合《工业企业厂界环境噪声排放标准》（GB12348-2008）</w:t>
            </w:r>
            <w:r>
              <w:rPr>
                <w:rFonts w:hint="eastAsia" w:eastAsia="宋体"/>
                <w:bCs/>
                <w:color w:val="auto"/>
                <w:kern w:val="2"/>
                <w:sz w:val="24"/>
                <w:szCs w:val="24"/>
                <w:lang w:val="en-US" w:eastAsia="zh-CN"/>
              </w:rPr>
              <w:t>2</w:t>
            </w:r>
            <w:r>
              <w:rPr>
                <w:rFonts w:eastAsia="宋体"/>
                <w:bCs/>
                <w:color w:val="auto"/>
                <w:kern w:val="2"/>
                <w:sz w:val="24"/>
                <w:szCs w:val="24"/>
              </w:rPr>
              <w:t>类标准：</w:t>
            </w:r>
            <w:r>
              <w:rPr>
                <w:rFonts w:hint="eastAsia" w:eastAsia="宋体"/>
                <w:bCs/>
                <w:color w:val="auto"/>
                <w:kern w:val="2"/>
                <w:sz w:val="24"/>
                <w:szCs w:val="24"/>
              </w:rPr>
              <w:t>昼间6</w:t>
            </w:r>
            <w:r>
              <w:rPr>
                <w:rFonts w:hint="eastAsia" w:eastAsia="宋体"/>
                <w:bCs/>
                <w:color w:val="auto"/>
                <w:kern w:val="2"/>
                <w:sz w:val="24"/>
                <w:szCs w:val="24"/>
                <w:lang w:val="en-US" w:eastAsia="zh-CN"/>
              </w:rPr>
              <w:t>0</w:t>
            </w:r>
            <w:r>
              <w:rPr>
                <w:rFonts w:hint="eastAsia" w:eastAsia="宋体"/>
                <w:bCs/>
                <w:color w:val="auto"/>
                <w:kern w:val="2"/>
                <w:sz w:val="24"/>
                <w:szCs w:val="24"/>
              </w:rPr>
              <w:t>dB(A)</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夜</w:t>
            </w:r>
            <w:r>
              <w:rPr>
                <w:rFonts w:hint="eastAsia" w:eastAsia="宋体"/>
                <w:bCs/>
                <w:color w:val="auto"/>
                <w:kern w:val="2"/>
                <w:sz w:val="24"/>
                <w:szCs w:val="24"/>
              </w:rPr>
              <w:t>间</w:t>
            </w:r>
            <w:r>
              <w:rPr>
                <w:rFonts w:hint="eastAsia" w:eastAsia="宋体"/>
                <w:bCs/>
                <w:color w:val="auto"/>
                <w:kern w:val="2"/>
                <w:sz w:val="24"/>
                <w:szCs w:val="24"/>
                <w:lang w:val="en-US" w:eastAsia="zh-CN"/>
              </w:rPr>
              <w:t>50</w:t>
            </w:r>
            <w:r>
              <w:rPr>
                <w:rFonts w:hint="eastAsia" w:eastAsia="宋体"/>
                <w:bCs/>
                <w:color w:val="auto"/>
                <w:kern w:val="2"/>
                <w:sz w:val="24"/>
                <w:szCs w:val="24"/>
              </w:rPr>
              <w:t>dB(A)</w:t>
            </w:r>
            <w:r>
              <w:rPr>
                <w:rFonts w:eastAsia="宋体"/>
                <w:bCs/>
                <w:color w:val="auto"/>
                <w:kern w:val="2"/>
                <w:sz w:val="24"/>
                <w:szCs w:val="24"/>
              </w:rPr>
              <w:t>的限值要求。</w:t>
            </w:r>
          </w:p>
          <w:p w14:paraId="6B8C0BFE">
            <w:pPr>
              <w:spacing w:after="0" w:line="500" w:lineRule="exact"/>
              <w:ind w:firstLine="480" w:firstLineChars="200"/>
              <w:jc w:val="both"/>
              <w:textAlignment w:val="baseline"/>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lang w:val="en-US" w:eastAsia="zh-CN"/>
              </w:rPr>
              <w:t>3</w:t>
            </w:r>
            <w:r>
              <w:rPr>
                <w:rFonts w:hint="eastAsia" w:ascii="Times New Roman" w:hAnsi="Times New Roman" w:eastAsia="宋体" w:cs="Times New Roman"/>
                <w:bCs/>
                <w:color w:val="auto"/>
                <w:sz w:val="24"/>
                <w:szCs w:val="24"/>
                <w:lang w:eastAsia="zh-CN"/>
              </w:rPr>
              <w:t>）</w:t>
            </w:r>
            <w:r>
              <w:rPr>
                <w:rFonts w:hint="eastAsia" w:ascii="Times New Roman" w:hAnsi="Times New Roman" w:eastAsia="宋体" w:cs="Times New Roman"/>
                <w:bCs/>
                <w:color w:val="auto"/>
                <w:sz w:val="24"/>
                <w:szCs w:val="24"/>
                <w:lang w:val="en-US" w:eastAsia="zh-CN"/>
              </w:rPr>
              <w:t>总量</w:t>
            </w:r>
          </w:p>
          <w:p w14:paraId="1DD14417">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lang w:val="en-US" w:eastAsia="zh-CN"/>
              </w:rPr>
            </w:pPr>
            <w:r>
              <w:rPr>
                <w:rFonts w:hint="eastAsia" w:ascii="Times New Roman" w:hAnsi="Times New Roman" w:cs="宋体"/>
                <w:color w:val="auto"/>
                <w:lang w:val="en-US" w:eastAsia="zh-CN"/>
              </w:rPr>
              <w:t xml:space="preserve">                  本项目总量控制指标                 单位：t/a</w:t>
            </w:r>
          </w:p>
          <w:tbl>
            <w:tblPr>
              <w:tblStyle w:val="20"/>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510"/>
              <w:gridCol w:w="2706"/>
              <w:gridCol w:w="2308"/>
            </w:tblGrid>
            <w:tr w14:paraId="680CE9F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6" w:type="pct"/>
                  <w:gridSpan w:val="2"/>
                  <w:noWrap w:val="0"/>
                  <w:vAlign w:val="center"/>
                </w:tcPr>
                <w:p w14:paraId="711B5697">
                  <w:pPr>
                    <w:pStyle w:val="70"/>
                    <w:rPr>
                      <w:b/>
                    </w:rPr>
                  </w:pPr>
                  <w:r>
                    <w:rPr>
                      <w:b/>
                    </w:rPr>
                    <w:t>项目</w:t>
                  </w:r>
                </w:p>
              </w:tc>
              <w:tc>
                <w:tcPr>
                  <w:tcW w:w="1491" w:type="pct"/>
                  <w:noWrap w:val="0"/>
                  <w:vAlign w:val="center"/>
                </w:tcPr>
                <w:p w14:paraId="5428926B">
                  <w:pPr>
                    <w:pStyle w:val="70"/>
                    <w:rPr>
                      <w:b/>
                    </w:rPr>
                  </w:pPr>
                  <w:r>
                    <w:rPr>
                      <w:b/>
                    </w:rPr>
                    <w:t>环评批复</w:t>
                  </w:r>
                  <w:r>
                    <w:rPr>
                      <w:rFonts w:hint="eastAsia"/>
                      <w:b/>
                    </w:rPr>
                    <w:t>全厂</w:t>
                  </w:r>
                </w:p>
              </w:tc>
              <w:tc>
                <w:tcPr>
                  <w:tcW w:w="1272" w:type="pct"/>
                  <w:noWrap w:val="0"/>
                  <w:vAlign w:val="center"/>
                </w:tcPr>
                <w:p w14:paraId="3FA055C3">
                  <w:pPr>
                    <w:pStyle w:val="70"/>
                    <w:rPr>
                      <w:b/>
                    </w:rPr>
                  </w:pPr>
                  <w:r>
                    <w:rPr>
                      <w:b/>
                    </w:rPr>
                    <w:t>实际排放量</w:t>
                  </w:r>
                </w:p>
              </w:tc>
            </w:tr>
            <w:tr w14:paraId="20C5B67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3" w:type="pct"/>
                  <w:noWrap w:val="0"/>
                  <w:vAlign w:val="center"/>
                </w:tcPr>
                <w:p w14:paraId="72845755">
                  <w:pPr>
                    <w:pStyle w:val="70"/>
                    <w:rPr>
                      <w:rFonts w:hint="eastAsia"/>
                    </w:rPr>
                  </w:pPr>
                  <w:r>
                    <w:rPr>
                      <w:rFonts w:hint="eastAsia"/>
                    </w:rPr>
                    <w:t>废气</w:t>
                  </w:r>
                </w:p>
              </w:tc>
              <w:tc>
                <w:tcPr>
                  <w:tcW w:w="1383" w:type="pct"/>
                  <w:noWrap w:val="0"/>
                  <w:vAlign w:val="center"/>
                </w:tcPr>
                <w:p w14:paraId="74A0AFDA">
                  <w:pPr>
                    <w:pStyle w:val="70"/>
                    <w:rPr>
                      <w:rFonts w:ascii="Times New Roman" w:hAnsi="Times New Roman" w:eastAsia="宋体" w:cs="Times New Roman"/>
                    </w:rPr>
                  </w:pPr>
                  <w:r>
                    <w:rPr>
                      <w:rFonts w:hint="eastAsia" w:ascii="Times New Roman" w:hAnsi="Times New Roman" w:eastAsia="宋体" w:cs="Times New Roman"/>
                      <w:lang w:val="en-US" w:eastAsia="zh-CN"/>
                    </w:rPr>
                    <w:t>非甲烷总烃</w:t>
                  </w:r>
                </w:p>
              </w:tc>
              <w:tc>
                <w:tcPr>
                  <w:tcW w:w="1491" w:type="pct"/>
                  <w:noWrap w:val="0"/>
                  <w:vAlign w:val="center"/>
                </w:tcPr>
                <w:p w14:paraId="5B6A9930">
                  <w:pPr>
                    <w:pStyle w:val="70"/>
                    <w:rPr>
                      <w:rFonts w:hint="default" w:ascii="Times New Roman" w:hAnsi="Times New Roman" w:eastAsia="宋体" w:cs="Times New Roman"/>
                      <w:lang w:val="en-US" w:eastAsia="zh-CN"/>
                    </w:rPr>
                  </w:pPr>
                  <w:r>
                    <w:rPr>
                      <w:rFonts w:hint="eastAsia" w:cs="Times New Roman"/>
                      <w:lang w:val="en-US" w:eastAsia="zh-CN"/>
                    </w:rPr>
                    <w:t>0.2736</w:t>
                  </w:r>
                </w:p>
              </w:tc>
              <w:tc>
                <w:tcPr>
                  <w:tcW w:w="1272" w:type="pct"/>
                  <w:noWrap w:val="0"/>
                  <w:vAlign w:val="center"/>
                </w:tcPr>
                <w:p w14:paraId="221B0671">
                  <w:pPr>
                    <w:pStyle w:val="70"/>
                    <w:rPr>
                      <w:rFonts w:hint="default" w:ascii="Times New Roman" w:hAnsi="Times New Roman" w:eastAsia="宋体" w:cs="Times New Roman"/>
                      <w:lang w:val="en-US" w:eastAsia="zh-CN"/>
                    </w:rPr>
                  </w:pPr>
                  <w:r>
                    <w:rPr>
                      <w:rFonts w:hint="eastAsia" w:cs="Times New Roman"/>
                      <w:lang w:val="en-US" w:eastAsia="zh-CN"/>
                    </w:rPr>
                    <w:t>0.2456</w:t>
                  </w:r>
                </w:p>
              </w:tc>
            </w:tr>
          </w:tbl>
          <w:p w14:paraId="221A646B">
            <w:pPr>
              <w:spacing w:after="0" w:line="500" w:lineRule="exact"/>
              <w:ind w:firstLine="480" w:firstLineChars="200"/>
              <w:jc w:val="both"/>
              <w:textAlignment w:val="baseline"/>
              <w:rPr>
                <w:rFonts w:hint="eastAsia" w:eastAsia="宋体"/>
                <w:bCs/>
                <w:color w:val="auto"/>
                <w:sz w:val="24"/>
                <w:szCs w:val="24"/>
                <w:lang w:val="en-US" w:eastAsia="zh-CN"/>
              </w:rPr>
            </w:pPr>
            <w:r>
              <w:rPr>
                <w:rFonts w:hint="eastAsia" w:eastAsia="宋体"/>
                <w:bCs/>
                <w:color w:val="auto"/>
                <w:sz w:val="24"/>
                <w:szCs w:val="24"/>
                <w:lang w:val="en-US" w:eastAsia="zh-CN"/>
              </w:rPr>
              <w:t>本项目废气</w:t>
            </w:r>
            <w:r>
              <w:rPr>
                <w:rFonts w:hint="eastAsia" w:eastAsia="宋体"/>
                <w:bCs/>
                <w:color w:val="auto"/>
                <w:sz w:val="24"/>
                <w:szCs w:val="24"/>
              </w:rPr>
              <w:t>污染物排放总量</w:t>
            </w:r>
            <w:r>
              <w:rPr>
                <w:rFonts w:hint="eastAsia" w:eastAsia="宋体"/>
                <w:bCs/>
                <w:color w:val="auto"/>
                <w:sz w:val="24"/>
                <w:szCs w:val="24"/>
                <w:lang w:val="en-US" w:eastAsia="zh-CN"/>
              </w:rPr>
              <w:t>非甲烷总烃0.2456</w:t>
            </w:r>
            <w:r>
              <w:rPr>
                <w:rFonts w:hint="eastAsia" w:eastAsia="宋体"/>
                <w:bCs/>
                <w:color w:val="auto"/>
                <w:sz w:val="24"/>
                <w:szCs w:val="24"/>
              </w:rPr>
              <w:t>t/a</w:t>
            </w:r>
            <w:r>
              <w:rPr>
                <w:rFonts w:hint="eastAsia" w:eastAsia="宋体"/>
                <w:bCs/>
                <w:color w:val="auto"/>
                <w:sz w:val="24"/>
                <w:szCs w:val="24"/>
                <w:lang w:eastAsia="zh-CN"/>
              </w:rPr>
              <w:t>，</w:t>
            </w:r>
            <w:r>
              <w:rPr>
                <w:rFonts w:hint="eastAsia" w:eastAsia="宋体"/>
                <w:bCs/>
                <w:color w:val="auto"/>
                <w:sz w:val="24"/>
                <w:szCs w:val="24"/>
                <w:lang w:val="en-US" w:eastAsia="zh-CN"/>
              </w:rPr>
              <w:t>可满足环评中非甲烷总烃0.2736</w:t>
            </w:r>
            <w:r>
              <w:rPr>
                <w:rFonts w:hint="eastAsia" w:eastAsia="宋体"/>
                <w:bCs/>
                <w:color w:val="auto"/>
                <w:sz w:val="24"/>
                <w:szCs w:val="24"/>
              </w:rPr>
              <w:t>t/</w:t>
            </w:r>
            <w:r>
              <w:rPr>
                <w:rFonts w:hint="eastAsia" w:eastAsia="宋体"/>
                <w:bCs/>
                <w:color w:val="auto"/>
                <w:sz w:val="24"/>
                <w:szCs w:val="24"/>
                <w:lang w:val="en-US" w:eastAsia="zh-CN"/>
              </w:rPr>
              <w:t>a的总量控制指标。</w:t>
            </w:r>
          </w:p>
          <w:bookmarkEnd w:id="14"/>
          <w:bookmarkEnd w:id="15"/>
          <w:bookmarkEnd w:id="16"/>
          <w:p w14:paraId="1344641C">
            <w:pPr>
              <w:spacing w:after="0" w:line="440" w:lineRule="exact"/>
              <w:jc w:val="both"/>
              <w:textAlignment w:val="baseline"/>
              <w:rPr>
                <w:rFonts w:eastAsia="宋体"/>
                <w:b/>
                <w:bCs/>
                <w:color w:val="auto"/>
                <w:sz w:val="24"/>
                <w:szCs w:val="24"/>
              </w:rPr>
            </w:pPr>
            <w:r>
              <w:rPr>
                <w:rFonts w:hint="eastAsia" w:eastAsia="宋体"/>
                <w:b/>
                <w:bCs/>
                <w:color w:val="auto"/>
                <w:sz w:val="24"/>
                <w:szCs w:val="24"/>
              </w:rPr>
              <w:t>二</w:t>
            </w:r>
            <w:r>
              <w:rPr>
                <w:rFonts w:eastAsia="宋体"/>
                <w:b/>
                <w:bCs/>
                <w:color w:val="auto"/>
                <w:sz w:val="24"/>
                <w:szCs w:val="24"/>
              </w:rPr>
              <w:t>、环境管理检查</w:t>
            </w:r>
          </w:p>
          <w:p w14:paraId="41C143D7">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1、环保手续与“三同时”执行情况</w:t>
            </w:r>
          </w:p>
          <w:p w14:paraId="2E545564">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建设单位开工建设前进行了环境影响评价，建设过程中落实了“三同时”制度。</w:t>
            </w:r>
          </w:p>
          <w:p w14:paraId="745C9F56">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2、环境管理制度及执行情况</w:t>
            </w:r>
          </w:p>
          <w:p w14:paraId="2059A76C">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建设单位按照有关规定建立了相关环境保护管理制度，由专人负责公司环境管理工作。</w:t>
            </w:r>
          </w:p>
          <w:p w14:paraId="2A789368">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3、环保设施运转情况</w:t>
            </w:r>
          </w:p>
          <w:p w14:paraId="6EBBC6F5">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监测期间各项环保设施运转正常。</w:t>
            </w:r>
          </w:p>
          <w:p w14:paraId="34CC9E77">
            <w:pPr>
              <w:spacing w:after="0" w:line="460" w:lineRule="exact"/>
              <w:ind w:firstLine="480" w:firstLineChars="200"/>
              <w:jc w:val="both"/>
              <w:textAlignment w:val="baseline"/>
              <w:rPr>
                <w:rFonts w:hint="eastAsia" w:eastAsia="宋体"/>
                <w:bCs/>
                <w:color w:val="auto"/>
                <w:kern w:val="2"/>
                <w:sz w:val="24"/>
                <w:szCs w:val="24"/>
              </w:rPr>
            </w:pPr>
            <w:r>
              <w:rPr>
                <w:rFonts w:hint="eastAsia" w:eastAsia="宋体"/>
                <w:bCs/>
                <w:color w:val="auto"/>
                <w:kern w:val="2"/>
                <w:sz w:val="24"/>
                <w:szCs w:val="24"/>
              </w:rPr>
              <w:t>4、与建设项目竣工环境保护验收暂行办法（国环规环评</w:t>
            </w:r>
            <w:r>
              <w:rPr>
                <w:rFonts w:hint="eastAsia" w:eastAsia="宋体"/>
                <w:bCs/>
                <w:color w:val="auto"/>
                <w:kern w:val="2"/>
                <w:sz w:val="24"/>
                <w:szCs w:val="24"/>
                <w:lang w:val="en-US" w:eastAsia="zh-CN"/>
              </w:rPr>
              <w:t>[</w:t>
            </w:r>
            <w:r>
              <w:rPr>
                <w:rFonts w:hint="eastAsia" w:eastAsia="宋体"/>
                <w:bCs/>
                <w:color w:val="auto"/>
                <w:kern w:val="2"/>
                <w:sz w:val="24"/>
                <w:szCs w:val="24"/>
              </w:rPr>
              <w:t>2017</w:t>
            </w:r>
            <w:r>
              <w:rPr>
                <w:rFonts w:hint="eastAsia" w:eastAsia="宋体"/>
                <w:bCs/>
                <w:color w:val="auto"/>
                <w:kern w:val="2"/>
                <w:sz w:val="24"/>
                <w:szCs w:val="24"/>
                <w:lang w:val="en-US" w:eastAsia="zh-CN"/>
              </w:rPr>
              <w:t>]</w:t>
            </w:r>
            <w:r>
              <w:rPr>
                <w:rFonts w:hint="eastAsia" w:eastAsia="宋体"/>
                <w:bCs/>
                <w:color w:val="auto"/>
                <w:kern w:val="2"/>
                <w:sz w:val="24"/>
                <w:szCs w:val="24"/>
              </w:rPr>
              <w:t>4号）以下简称《暂行办法》对比分析</w:t>
            </w:r>
          </w:p>
          <w:p w14:paraId="49635278">
            <w:pPr>
              <w:pStyle w:val="68"/>
              <w:keepNext/>
              <w:keepLines w:val="0"/>
              <w:pageBreakBefore w:val="0"/>
              <w:widowControl w:val="0"/>
              <w:kinsoku/>
              <w:wordWrap/>
              <w:overflowPunct/>
              <w:topLinePunct w:val="0"/>
              <w:autoSpaceDE/>
              <w:autoSpaceDN/>
              <w:bidi w:val="0"/>
              <w:adjustRightInd w:val="0"/>
              <w:snapToGrid w:val="0"/>
              <w:spacing w:line="460" w:lineRule="exact"/>
              <w:ind w:left="0" w:firstLine="480" w:firstLineChars="200"/>
              <w:textAlignment w:val="auto"/>
              <w:rPr>
                <w:rFonts w:hint="eastAsia" w:ascii="Times New Roman" w:hAnsi="Times New Roman" w:cs="宋体"/>
                <w:color w:val="auto"/>
              </w:rPr>
            </w:pPr>
            <w:r>
              <w:rPr>
                <w:rFonts w:hint="eastAsia" w:ascii="Times New Roman" w:hAnsi="Times New Roman" w:cs="宋体"/>
                <w:color w:val="auto"/>
              </w:rPr>
              <w:t>表19             本项目与《暂行办法》对比分析情况</w:t>
            </w:r>
          </w:p>
          <w:tbl>
            <w:tblPr>
              <w:tblStyle w:val="20"/>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7"/>
              <w:gridCol w:w="4067"/>
              <w:gridCol w:w="758"/>
            </w:tblGrid>
            <w:tr w14:paraId="748FFE1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00DDEF17">
                  <w:pPr>
                    <w:spacing w:after="0"/>
                    <w:jc w:val="center"/>
                    <w:rPr>
                      <w:rFonts w:asciiTheme="minorEastAsia" w:hAnsiTheme="minorEastAsia" w:eastAsiaTheme="minorEastAsia"/>
                      <w:b/>
                      <w:color w:val="auto"/>
                      <w:kern w:val="2"/>
                      <w:sz w:val="21"/>
                      <w:szCs w:val="21"/>
                    </w:rPr>
                  </w:pPr>
                  <w:r>
                    <w:rPr>
                      <w:rFonts w:hint="eastAsia" w:asciiTheme="minorEastAsia" w:hAnsiTheme="minorEastAsia" w:eastAsiaTheme="minorEastAsia"/>
                      <w:b/>
                      <w:color w:val="auto"/>
                      <w:kern w:val="2"/>
                      <w:sz w:val="21"/>
                      <w:szCs w:val="21"/>
                    </w:rPr>
                    <w:t>内容</w:t>
                  </w:r>
                </w:p>
              </w:tc>
              <w:tc>
                <w:tcPr>
                  <w:tcW w:w="4067" w:type="dxa"/>
                  <w:vAlign w:val="center"/>
                </w:tcPr>
                <w:p w14:paraId="3D5B1388">
                  <w:pPr>
                    <w:spacing w:after="0"/>
                    <w:jc w:val="center"/>
                    <w:rPr>
                      <w:rFonts w:asciiTheme="minorEastAsia" w:hAnsiTheme="minorEastAsia" w:eastAsiaTheme="minorEastAsia"/>
                      <w:b/>
                      <w:color w:val="auto"/>
                      <w:kern w:val="2"/>
                      <w:sz w:val="21"/>
                      <w:szCs w:val="21"/>
                    </w:rPr>
                  </w:pPr>
                  <w:r>
                    <w:rPr>
                      <w:rFonts w:hint="eastAsia" w:asciiTheme="minorEastAsia" w:hAnsiTheme="minorEastAsia" w:eastAsiaTheme="minorEastAsia"/>
                      <w:b/>
                      <w:color w:val="auto"/>
                      <w:kern w:val="2"/>
                      <w:sz w:val="21"/>
                      <w:szCs w:val="21"/>
                    </w:rPr>
                    <w:t>本项目情况</w:t>
                  </w:r>
                </w:p>
              </w:tc>
              <w:tc>
                <w:tcPr>
                  <w:tcW w:w="758" w:type="dxa"/>
                  <w:vAlign w:val="center"/>
                </w:tcPr>
                <w:p w14:paraId="4C3ADB25">
                  <w:pPr>
                    <w:spacing w:after="0"/>
                    <w:jc w:val="center"/>
                    <w:rPr>
                      <w:rFonts w:asciiTheme="minorEastAsia" w:hAnsiTheme="minorEastAsia" w:eastAsiaTheme="minorEastAsia"/>
                      <w:b/>
                      <w:color w:val="auto"/>
                      <w:kern w:val="2"/>
                      <w:sz w:val="21"/>
                      <w:szCs w:val="21"/>
                    </w:rPr>
                  </w:pPr>
                  <w:r>
                    <w:rPr>
                      <w:rFonts w:hint="eastAsia" w:asciiTheme="minorEastAsia" w:hAnsiTheme="minorEastAsia" w:eastAsiaTheme="minorEastAsia"/>
                      <w:b/>
                      <w:color w:val="auto"/>
                      <w:kern w:val="2"/>
                      <w:sz w:val="21"/>
                      <w:szCs w:val="21"/>
                    </w:rPr>
                    <w:t>对比结果</w:t>
                  </w:r>
                </w:p>
              </w:tc>
            </w:tr>
            <w:tr w14:paraId="634B35F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099130CE">
                  <w:pPr>
                    <w:tabs>
                      <w:tab w:val="left" w:pos="1875"/>
                    </w:tabs>
                    <w:spacing w:after="0"/>
                    <w:rPr>
                      <w:rFonts w:ascii="宋体" w:hAnsi="宋体" w:eastAsia="宋体"/>
                      <w:color w:val="auto"/>
                      <w:kern w:val="2"/>
                      <w:sz w:val="21"/>
                      <w:szCs w:val="21"/>
                    </w:rPr>
                  </w:pPr>
                  <w:r>
                    <w:rPr>
                      <w:rFonts w:ascii="宋体" w:hAnsi="宋体" w:eastAsia="宋体"/>
                      <w:color w:val="auto"/>
                      <w:kern w:val="2"/>
                      <w:sz w:val="21"/>
                      <w:szCs w:val="21"/>
                    </w:rPr>
                    <w:t>未按环境影响报告书（表）及其审批部门审批决定要求建成环境保护设施，或者环境保护设施不能与主体工程同时投产或者使用的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48F38328">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本项目建成</w:t>
                  </w:r>
                  <w:r>
                    <w:rPr>
                      <w:rFonts w:ascii="宋体" w:hAnsi="宋体" w:eastAsia="宋体"/>
                      <w:color w:val="auto"/>
                      <w:kern w:val="2"/>
                      <w:sz w:val="21"/>
                      <w:szCs w:val="21"/>
                    </w:rPr>
                    <w:t>环境保护设施能与主体工程同时投产或者使用</w:t>
                  </w:r>
                  <w:r>
                    <w:rPr>
                      <w:rFonts w:hint="eastAsia" w:ascii="宋体" w:hAnsi="宋体" w:eastAsia="宋体"/>
                      <w:color w:val="auto"/>
                      <w:kern w:val="2"/>
                      <w:sz w:val="21"/>
                      <w:szCs w:val="21"/>
                    </w:rPr>
                    <w:t>。</w:t>
                  </w:r>
                </w:p>
              </w:tc>
              <w:tc>
                <w:tcPr>
                  <w:tcW w:w="758" w:type="dxa"/>
                  <w:vAlign w:val="center"/>
                </w:tcPr>
                <w:p w14:paraId="40E43317">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3EE8025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712D1557">
                  <w:pPr>
                    <w:spacing w:after="0"/>
                    <w:rPr>
                      <w:rFonts w:ascii="宋体" w:hAnsi="宋体" w:eastAsia="宋体"/>
                      <w:color w:val="auto"/>
                      <w:kern w:val="2"/>
                      <w:sz w:val="21"/>
                      <w:szCs w:val="21"/>
                    </w:rPr>
                  </w:pPr>
                  <w:r>
                    <w:rPr>
                      <w:rFonts w:ascii="宋体" w:hAnsi="宋体" w:eastAsia="宋体"/>
                      <w:color w:val="auto"/>
                      <w:kern w:val="2"/>
                      <w:sz w:val="21"/>
                      <w:szCs w:val="21"/>
                    </w:rPr>
                    <w:t>污染物排放不符合国家和地方相关标准、环境影响报告书（表）及其审批部门审批决定或者重点污染物排放总量控制指标要求的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029E095D">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w:t>
                  </w:r>
                  <w:r>
                    <w:rPr>
                      <w:rFonts w:ascii="宋体" w:hAnsi="宋体" w:eastAsia="宋体"/>
                      <w:color w:val="auto"/>
                      <w:kern w:val="2"/>
                      <w:sz w:val="21"/>
                      <w:szCs w:val="21"/>
                    </w:rPr>
                    <w:t>污染物排放符合国家和地方相关标准、环境影响报告表及其审批部门审批决定</w:t>
                  </w:r>
                  <w:r>
                    <w:rPr>
                      <w:rFonts w:hint="eastAsia" w:ascii="宋体" w:hAnsi="宋体" w:eastAsia="宋体"/>
                      <w:color w:val="auto"/>
                      <w:kern w:val="2"/>
                      <w:sz w:val="21"/>
                      <w:szCs w:val="21"/>
                    </w:rPr>
                    <w:t>。</w:t>
                  </w:r>
                </w:p>
              </w:tc>
              <w:tc>
                <w:tcPr>
                  <w:tcW w:w="758" w:type="dxa"/>
                  <w:vAlign w:val="center"/>
                </w:tcPr>
                <w:p w14:paraId="4D501F76">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1BFCA45E">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0E1B2F39">
                  <w:pPr>
                    <w:spacing w:after="0"/>
                    <w:rPr>
                      <w:rFonts w:ascii="宋体" w:hAnsi="宋体" w:eastAsia="宋体"/>
                      <w:color w:val="auto"/>
                      <w:kern w:val="2"/>
                      <w:sz w:val="21"/>
                      <w:szCs w:val="21"/>
                    </w:rPr>
                  </w:pPr>
                  <w:r>
                    <w:rPr>
                      <w:rFonts w:ascii="宋体" w:hAnsi="宋体" w:eastAsia="宋体"/>
                      <w:color w:val="auto"/>
                      <w:kern w:val="2"/>
                      <w:sz w:val="21"/>
                      <w:szCs w:val="21"/>
                    </w:rPr>
                    <w:t>环境影响报告书（表）经批准后，该建设项目的性质、规模、地点、采用的生产工艺或者防治污染、防止生态破坏的措施发生重大变动，建设单位未重新报批环境影响报告书（表）或者环境影响报告书（表）未经批准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3B851EBC">
                  <w:pPr>
                    <w:spacing w:after="0"/>
                    <w:jc w:val="both"/>
                    <w:rPr>
                      <w:rFonts w:ascii="宋体" w:hAnsi="宋体" w:eastAsia="宋体"/>
                      <w:color w:val="auto"/>
                      <w:kern w:val="2"/>
                      <w:sz w:val="21"/>
                      <w:szCs w:val="21"/>
                    </w:rPr>
                  </w:pPr>
                  <w:r>
                    <w:rPr>
                      <w:rFonts w:hint="eastAsia" w:eastAsia="宋体"/>
                      <w:bCs/>
                      <w:color w:val="auto"/>
                      <w:sz w:val="21"/>
                      <w:szCs w:val="21"/>
                    </w:rPr>
                    <w:t>根据本项目实际建设情况与《污染影响类建设项目重大变动清单（试行）的通知》（环办环评函[2020]688号）的对比分析（见表8）可知：</w:t>
                  </w:r>
                  <w:r>
                    <w:rPr>
                      <w:rFonts w:eastAsia="宋体"/>
                      <w:bCs/>
                      <w:color w:val="auto"/>
                      <w:sz w:val="21"/>
                      <w:szCs w:val="21"/>
                    </w:rPr>
                    <w:t>本项目环境影响报告表经批准后，建设项目的性质、规模、地点、采用的生产工艺或者防治污染、防止生态破坏的措施未发生重大变动</w:t>
                  </w:r>
                  <w:r>
                    <w:rPr>
                      <w:rFonts w:hint="eastAsia" w:ascii="宋体" w:hAnsi="宋体" w:eastAsia="宋体"/>
                      <w:color w:val="auto"/>
                      <w:kern w:val="2"/>
                      <w:sz w:val="21"/>
                      <w:szCs w:val="21"/>
                    </w:rPr>
                    <w:t>。</w:t>
                  </w:r>
                </w:p>
              </w:tc>
              <w:tc>
                <w:tcPr>
                  <w:tcW w:w="758" w:type="dxa"/>
                  <w:vAlign w:val="center"/>
                </w:tcPr>
                <w:p w14:paraId="70CD431E">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255B818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76D6660A">
                  <w:pPr>
                    <w:spacing w:after="0"/>
                    <w:rPr>
                      <w:rFonts w:ascii="宋体" w:hAnsi="宋体" w:eastAsia="宋体"/>
                      <w:color w:val="auto"/>
                      <w:kern w:val="2"/>
                      <w:sz w:val="21"/>
                      <w:szCs w:val="21"/>
                    </w:rPr>
                  </w:pPr>
                  <w:r>
                    <w:rPr>
                      <w:rFonts w:ascii="宋体" w:hAnsi="宋体" w:eastAsia="宋体"/>
                      <w:color w:val="auto"/>
                      <w:kern w:val="2"/>
                      <w:sz w:val="21"/>
                      <w:szCs w:val="21"/>
                    </w:rPr>
                    <w:t>建设过程中造成重大环境污染未治理完成，或者造成重大生态破坏未恢复的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50FD76C9">
                  <w:pPr>
                    <w:spacing w:after="0"/>
                    <w:rPr>
                      <w:rFonts w:ascii="宋体" w:hAnsi="宋体" w:eastAsia="宋体"/>
                      <w:color w:val="auto"/>
                      <w:kern w:val="2"/>
                      <w:sz w:val="21"/>
                      <w:szCs w:val="21"/>
                    </w:rPr>
                  </w:pPr>
                  <w:r>
                    <w:rPr>
                      <w:rFonts w:hint="eastAsia" w:ascii="宋体" w:hAnsi="宋体" w:eastAsia="宋体"/>
                      <w:color w:val="auto"/>
                      <w:kern w:val="2"/>
                      <w:sz w:val="21"/>
                      <w:szCs w:val="21"/>
                    </w:rPr>
                    <w:t>本项目</w:t>
                  </w:r>
                  <w:r>
                    <w:rPr>
                      <w:rFonts w:ascii="宋体" w:hAnsi="宋体" w:eastAsia="宋体"/>
                      <w:color w:val="auto"/>
                      <w:kern w:val="2"/>
                      <w:sz w:val="21"/>
                      <w:szCs w:val="21"/>
                    </w:rPr>
                    <w:t>建设过程中</w:t>
                  </w:r>
                  <w:r>
                    <w:rPr>
                      <w:rFonts w:hint="eastAsia" w:ascii="宋体" w:hAnsi="宋体" w:eastAsia="宋体"/>
                      <w:color w:val="auto"/>
                      <w:kern w:val="2"/>
                      <w:sz w:val="21"/>
                      <w:szCs w:val="21"/>
                    </w:rPr>
                    <w:t>未</w:t>
                  </w:r>
                  <w:r>
                    <w:rPr>
                      <w:rFonts w:ascii="宋体" w:hAnsi="宋体" w:eastAsia="宋体"/>
                      <w:color w:val="auto"/>
                      <w:kern w:val="2"/>
                      <w:sz w:val="21"/>
                      <w:szCs w:val="21"/>
                    </w:rPr>
                    <w:t>造成重大环境污染</w:t>
                  </w:r>
                  <w:r>
                    <w:rPr>
                      <w:rFonts w:hint="eastAsia" w:ascii="宋体" w:hAnsi="宋体" w:eastAsia="宋体"/>
                      <w:color w:val="auto"/>
                      <w:kern w:val="2"/>
                      <w:sz w:val="21"/>
                      <w:szCs w:val="21"/>
                    </w:rPr>
                    <w:t>和</w:t>
                  </w:r>
                  <w:r>
                    <w:rPr>
                      <w:rFonts w:ascii="宋体" w:hAnsi="宋体" w:eastAsia="宋体"/>
                      <w:color w:val="auto"/>
                      <w:kern w:val="2"/>
                      <w:sz w:val="21"/>
                      <w:szCs w:val="21"/>
                    </w:rPr>
                    <w:t>重大生态破坏</w:t>
                  </w:r>
                  <w:r>
                    <w:rPr>
                      <w:rFonts w:hint="eastAsia" w:ascii="宋体" w:hAnsi="宋体" w:eastAsia="宋体"/>
                      <w:color w:val="auto"/>
                      <w:kern w:val="2"/>
                      <w:sz w:val="21"/>
                      <w:szCs w:val="21"/>
                    </w:rPr>
                    <w:t>。</w:t>
                  </w:r>
                </w:p>
              </w:tc>
              <w:tc>
                <w:tcPr>
                  <w:tcW w:w="758" w:type="dxa"/>
                  <w:vAlign w:val="center"/>
                </w:tcPr>
                <w:p w14:paraId="0158FE0C">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r w14:paraId="7702468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77BFD309">
                  <w:pPr>
                    <w:spacing w:after="0"/>
                    <w:jc w:val="both"/>
                    <w:rPr>
                      <w:rFonts w:ascii="宋体" w:hAnsi="宋体" w:eastAsia="宋体"/>
                      <w:color w:val="auto"/>
                      <w:kern w:val="2"/>
                      <w:sz w:val="21"/>
                      <w:szCs w:val="21"/>
                    </w:rPr>
                  </w:pPr>
                  <w:r>
                    <w:rPr>
                      <w:rFonts w:ascii="宋体" w:hAnsi="宋体" w:eastAsia="宋体"/>
                      <w:color w:val="auto"/>
                      <w:kern w:val="2"/>
                      <w:sz w:val="21"/>
                      <w:szCs w:val="21"/>
                    </w:rPr>
                    <w:t>纳入排污许可管理的建设项目，无证排污或者不按证排污的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4D247E4F">
                  <w:pPr>
                    <w:spacing w:after="0"/>
                    <w:rPr>
                      <w:rFonts w:hint="default" w:ascii="宋体" w:hAnsi="宋体" w:eastAsia="宋体"/>
                      <w:color w:val="auto"/>
                      <w:kern w:val="2"/>
                      <w:sz w:val="21"/>
                      <w:szCs w:val="21"/>
                      <w:lang w:val="en-US" w:eastAsia="zh-CN"/>
                    </w:rPr>
                  </w:pPr>
                  <w:r>
                    <w:rPr>
                      <w:rFonts w:ascii="Times New Roman" w:hAnsi="Times New Roman" w:eastAsia="宋体"/>
                      <w:bCs/>
                      <w:color w:val="auto"/>
                      <w:sz w:val="21"/>
                      <w:szCs w:val="21"/>
                    </w:rPr>
                    <w:t>本项目</w:t>
                  </w:r>
                  <w:r>
                    <w:rPr>
                      <w:rFonts w:hint="eastAsia" w:eastAsia="宋体"/>
                      <w:bCs/>
                      <w:color w:val="auto"/>
                      <w:sz w:val="21"/>
                      <w:szCs w:val="21"/>
                      <w:lang w:val="en-US" w:eastAsia="zh-CN"/>
                    </w:rPr>
                    <w:t>已取得排污许可证，排污许可证编号：91410728MA44R9Q13L001V；排污许可证管理类别：重点管理；排污许可证申领日期：2026年6月23日；有效期：2026年6月23日至2031年6月22日。</w:t>
                  </w:r>
                </w:p>
              </w:tc>
              <w:tc>
                <w:tcPr>
                  <w:tcW w:w="758" w:type="dxa"/>
                  <w:vAlign w:val="center"/>
                </w:tcPr>
                <w:p w14:paraId="48402C11">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相符</w:t>
                  </w:r>
                </w:p>
              </w:tc>
            </w:tr>
            <w:tr w14:paraId="40CE9F1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2EEB3139">
                  <w:pPr>
                    <w:spacing w:after="0"/>
                    <w:jc w:val="both"/>
                    <w:rPr>
                      <w:rFonts w:ascii="宋体" w:hAnsi="宋体" w:eastAsia="宋体"/>
                      <w:color w:val="auto"/>
                      <w:kern w:val="2"/>
                      <w:sz w:val="21"/>
                      <w:szCs w:val="21"/>
                    </w:rPr>
                  </w:pPr>
                  <w:r>
                    <w:rPr>
                      <w:rFonts w:ascii="宋体" w:hAnsi="宋体" w:eastAsia="宋体"/>
                      <w:color w:val="auto"/>
                      <w:kern w:val="2"/>
                      <w:sz w:val="21"/>
                      <w:szCs w:val="21"/>
                    </w:rPr>
                    <w:t>分期建设、分期投入生产或者使用依法应当分期验收的建设项目，其分期建设、分期投入生产或者使用的环境保护设施防治环境污染和生态破坏的能力不能满足其相应主体工程需要的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69B15923">
                  <w:pPr>
                    <w:spacing w:after="0"/>
                    <w:rPr>
                      <w:rFonts w:ascii="宋体" w:hAnsi="宋体" w:eastAsia="宋体"/>
                      <w:color w:val="auto"/>
                      <w:kern w:val="2"/>
                      <w:sz w:val="21"/>
                      <w:szCs w:val="21"/>
                    </w:rPr>
                  </w:pPr>
                  <w:r>
                    <w:rPr>
                      <w:rFonts w:eastAsia="宋体"/>
                      <w:bCs/>
                      <w:color w:val="auto"/>
                      <w:sz w:val="21"/>
                      <w:szCs w:val="21"/>
                    </w:rPr>
                    <w:t>本项目</w:t>
                  </w:r>
                  <w:r>
                    <w:rPr>
                      <w:rFonts w:hint="eastAsia" w:eastAsia="宋体"/>
                      <w:bCs/>
                      <w:color w:val="auto"/>
                      <w:sz w:val="21"/>
                      <w:szCs w:val="21"/>
                      <w:lang w:val="en-US" w:eastAsia="zh-CN"/>
                    </w:rPr>
                    <w:t>不涉及</w:t>
                  </w:r>
                  <w:r>
                    <w:rPr>
                      <w:rFonts w:eastAsia="宋体"/>
                      <w:bCs/>
                      <w:color w:val="auto"/>
                      <w:sz w:val="21"/>
                      <w:szCs w:val="21"/>
                    </w:rPr>
                    <w:t>。</w:t>
                  </w:r>
                </w:p>
              </w:tc>
              <w:tc>
                <w:tcPr>
                  <w:tcW w:w="758" w:type="dxa"/>
                  <w:vAlign w:val="center"/>
                </w:tcPr>
                <w:p w14:paraId="52C3E230">
                  <w:pPr>
                    <w:spacing w:after="0"/>
                    <w:jc w:val="center"/>
                    <w:rPr>
                      <w:rFonts w:hint="eastAsia" w:ascii="宋体" w:hAnsi="宋体" w:eastAsia="宋体"/>
                      <w:color w:val="auto"/>
                      <w:kern w:val="2"/>
                      <w:sz w:val="21"/>
                      <w:szCs w:val="21"/>
                      <w:lang w:eastAsia="zh-CN"/>
                    </w:rPr>
                  </w:pPr>
                  <w:r>
                    <w:rPr>
                      <w:rFonts w:hint="eastAsia" w:ascii="宋体" w:hAnsi="宋体" w:eastAsia="宋体"/>
                      <w:color w:val="auto"/>
                      <w:kern w:val="2"/>
                      <w:sz w:val="21"/>
                      <w:szCs w:val="21"/>
                      <w:lang w:val="en-US" w:eastAsia="zh-CN"/>
                    </w:rPr>
                    <w:t>不涉及</w:t>
                  </w:r>
                </w:p>
              </w:tc>
            </w:tr>
            <w:tr w14:paraId="361325A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7FF41BB0">
                  <w:pPr>
                    <w:spacing w:after="0"/>
                    <w:jc w:val="both"/>
                    <w:rPr>
                      <w:rFonts w:ascii="宋体" w:hAnsi="宋体" w:eastAsia="宋体"/>
                      <w:color w:val="auto"/>
                      <w:kern w:val="2"/>
                      <w:sz w:val="21"/>
                      <w:szCs w:val="21"/>
                    </w:rPr>
                  </w:pPr>
                  <w:r>
                    <w:rPr>
                      <w:rFonts w:ascii="宋体" w:hAnsi="宋体" w:eastAsia="宋体"/>
                      <w:color w:val="auto"/>
                      <w:kern w:val="2"/>
                      <w:sz w:val="21"/>
                      <w:szCs w:val="21"/>
                    </w:rPr>
                    <w:t>建设单位因该建设项目违反国家和地方环境保护法律法规受到处罚，被责令改正，尚未改正完成的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03520250">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w:t>
                  </w:r>
                  <w:r>
                    <w:rPr>
                      <w:rFonts w:ascii="宋体" w:hAnsi="宋体" w:eastAsia="宋体"/>
                      <w:color w:val="auto"/>
                      <w:kern w:val="2"/>
                      <w:sz w:val="21"/>
                      <w:szCs w:val="21"/>
                    </w:rPr>
                    <w:t>建设单位</w:t>
                  </w:r>
                  <w:r>
                    <w:rPr>
                      <w:rFonts w:hint="eastAsia" w:ascii="宋体" w:hAnsi="宋体" w:eastAsia="宋体"/>
                      <w:color w:val="auto"/>
                      <w:kern w:val="2"/>
                      <w:sz w:val="21"/>
                      <w:szCs w:val="21"/>
                    </w:rPr>
                    <w:t>不涉及</w:t>
                  </w:r>
                  <w:r>
                    <w:rPr>
                      <w:rFonts w:ascii="宋体" w:hAnsi="宋体" w:eastAsia="宋体"/>
                      <w:color w:val="auto"/>
                      <w:kern w:val="2"/>
                      <w:sz w:val="21"/>
                      <w:szCs w:val="21"/>
                    </w:rPr>
                    <w:t>违反国家和地方环境保护法律法规</w:t>
                  </w:r>
                  <w:r>
                    <w:rPr>
                      <w:rFonts w:hint="eastAsia" w:ascii="宋体" w:hAnsi="宋体" w:eastAsia="宋体"/>
                      <w:color w:val="auto"/>
                      <w:kern w:val="2"/>
                      <w:sz w:val="21"/>
                      <w:szCs w:val="21"/>
                    </w:rPr>
                    <w:t>。</w:t>
                  </w:r>
                </w:p>
              </w:tc>
              <w:tc>
                <w:tcPr>
                  <w:tcW w:w="758" w:type="dxa"/>
                  <w:vAlign w:val="center"/>
                </w:tcPr>
                <w:p w14:paraId="6A4FBBED">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r w14:paraId="583682C2">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59E995F5">
                  <w:pPr>
                    <w:spacing w:after="0"/>
                    <w:jc w:val="both"/>
                    <w:rPr>
                      <w:rFonts w:ascii="宋体" w:hAnsi="宋体" w:eastAsia="宋体"/>
                      <w:color w:val="auto"/>
                      <w:kern w:val="2"/>
                      <w:sz w:val="21"/>
                      <w:szCs w:val="21"/>
                    </w:rPr>
                  </w:pPr>
                  <w:r>
                    <w:rPr>
                      <w:rFonts w:ascii="宋体" w:hAnsi="宋体" w:eastAsia="宋体"/>
                      <w:color w:val="auto"/>
                      <w:kern w:val="2"/>
                      <w:sz w:val="21"/>
                      <w:szCs w:val="21"/>
                    </w:rPr>
                    <w:t>验收报告的基础资料数据明显不实，内容存在重大缺项、遗漏，或者验收结论不明确、不合理的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6269880A">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w:t>
                  </w:r>
                  <w:r>
                    <w:rPr>
                      <w:rFonts w:ascii="宋体" w:hAnsi="宋体" w:eastAsia="宋体"/>
                      <w:color w:val="auto"/>
                      <w:kern w:val="2"/>
                      <w:sz w:val="21"/>
                      <w:szCs w:val="21"/>
                    </w:rPr>
                    <w:t>验收报告的基础资料数据</w:t>
                  </w:r>
                  <w:r>
                    <w:rPr>
                      <w:rFonts w:hint="eastAsia" w:ascii="宋体" w:hAnsi="宋体" w:eastAsia="宋体"/>
                      <w:color w:val="auto"/>
                      <w:kern w:val="2"/>
                      <w:sz w:val="21"/>
                      <w:szCs w:val="21"/>
                    </w:rPr>
                    <w:t>真实</w:t>
                  </w:r>
                  <w:r>
                    <w:rPr>
                      <w:rFonts w:ascii="宋体" w:hAnsi="宋体" w:eastAsia="宋体"/>
                      <w:color w:val="auto"/>
                      <w:kern w:val="2"/>
                      <w:sz w:val="21"/>
                      <w:szCs w:val="21"/>
                    </w:rPr>
                    <w:t>，内容</w:t>
                  </w:r>
                  <w:r>
                    <w:rPr>
                      <w:rFonts w:hint="eastAsia" w:ascii="宋体" w:hAnsi="宋体" w:eastAsia="宋体"/>
                      <w:color w:val="auto"/>
                      <w:kern w:val="2"/>
                      <w:sz w:val="21"/>
                      <w:szCs w:val="21"/>
                    </w:rPr>
                    <w:t>不</w:t>
                  </w:r>
                  <w:r>
                    <w:rPr>
                      <w:rFonts w:ascii="宋体" w:hAnsi="宋体" w:eastAsia="宋体"/>
                      <w:color w:val="auto"/>
                      <w:kern w:val="2"/>
                      <w:sz w:val="21"/>
                      <w:szCs w:val="21"/>
                    </w:rPr>
                    <w:t>存在重大缺项、遗漏，验收结论明确、合理</w:t>
                  </w:r>
                  <w:r>
                    <w:rPr>
                      <w:rFonts w:hint="eastAsia" w:ascii="宋体" w:hAnsi="宋体" w:eastAsia="宋体"/>
                      <w:color w:val="auto"/>
                      <w:kern w:val="2"/>
                      <w:sz w:val="21"/>
                      <w:szCs w:val="21"/>
                    </w:rPr>
                    <w:t>。</w:t>
                  </w:r>
                </w:p>
              </w:tc>
              <w:tc>
                <w:tcPr>
                  <w:tcW w:w="758" w:type="dxa"/>
                  <w:vAlign w:val="center"/>
                </w:tcPr>
                <w:p w14:paraId="05180143">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r w14:paraId="50C9769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247" w:type="dxa"/>
                  <w:vAlign w:val="center"/>
                </w:tcPr>
                <w:p w14:paraId="364961EF">
                  <w:pPr>
                    <w:spacing w:after="0"/>
                    <w:jc w:val="both"/>
                    <w:rPr>
                      <w:rFonts w:ascii="宋体" w:hAnsi="宋体" w:eastAsia="宋体"/>
                      <w:color w:val="auto"/>
                      <w:kern w:val="2"/>
                      <w:sz w:val="21"/>
                      <w:szCs w:val="21"/>
                    </w:rPr>
                  </w:pPr>
                  <w:r>
                    <w:rPr>
                      <w:rFonts w:ascii="宋体" w:hAnsi="宋体" w:eastAsia="宋体"/>
                      <w:color w:val="auto"/>
                      <w:kern w:val="2"/>
                      <w:sz w:val="21"/>
                      <w:szCs w:val="21"/>
                    </w:rPr>
                    <w:t>其他环境保护法律法规规章等规定不得通过环境保护验收的</w:t>
                  </w:r>
                  <w:r>
                    <w:rPr>
                      <w:rFonts w:hint="eastAsia" w:ascii="宋体" w:hAnsi="宋体" w:eastAsia="宋体"/>
                      <w:color w:val="auto"/>
                      <w:kern w:val="2"/>
                      <w:sz w:val="21"/>
                      <w:szCs w:val="21"/>
                    </w:rPr>
                    <w:t>，</w:t>
                  </w:r>
                  <w:r>
                    <w:rPr>
                      <w:rStyle w:val="54"/>
                      <w:rFonts w:hint="default" w:ascii="宋体" w:hAnsi="宋体" w:eastAsia="宋体"/>
                      <w:color w:val="auto"/>
                      <w:sz w:val="21"/>
                      <w:szCs w:val="21"/>
                    </w:rPr>
                    <w:t>建设单位不得提出验收合格的意见</w:t>
                  </w:r>
                  <w:r>
                    <w:rPr>
                      <w:rFonts w:hint="eastAsia" w:ascii="宋体" w:hAnsi="宋体" w:eastAsia="宋体"/>
                      <w:color w:val="auto"/>
                      <w:kern w:val="2"/>
                      <w:sz w:val="21"/>
                      <w:szCs w:val="21"/>
                    </w:rPr>
                    <w:t>。</w:t>
                  </w:r>
                </w:p>
              </w:tc>
              <w:tc>
                <w:tcPr>
                  <w:tcW w:w="4067" w:type="dxa"/>
                  <w:vAlign w:val="center"/>
                </w:tcPr>
                <w:p w14:paraId="4BDFB935">
                  <w:pPr>
                    <w:spacing w:after="0"/>
                    <w:jc w:val="both"/>
                    <w:rPr>
                      <w:rFonts w:ascii="宋体" w:hAnsi="宋体" w:eastAsia="宋体"/>
                      <w:color w:val="auto"/>
                      <w:kern w:val="2"/>
                      <w:sz w:val="21"/>
                      <w:szCs w:val="21"/>
                    </w:rPr>
                  </w:pPr>
                  <w:r>
                    <w:rPr>
                      <w:rFonts w:hint="eastAsia" w:ascii="宋体" w:hAnsi="宋体" w:eastAsia="宋体"/>
                      <w:color w:val="auto"/>
                      <w:kern w:val="2"/>
                      <w:sz w:val="21"/>
                      <w:szCs w:val="21"/>
                    </w:rPr>
                    <w:t>本项目符合</w:t>
                  </w:r>
                  <w:r>
                    <w:rPr>
                      <w:rFonts w:ascii="宋体" w:hAnsi="宋体" w:eastAsia="宋体"/>
                      <w:color w:val="auto"/>
                      <w:kern w:val="2"/>
                      <w:sz w:val="21"/>
                      <w:szCs w:val="21"/>
                    </w:rPr>
                    <w:t>其他环境保护法律法规规章</w:t>
                  </w:r>
                  <w:r>
                    <w:rPr>
                      <w:rFonts w:hint="eastAsia" w:ascii="宋体" w:hAnsi="宋体" w:eastAsia="宋体"/>
                      <w:color w:val="auto"/>
                      <w:kern w:val="2"/>
                      <w:sz w:val="21"/>
                      <w:szCs w:val="21"/>
                    </w:rPr>
                    <w:t>的</w:t>
                  </w:r>
                  <w:r>
                    <w:rPr>
                      <w:rFonts w:ascii="宋体" w:hAnsi="宋体" w:eastAsia="宋体"/>
                      <w:color w:val="auto"/>
                      <w:kern w:val="2"/>
                      <w:sz w:val="21"/>
                      <w:szCs w:val="21"/>
                    </w:rPr>
                    <w:t>规定</w:t>
                  </w:r>
                  <w:r>
                    <w:rPr>
                      <w:rFonts w:hint="eastAsia" w:ascii="宋体" w:hAnsi="宋体" w:eastAsia="宋体"/>
                      <w:color w:val="auto"/>
                      <w:kern w:val="2"/>
                      <w:sz w:val="21"/>
                      <w:szCs w:val="21"/>
                    </w:rPr>
                    <w:t>。</w:t>
                  </w:r>
                </w:p>
              </w:tc>
              <w:tc>
                <w:tcPr>
                  <w:tcW w:w="758" w:type="dxa"/>
                  <w:vAlign w:val="center"/>
                </w:tcPr>
                <w:p w14:paraId="222AE1FD">
                  <w:pPr>
                    <w:spacing w:after="0"/>
                    <w:jc w:val="center"/>
                    <w:rPr>
                      <w:rFonts w:ascii="宋体" w:hAnsi="宋体" w:eastAsia="宋体"/>
                      <w:color w:val="auto"/>
                      <w:kern w:val="2"/>
                      <w:sz w:val="21"/>
                      <w:szCs w:val="21"/>
                    </w:rPr>
                  </w:pPr>
                  <w:r>
                    <w:rPr>
                      <w:rFonts w:hint="eastAsia" w:ascii="宋体" w:hAnsi="宋体" w:eastAsia="宋体"/>
                      <w:color w:val="auto"/>
                      <w:kern w:val="2"/>
                      <w:sz w:val="21"/>
                      <w:szCs w:val="21"/>
                    </w:rPr>
                    <w:t>不涉及</w:t>
                  </w:r>
                </w:p>
              </w:tc>
            </w:tr>
          </w:tbl>
          <w:p w14:paraId="1807E94C">
            <w:pPr>
              <w:spacing w:after="0" w:line="460" w:lineRule="exact"/>
              <w:ind w:firstLine="480" w:firstLineChars="200"/>
              <w:jc w:val="both"/>
              <w:textAlignment w:val="baseline"/>
              <w:rPr>
                <w:rFonts w:hint="eastAsia" w:eastAsia="宋体"/>
                <w:bCs/>
                <w:color w:val="auto"/>
                <w:kern w:val="2"/>
                <w:sz w:val="24"/>
                <w:szCs w:val="24"/>
              </w:rPr>
            </w:pPr>
          </w:p>
          <w:p w14:paraId="30E52181">
            <w:pPr>
              <w:pStyle w:val="18"/>
              <w:rPr>
                <w:rFonts w:hint="eastAsia" w:eastAsia="宋体"/>
                <w:bCs/>
                <w:color w:val="auto"/>
                <w:kern w:val="2"/>
                <w:sz w:val="24"/>
                <w:szCs w:val="24"/>
              </w:rPr>
            </w:pPr>
          </w:p>
          <w:p w14:paraId="6AB4C7A1">
            <w:pPr>
              <w:rPr>
                <w:rFonts w:hint="eastAsia" w:eastAsia="宋体"/>
                <w:bCs/>
                <w:color w:val="auto"/>
                <w:kern w:val="2"/>
                <w:sz w:val="24"/>
                <w:szCs w:val="24"/>
              </w:rPr>
            </w:pPr>
          </w:p>
          <w:p w14:paraId="6D33973E">
            <w:pPr>
              <w:pStyle w:val="18"/>
              <w:rPr>
                <w:rFonts w:hint="eastAsia" w:eastAsia="宋体"/>
                <w:bCs/>
                <w:color w:val="auto"/>
                <w:kern w:val="2"/>
                <w:sz w:val="24"/>
                <w:szCs w:val="24"/>
              </w:rPr>
            </w:pPr>
          </w:p>
          <w:p w14:paraId="1CC21C76">
            <w:pPr>
              <w:rPr>
                <w:rFonts w:hint="eastAsia" w:eastAsia="宋体"/>
                <w:bCs/>
                <w:color w:val="auto"/>
                <w:kern w:val="2"/>
                <w:sz w:val="24"/>
                <w:szCs w:val="24"/>
              </w:rPr>
            </w:pPr>
          </w:p>
          <w:p w14:paraId="19A73EDF">
            <w:pPr>
              <w:pStyle w:val="18"/>
              <w:rPr>
                <w:rFonts w:hint="eastAsia" w:eastAsia="宋体"/>
                <w:bCs/>
                <w:color w:val="auto"/>
                <w:kern w:val="2"/>
                <w:sz w:val="24"/>
                <w:szCs w:val="24"/>
              </w:rPr>
            </w:pPr>
          </w:p>
          <w:p w14:paraId="6A2D5FCE">
            <w:pPr>
              <w:rPr>
                <w:rFonts w:hint="eastAsia" w:eastAsia="宋体"/>
                <w:bCs/>
                <w:color w:val="auto"/>
                <w:kern w:val="2"/>
                <w:sz w:val="24"/>
                <w:szCs w:val="24"/>
              </w:rPr>
            </w:pPr>
          </w:p>
          <w:p w14:paraId="43BA2941">
            <w:pPr>
              <w:pStyle w:val="18"/>
              <w:rPr>
                <w:rFonts w:hint="eastAsia" w:eastAsia="宋体"/>
                <w:bCs/>
                <w:color w:val="auto"/>
                <w:kern w:val="2"/>
                <w:sz w:val="24"/>
                <w:szCs w:val="24"/>
              </w:rPr>
            </w:pPr>
          </w:p>
          <w:p w14:paraId="2835A645">
            <w:pPr>
              <w:rPr>
                <w:rFonts w:hint="eastAsia" w:eastAsia="宋体"/>
                <w:bCs/>
                <w:color w:val="auto"/>
                <w:kern w:val="2"/>
                <w:sz w:val="24"/>
                <w:szCs w:val="24"/>
              </w:rPr>
            </w:pPr>
          </w:p>
          <w:p w14:paraId="46A3FE8E">
            <w:pPr>
              <w:pStyle w:val="18"/>
              <w:rPr>
                <w:rFonts w:hint="eastAsia" w:eastAsia="宋体"/>
                <w:bCs/>
                <w:color w:val="auto"/>
                <w:kern w:val="2"/>
                <w:sz w:val="24"/>
                <w:szCs w:val="24"/>
              </w:rPr>
            </w:pPr>
          </w:p>
          <w:p w14:paraId="7549F546">
            <w:pPr>
              <w:rPr>
                <w:rFonts w:hint="eastAsia"/>
              </w:rPr>
            </w:pPr>
          </w:p>
          <w:p w14:paraId="2B004E84">
            <w:pPr>
              <w:spacing w:after="0" w:line="460" w:lineRule="exact"/>
              <w:ind w:firstLine="480" w:firstLineChars="200"/>
              <w:jc w:val="both"/>
              <w:textAlignment w:val="baseline"/>
              <w:rPr>
                <w:rFonts w:hint="eastAsia" w:eastAsia="宋体"/>
                <w:bCs/>
                <w:color w:val="auto"/>
                <w:kern w:val="2"/>
                <w:sz w:val="24"/>
                <w:szCs w:val="24"/>
              </w:rPr>
            </w:pPr>
          </w:p>
          <w:p w14:paraId="0FC60467">
            <w:pPr>
              <w:widowControl w:val="0"/>
              <w:adjustRightInd/>
              <w:snapToGrid/>
              <w:spacing w:after="0" w:line="520" w:lineRule="exact"/>
              <w:jc w:val="both"/>
              <w:textAlignment w:val="baseline"/>
              <w:rPr>
                <w:rFonts w:eastAsia="仿宋_GB2312"/>
                <w:color w:val="auto"/>
                <w:sz w:val="21"/>
                <w:szCs w:val="21"/>
              </w:rPr>
            </w:pPr>
          </w:p>
        </w:tc>
      </w:tr>
    </w:tbl>
    <w:p w14:paraId="2E953145">
      <w:pPr>
        <w:spacing w:after="0" w:line="360" w:lineRule="auto"/>
        <w:rPr>
          <w:rFonts w:eastAsia="仿宋_GB2312"/>
          <w:b/>
          <w:color w:val="auto"/>
          <w:sz w:val="21"/>
          <w:szCs w:val="21"/>
        </w:rPr>
        <w:sectPr>
          <w:pgSz w:w="11906" w:h="16838"/>
          <w:pgMar w:top="1417" w:right="1417" w:bottom="1417" w:left="1417" w:header="708" w:footer="708" w:gutter="0"/>
          <w:pgBorders>
            <w:top w:val="none" w:sz="0" w:space="0"/>
            <w:left w:val="none" w:sz="0" w:space="0"/>
            <w:bottom w:val="none" w:sz="0" w:space="0"/>
            <w:right w:val="none" w:sz="0" w:space="0"/>
          </w:pgBorders>
          <w:cols w:space="720" w:num="1"/>
          <w:docGrid w:linePitch="360" w:charSpace="0"/>
        </w:sectPr>
      </w:pPr>
    </w:p>
    <w:p w14:paraId="2C8FFA89">
      <w:pPr>
        <w:spacing w:after="0" w:line="440" w:lineRule="exact"/>
        <w:rPr>
          <w:rFonts w:eastAsia="仿宋_GB2312"/>
          <w:b/>
          <w:color w:val="auto"/>
          <w:sz w:val="21"/>
          <w:szCs w:val="21"/>
        </w:rPr>
      </w:pPr>
      <w:r>
        <w:rPr>
          <w:rFonts w:eastAsia="仿宋_GB2312"/>
          <w:b/>
          <w:color w:val="auto"/>
          <w:sz w:val="21"/>
          <w:szCs w:val="21"/>
        </w:rPr>
        <w:t>表八</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1BE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2" w:hRule="atLeast"/>
          <w:jc w:val="center"/>
        </w:trPr>
        <w:tc>
          <w:tcPr>
            <w:tcW w:w="5000" w:type="pct"/>
          </w:tcPr>
          <w:p w14:paraId="2A8B24C6">
            <w:pPr>
              <w:spacing w:after="0" w:line="520" w:lineRule="exact"/>
              <w:jc w:val="both"/>
              <w:rPr>
                <w:rFonts w:eastAsia="黑体"/>
                <w:color w:val="auto"/>
                <w:sz w:val="24"/>
                <w:szCs w:val="24"/>
              </w:rPr>
            </w:pPr>
            <w:r>
              <w:rPr>
                <w:rFonts w:eastAsia="黑体"/>
                <w:color w:val="auto"/>
                <w:sz w:val="24"/>
                <w:szCs w:val="24"/>
              </w:rPr>
              <w:t>验收监测结论：</w:t>
            </w:r>
          </w:p>
          <w:p w14:paraId="370E92F3">
            <w:pPr>
              <w:spacing w:after="0" w:line="480" w:lineRule="exact"/>
              <w:ind w:firstLine="480" w:firstLineChars="200"/>
              <w:jc w:val="both"/>
              <w:textAlignment w:val="baseline"/>
              <w:rPr>
                <w:rFonts w:eastAsia="宋体"/>
                <w:color w:val="auto"/>
                <w:sz w:val="24"/>
                <w:szCs w:val="24"/>
              </w:rPr>
            </w:pPr>
            <w:bookmarkStart w:id="17" w:name="_Toc504492863"/>
            <w:bookmarkStart w:id="18" w:name="_Toc501703566"/>
            <w:r>
              <w:rPr>
                <w:rFonts w:eastAsia="宋体"/>
                <w:color w:val="auto"/>
                <w:sz w:val="24"/>
                <w:szCs w:val="24"/>
              </w:rPr>
              <w:t>1、环境保护设施调试效果</w:t>
            </w:r>
            <w:bookmarkEnd w:id="17"/>
            <w:bookmarkEnd w:id="18"/>
          </w:p>
          <w:p w14:paraId="45285802">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（1）验收监测期间，项目正常生产，各项污染防治设施运行稳定，符合验收监测期间对生产工况的要求。</w:t>
            </w:r>
          </w:p>
          <w:p w14:paraId="1ED6A200">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（2）</w:t>
            </w:r>
            <w:r>
              <w:rPr>
                <w:rFonts w:hint="eastAsia" w:eastAsia="宋体"/>
                <w:bCs/>
                <w:color w:val="auto"/>
                <w:kern w:val="2"/>
                <w:sz w:val="24"/>
                <w:szCs w:val="24"/>
              </w:rPr>
              <w:t>根据本项目实际建设情况与《污染影响类建设项目重大变动清单（试行）的通知》（环办环评函[2020]688号）的对比分析可知：本项目不存在重大变动，且本项目符合《建设项目竣工环境保护验收暂行办法》（国环规环评</w:t>
            </w:r>
            <w:r>
              <w:rPr>
                <w:rFonts w:hint="eastAsia" w:eastAsia="宋体"/>
                <w:bCs/>
                <w:color w:val="auto"/>
                <w:kern w:val="2"/>
                <w:sz w:val="24"/>
                <w:szCs w:val="24"/>
                <w:lang w:val="en-US" w:eastAsia="zh-CN"/>
              </w:rPr>
              <w:t>[</w:t>
            </w:r>
            <w:r>
              <w:rPr>
                <w:rFonts w:hint="eastAsia" w:eastAsia="宋体"/>
                <w:bCs/>
                <w:color w:val="auto"/>
                <w:kern w:val="2"/>
                <w:sz w:val="24"/>
                <w:szCs w:val="24"/>
              </w:rPr>
              <w:t>2017</w:t>
            </w:r>
            <w:r>
              <w:rPr>
                <w:rFonts w:hint="eastAsia" w:eastAsia="宋体"/>
                <w:bCs/>
                <w:color w:val="auto"/>
                <w:kern w:val="2"/>
                <w:sz w:val="24"/>
                <w:szCs w:val="24"/>
                <w:lang w:val="en-US" w:eastAsia="zh-CN"/>
              </w:rPr>
              <w:t>]</w:t>
            </w:r>
            <w:r>
              <w:rPr>
                <w:rFonts w:hint="eastAsia" w:eastAsia="宋体"/>
                <w:bCs/>
                <w:color w:val="auto"/>
                <w:kern w:val="2"/>
                <w:sz w:val="24"/>
                <w:szCs w:val="24"/>
              </w:rPr>
              <w:t>4号），满足验收条件。</w:t>
            </w:r>
          </w:p>
          <w:p w14:paraId="2B118CF4">
            <w:pPr>
              <w:spacing w:after="0" w:line="460" w:lineRule="exact"/>
              <w:ind w:firstLine="480" w:firstLineChars="200"/>
              <w:jc w:val="both"/>
              <w:textAlignment w:val="baseline"/>
              <w:rPr>
                <w:rFonts w:eastAsia="宋体"/>
                <w:bCs/>
                <w:color w:val="auto"/>
                <w:kern w:val="2"/>
                <w:sz w:val="24"/>
                <w:szCs w:val="24"/>
              </w:rPr>
            </w:pPr>
            <w:r>
              <w:rPr>
                <w:rFonts w:eastAsia="宋体"/>
                <w:bCs/>
                <w:color w:val="auto"/>
                <w:kern w:val="2"/>
                <w:sz w:val="24"/>
                <w:szCs w:val="24"/>
              </w:rPr>
              <w:t>（3）</w:t>
            </w:r>
            <w:r>
              <w:rPr>
                <w:rFonts w:hint="eastAsia" w:eastAsia="宋体"/>
                <w:bCs/>
                <w:color w:val="auto"/>
                <w:kern w:val="2"/>
                <w:sz w:val="24"/>
                <w:szCs w:val="24"/>
                <w:lang w:val="en-US" w:eastAsia="zh-CN"/>
              </w:rPr>
              <w:t>废气：</w:t>
            </w:r>
            <w:r>
              <w:rPr>
                <w:rFonts w:hint="eastAsia" w:eastAsia="宋体"/>
                <w:color w:val="auto"/>
                <w:kern w:val="2"/>
                <w:sz w:val="24"/>
                <w:szCs w:val="20"/>
                <w:lang w:val="en-US" w:eastAsia="zh-CN"/>
              </w:rPr>
              <w:t>本项目废气主要来源于危废暂存间废气及储罐废气。危废暂存间废气经密闭间+集气罩收集后于储罐废气一同进入二级活性炭装置处理，废气经处理后通过1根15m高排气筒DA001排放</w:t>
            </w:r>
            <w:r>
              <w:rPr>
                <w:rFonts w:hint="eastAsia" w:eastAsia="宋体"/>
                <w:color w:val="auto"/>
                <w:kern w:val="2"/>
                <w:sz w:val="24"/>
                <w:szCs w:val="20"/>
                <w:lang w:val="zh-CN"/>
              </w:rPr>
              <w:t>。</w:t>
            </w:r>
          </w:p>
          <w:p w14:paraId="400E2BAA">
            <w:pPr>
              <w:spacing w:after="0" w:line="460" w:lineRule="exact"/>
              <w:ind w:firstLine="480" w:firstLineChars="200"/>
              <w:jc w:val="both"/>
              <w:textAlignment w:val="baseline"/>
              <w:rPr>
                <w:rFonts w:ascii="Times New Roman" w:hAnsi="Times New Roman" w:eastAsia="宋体"/>
                <w:bCs/>
                <w:color w:val="auto"/>
                <w:sz w:val="24"/>
                <w:szCs w:val="24"/>
              </w:rPr>
            </w:pPr>
            <w:bookmarkStart w:id="19" w:name="_Hlk162341755"/>
            <w:r>
              <w:rPr>
                <w:rFonts w:ascii="Times New Roman" w:hAnsi="Times New Roman" w:eastAsia="宋体"/>
                <w:bCs/>
                <w:color w:val="auto"/>
                <w:sz w:val="24"/>
                <w:szCs w:val="24"/>
              </w:rPr>
              <w:t>根据验收检测数据可知</w:t>
            </w:r>
            <w:r>
              <w:rPr>
                <w:rFonts w:hint="eastAsia" w:ascii="Times New Roman" w:hAnsi="Times New Roman" w:eastAsia="宋体"/>
                <w:bCs/>
                <w:color w:val="auto"/>
                <w:sz w:val="24"/>
                <w:szCs w:val="24"/>
              </w:rPr>
              <w:t>，本项目非甲烷总烃经处理后</w:t>
            </w:r>
            <w:r>
              <w:rPr>
                <w:rFonts w:hint="eastAsia" w:ascii="Times New Roman" w:hAnsi="Times New Roman" w:eastAsia="宋体"/>
                <w:bCs/>
                <w:color w:val="auto"/>
                <w:sz w:val="24"/>
                <w:szCs w:val="24"/>
                <w:lang w:val="en-US" w:eastAsia="zh-CN"/>
              </w:rPr>
              <w:t>最大排放浓度为7.29</w:t>
            </w:r>
            <w:r>
              <w:rPr>
                <w:rFonts w:hint="eastAsia" w:ascii="Times New Roman" w:hAnsi="Times New Roman" w:eastAsia="宋体"/>
                <w:bCs/>
                <w:color w:val="auto"/>
                <w:sz w:val="24"/>
                <w:szCs w:val="24"/>
              </w:rPr>
              <w:t>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lang w:val="en-US" w:eastAsia="zh-CN"/>
              </w:rPr>
              <w:t>，最大排放速率为0.0307kg/h，</w:t>
            </w:r>
            <w:r>
              <w:rPr>
                <w:rFonts w:hint="eastAsia" w:ascii="Times New Roman" w:hAnsi="Times New Roman" w:eastAsia="宋体"/>
                <w:bCs/>
                <w:color w:val="auto"/>
                <w:sz w:val="24"/>
                <w:szCs w:val="24"/>
              </w:rPr>
              <w:t>满足《大气污染物综合排放标准》（GB16297-1996）非甲烷总烃有组织排放浓度120mg/m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rPr>
              <w:t>、排放速率10kg/h（15m高排气筒）的标准要求；同时满足《关于全省开展工业企业挥发性有机物专项治理工作中排放建议值的通知》（豫环攻坚办〔2017〕162号）其他行业80mg/m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rPr>
              <w:t>的限值要求，同时满足《河南省重污染天气通用行业应急减排措施制定技术指南（2024年修订版）》中涉VOCs行业NMHC排放限值不高于30mg/m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rPr>
              <w:t>的要求。</w:t>
            </w:r>
          </w:p>
          <w:p w14:paraId="4A825C6C">
            <w:pPr>
              <w:spacing w:after="0" w:line="460" w:lineRule="exact"/>
              <w:ind w:firstLine="480" w:firstLineChars="200"/>
              <w:jc w:val="both"/>
              <w:textAlignment w:val="baseline"/>
              <w:rPr>
                <w:rFonts w:eastAsia="宋体"/>
                <w:bCs/>
                <w:color w:val="auto"/>
                <w:kern w:val="2"/>
                <w:sz w:val="24"/>
                <w:szCs w:val="24"/>
              </w:rPr>
            </w:pPr>
            <w:r>
              <w:rPr>
                <w:rFonts w:hint="eastAsia" w:eastAsia="宋体"/>
                <w:bCs/>
                <w:color w:val="auto"/>
                <w:sz w:val="24"/>
                <w:szCs w:val="24"/>
              </w:rPr>
              <w:t>本项目厂界</w:t>
            </w:r>
            <w:r>
              <w:rPr>
                <w:rFonts w:hint="eastAsia" w:eastAsia="宋体"/>
                <w:bCs/>
                <w:color w:val="auto"/>
                <w:sz w:val="24"/>
                <w:szCs w:val="24"/>
                <w:lang w:val="en-US" w:eastAsia="zh-CN"/>
              </w:rPr>
              <w:t>非甲烷总烃</w:t>
            </w:r>
            <w:r>
              <w:rPr>
                <w:rFonts w:hint="eastAsia" w:eastAsia="宋体"/>
                <w:bCs/>
                <w:color w:val="auto"/>
                <w:sz w:val="24"/>
                <w:szCs w:val="24"/>
              </w:rPr>
              <w:t>上风向、下风向无组织浓度值范围为：</w:t>
            </w:r>
            <w:r>
              <w:rPr>
                <w:rFonts w:hint="eastAsia" w:eastAsia="宋体"/>
                <w:bCs/>
                <w:color w:val="auto"/>
                <w:sz w:val="24"/>
                <w:szCs w:val="24"/>
                <w:lang w:val="en-US" w:eastAsia="zh-CN"/>
              </w:rPr>
              <w:t>0.56-0.74</w:t>
            </w:r>
            <w:r>
              <w:rPr>
                <w:rFonts w:eastAsia="宋体"/>
                <w:bCs/>
                <w:color w:val="auto"/>
                <w:sz w:val="24"/>
                <w:szCs w:val="24"/>
              </w:rPr>
              <w:t>mg/m</w:t>
            </w:r>
            <w:r>
              <w:rPr>
                <w:rFonts w:eastAsia="宋体"/>
                <w:bCs/>
                <w:color w:val="auto"/>
                <w:sz w:val="24"/>
                <w:szCs w:val="24"/>
                <w:vertAlign w:val="superscript"/>
              </w:rPr>
              <w:t>3</w:t>
            </w:r>
            <w:r>
              <w:rPr>
                <w:rFonts w:hint="eastAsia" w:eastAsia="宋体"/>
                <w:bCs/>
                <w:color w:val="auto"/>
                <w:sz w:val="24"/>
                <w:szCs w:val="24"/>
              </w:rPr>
              <w:t>，排放浓度能够满足《关于全省开展工业企业挥发性有机物专项治理工作中排放建议值的通知》（豫环攻坚办[2017]162号）中工业企业边界排放浓度2.0mg/m</w:t>
            </w:r>
            <w:r>
              <w:rPr>
                <w:rFonts w:hint="eastAsia" w:eastAsia="宋体"/>
                <w:bCs/>
                <w:color w:val="auto"/>
                <w:sz w:val="24"/>
                <w:szCs w:val="24"/>
                <w:vertAlign w:val="superscript"/>
              </w:rPr>
              <w:t>3</w:t>
            </w:r>
            <w:r>
              <w:rPr>
                <w:rFonts w:hint="eastAsia" w:eastAsia="宋体"/>
                <w:bCs/>
                <w:color w:val="auto"/>
                <w:sz w:val="24"/>
                <w:szCs w:val="24"/>
              </w:rPr>
              <w:t>的标准要求。</w:t>
            </w:r>
          </w:p>
          <w:bookmarkEnd w:id="19"/>
          <w:p w14:paraId="20841D91">
            <w:pPr>
              <w:spacing w:after="0" w:line="460" w:lineRule="exact"/>
              <w:ind w:firstLine="480" w:firstLineChars="200"/>
              <w:jc w:val="both"/>
              <w:textAlignment w:val="baseline"/>
              <w:rPr>
                <w:rFonts w:eastAsia="宋体"/>
                <w:bCs/>
                <w:color w:val="auto"/>
                <w:kern w:val="2"/>
                <w:sz w:val="24"/>
                <w:szCs w:val="24"/>
              </w:rPr>
            </w:pPr>
            <w:r>
              <w:rPr>
                <w:rFonts w:hint="eastAsia" w:eastAsia="宋体"/>
                <w:bCs/>
                <w:color w:val="auto"/>
                <w:kern w:val="2"/>
                <w:sz w:val="24"/>
                <w:szCs w:val="24"/>
                <w:lang w:eastAsia="zh-CN"/>
              </w:rPr>
              <w:t>（</w:t>
            </w:r>
            <w:r>
              <w:rPr>
                <w:rFonts w:hint="eastAsia" w:eastAsia="宋体"/>
                <w:bCs/>
                <w:color w:val="auto"/>
                <w:kern w:val="2"/>
                <w:sz w:val="24"/>
                <w:szCs w:val="24"/>
                <w:lang w:val="en-US" w:eastAsia="zh-CN"/>
              </w:rPr>
              <w:t>4</w:t>
            </w:r>
            <w:r>
              <w:rPr>
                <w:rFonts w:hint="eastAsia" w:eastAsia="宋体"/>
                <w:bCs/>
                <w:color w:val="auto"/>
                <w:kern w:val="2"/>
                <w:sz w:val="24"/>
                <w:szCs w:val="24"/>
                <w:lang w:eastAsia="zh-CN"/>
              </w:rPr>
              <w:t>）</w:t>
            </w:r>
            <w:r>
              <w:rPr>
                <w:rFonts w:eastAsia="宋体"/>
                <w:bCs/>
                <w:color w:val="auto"/>
                <w:kern w:val="2"/>
                <w:sz w:val="24"/>
                <w:szCs w:val="24"/>
              </w:rPr>
              <w:t>噪声：</w:t>
            </w:r>
            <w:r>
              <w:rPr>
                <w:rFonts w:hint="eastAsia" w:eastAsia="宋体"/>
                <w:color w:val="auto"/>
                <w:sz w:val="24"/>
                <w:szCs w:val="24"/>
              </w:rPr>
              <w:t>验收检测期间，</w:t>
            </w:r>
            <w:r>
              <w:rPr>
                <w:rFonts w:eastAsia="宋体"/>
                <w:bCs/>
                <w:color w:val="auto"/>
                <w:kern w:val="2"/>
                <w:sz w:val="24"/>
                <w:szCs w:val="24"/>
              </w:rPr>
              <w:t>本项目</w:t>
            </w:r>
            <w:r>
              <w:rPr>
                <w:rFonts w:eastAsia="宋体"/>
                <w:bCs/>
                <w:color w:val="auto"/>
                <w:sz w:val="24"/>
                <w:szCs w:val="24"/>
              </w:rPr>
              <w:t>厂界昼间噪声值为</w:t>
            </w:r>
            <w:r>
              <w:rPr>
                <w:rFonts w:hint="eastAsia" w:eastAsia="宋体"/>
                <w:bCs/>
                <w:color w:val="auto"/>
                <w:sz w:val="24"/>
                <w:szCs w:val="24"/>
                <w:lang w:val="en-US" w:eastAsia="zh-CN"/>
              </w:rPr>
              <w:t>53-57</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hint="eastAsia" w:eastAsia="宋体"/>
                <w:bCs/>
                <w:color w:val="auto"/>
                <w:sz w:val="24"/>
                <w:szCs w:val="24"/>
                <w:lang w:eastAsia="zh-CN"/>
              </w:rPr>
              <w:t>、</w:t>
            </w:r>
            <w:r>
              <w:rPr>
                <w:rFonts w:hint="eastAsia" w:eastAsia="宋体"/>
                <w:bCs/>
                <w:color w:val="auto"/>
                <w:sz w:val="24"/>
                <w:szCs w:val="24"/>
                <w:lang w:val="en-US" w:eastAsia="zh-CN"/>
              </w:rPr>
              <w:t>夜间</w:t>
            </w:r>
            <w:r>
              <w:rPr>
                <w:rFonts w:eastAsia="宋体"/>
                <w:bCs/>
                <w:color w:val="auto"/>
                <w:sz w:val="24"/>
                <w:szCs w:val="24"/>
              </w:rPr>
              <w:t>噪声值为</w:t>
            </w:r>
            <w:r>
              <w:rPr>
                <w:rFonts w:hint="eastAsia" w:eastAsia="宋体"/>
                <w:bCs/>
                <w:color w:val="auto"/>
                <w:sz w:val="24"/>
                <w:szCs w:val="24"/>
                <w:lang w:val="en-US" w:eastAsia="zh-CN"/>
              </w:rPr>
              <w:t>43-45</w:t>
            </w:r>
            <w:r>
              <w:rPr>
                <w:rFonts w:eastAsia="宋体"/>
                <w:bCs/>
                <w:color w:val="auto"/>
                <w:sz w:val="24"/>
                <w:szCs w:val="24"/>
              </w:rPr>
              <w:t>dB</w:t>
            </w:r>
            <w:r>
              <w:rPr>
                <w:rFonts w:hint="eastAsia" w:eastAsia="宋体"/>
                <w:bCs/>
                <w:color w:val="auto"/>
                <w:sz w:val="24"/>
                <w:szCs w:val="24"/>
              </w:rPr>
              <w:t>(</w:t>
            </w:r>
            <w:r>
              <w:rPr>
                <w:rFonts w:eastAsia="宋体"/>
                <w:bCs/>
                <w:color w:val="auto"/>
                <w:sz w:val="24"/>
                <w:szCs w:val="24"/>
              </w:rPr>
              <w:t>A</w:t>
            </w:r>
            <w:r>
              <w:rPr>
                <w:rFonts w:hint="eastAsia" w:eastAsia="宋体"/>
                <w:bCs/>
                <w:color w:val="auto"/>
                <w:sz w:val="24"/>
                <w:szCs w:val="24"/>
              </w:rPr>
              <w:t>)，</w:t>
            </w:r>
            <w:r>
              <w:rPr>
                <w:rFonts w:eastAsia="宋体"/>
                <w:bCs/>
                <w:color w:val="auto"/>
                <w:kern w:val="2"/>
                <w:sz w:val="24"/>
                <w:szCs w:val="24"/>
              </w:rPr>
              <w:t>符合《工业企业厂界环境噪声排放标准》（GB12348-2008）</w:t>
            </w:r>
            <w:r>
              <w:rPr>
                <w:rFonts w:hint="eastAsia" w:eastAsia="宋体"/>
                <w:bCs/>
                <w:color w:val="auto"/>
                <w:kern w:val="2"/>
                <w:sz w:val="24"/>
                <w:szCs w:val="24"/>
                <w:lang w:val="en-US" w:eastAsia="zh-CN"/>
              </w:rPr>
              <w:t>2</w:t>
            </w:r>
            <w:r>
              <w:rPr>
                <w:rFonts w:eastAsia="宋体"/>
                <w:bCs/>
                <w:color w:val="auto"/>
                <w:kern w:val="2"/>
                <w:sz w:val="24"/>
                <w:szCs w:val="24"/>
              </w:rPr>
              <w:t>类标准：</w:t>
            </w:r>
            <w:r>
              <w:rPr>
                <w:rFonts w:hint="eastAsia" w:eastAsia="宋体"/>
                <w:bCs/>
                <w:color w:val="auto"/>
                <w:kern w:val="2"/>
                <w:sz w:val="24"/>
                <w:szCs w:val="24"/>
              </w:rPr>
              <w:t>昼间6</w:t>
            </w:r>
            <w:r>
              <w:rPr>
                <w:rFonts w:hint="eastAsia" w:eastAsia="宋体"/>
                <w:bCs/>
                <w:color w:val="auto"/>
                <w:kern w:val="2"/>
                <w:sz w:val="24"/>
                <w:szCs w:val="24"/>
                <w:lang w:val="en-US" w:eastAsia="zh-CN"/>
              </w:rPr>
              <w:t>0</w:t>
            </w:r>
            <w:r>
              <w:rPr>
                <w:rFonts w:hint="eastAsia" w:eastAsia="宋体"/>
                <w:bCs/>
                <w:color w:val="auto"/>
                <w:kern w:val="2"/>
                <w:sz w:val="24"/>
                <w:szCs w:val="24"/>
              </w:rPr>
              <w:t>dB(A)</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夜</w:t>
            </w:r>
            <w:r>
              <w:rPr>
                <w:rFonts w:hint="eastAsia" w:eastAsia="宋体"/>
                <w:bCs/>
                <w:color w:val="auto"/>
                <w:kern w:val="2"/>
                <w:sz w:val="24"/>
                <w:szCs w:val="24"/>
              </w:rPr>
              <w:t>间</w:t>
            </w:r>
            <w:r>
              <w:rPr>
                <w:rFonts w:hint="eastAsia" w:eastAsia="宋体"/>
                <w:bCs/>
                <w:color w:val="auto"/>
                <w:kern w:val="2"/>
                <w:sz w:val="24"/>
                <w:szCs w:val="24"/>
                <w:lang w:val="en-US" w:eastAsia="zh-CN"/>
              </w:rPr>
              <w:t>50</w:t>
            </w:r>
            <w:r>
              <w:rPr>
                <w:rFonts w:hint="eastAsia" w:eastAsia="宋体"/>
                <w:bCs/>
                <w:color w:val="auto"/>
                <w:kern w:val="2"/>
                <w:sz w:val="24"/>
                <w:szCs w:val="24"/>
              </w:rPr>
              <w:t>dB(A)</w:t>
            </w:r>
            <w:r>
              <w:rPr>
                <w:rFonts w:eastAsia="宋体"/>
                <w:bCs/>
                <w:color w:val="auto"/>
                <w:kern w:val="2"/>
                <w:sz w:val="24"/>
                <w:szCs w:val="24"/>
              </w:rPr>
              <w:t>的限值要求。</w:t>
            </w:r>
          </w:p>
          <w:p w14:paraId="2169C480">
            <w:pPr>
              <w:spacing w:after="0" w:line="460" w:lineRule="exact"/>
              <w:ind w:firstLine="480" w:firstLineChars="200"/>
              <w:jc w:val="both"/>
              <w:textAlignment w:val="baseline"/>
              <w:rPr>
                <w:rFonts w:hint="eastAsia" w:ascii="Times New Roman" w:hAnsi="Times New Roman" w:eastAsia="宋体"/>
                <w:color w:val="auto"/>
                <w:sz w:val="24"/>
                <w:szCs w:val="24"/>
              </w:rPr>
            </w:pPr>
            <w:r>
              <w:rPr>
                <w:rFonts w:hint="eastAsia" w:eastAsia="宋体"/>
                <w:bCs/>
                <w:color w:val="auto"/>
                <w:kern w:val="2"/>
                <w:sz w:val="24"/>
                <w:szCs w:val="24"/>
                <w:lang w:eastAsia="zh-CN"/>
              </w:rPr>
              <w:t>（</w:t>
            </w:r>
            <w:r>
              <w:rPr>
                <w:rFonts w:hint="eastAsia" w:eastAsia="宋体"/>
                <w:bCs/>
                <w:color w:val="auto"/>
                <w:kern w:val="2"/>
                <w:sz w:val="24"/>
                <w:szCs w:val="24"/>
                <w:lang w:val="en-US" w:eastAsia="zh-CN"/>
              </w:rPr>
              <w:t>5</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固废：</w:t>
            </w:r>
            <w:r>
              <w:rPr>
                <w:rFonts w:hint="eastAsia" w:ascii="Times New Roman" w:hAnsi="Times New Roman" w:eastAsia="宋体" w:cs="Times New Roman"/>
                <w:kern w:val="0"/>
                <w:sz w:val="24"/>
                <w:lang w:val="en-US" w:eastAsia="zh-CN"/>
              </w:rPr>
              <w:t>本项目产生的固体废物包括一般固废及危险废物。其中一般固废主要为职工生活垃圾，危险废物包括废活性炭、储罐底油、废含油抹布、废沙土。</w:t>
            </w:r>
            <w:r>
              <w:rPr>
                <w:rFonts w:hint="eastAsia" w:eastAsia="宋体"/>
                <w:color w:val="auto"/>
                <w:sz w:val="24"/>
                <w:szCs w:val="24"/>
                <w:lang w:val="en-US" w:eastAsia="zh-CN"/>
              </w:rPr>
              <w:t>一般固废经收集后于一般固废暂存间暂存，定期由环卫清运，</w:t>
            </w:r>
            <w:r>
              <w:rPr>
                <w:rFonts w:hint="eastAsia" w:ascii="Times New Roman" w:hAnsi="Times New Roman" w:eastAsia="宋体"/>
                <w:color w:val="auto"/>
                <w:sz w:val="24"/>
                <w:szCs w:val="24"/>
              </w:rPr>
              <w:t>危险废物分类分区收集至危废暂存</w:t>
            </w:r>
            <w:r>
              <w:rPr>
                <w:rFonts w:hint="eastAsia" w:eastAsia="宋体"/>
                <w:color w:val="auto"/>
                <w:sz w:val="24"/>
                <w:szCs w:val="24"/>
                <w:lang w:val="en-US" w:eastAsia="zh-CN"/>
              </w:rPr>
              <w:t>间</w:t>
            </w:r>
            <w:r>
              <w:rPr>
                <w:rFonts w:hint="eastAsia" w:ascii="Times New Roman" w:hAnsi="Times New Roman" w:eastAsia="宋体"/>
                <w:color w:val="auto"/>
                <w:sz w:val="24"/>
                <w:szCs w:val="24"/>
              </w:rPr>
              <w:t>暂存后，定期委托有相应处置资质的单位进行安全处置。</w:t>
            </w:r>
          </w:p>
          <w:p w14:paraId="3C292C4B">
            <w:pPr>
              <w:spacing w:after="0" w:line="460" w:lineRule="exact"/>
              <w:ind w:firstLine="480" w:firstLineChars="200"/>
              <w:jc w:val="both"/>
              <w:textAlignment w:val="baseline"/>
              <w:rPr>
                <w:rFonts w:hint="default" w:ascii="Times New Roman" w:hAnsi="Times New Roman" w:eastAsia="宋体"/>
                <w:color w:val="auto"/>
                <w:sz w:val="24"/>
                <w:szCs w:val="24"/>
                <w:lang w:val="en-US" w:eastAsia="zh-CN"/>
              </w:rPr>
            </w:pPr>
            <w:r>
              <w:rPr>
                <w:rFonts w:hint="default" w:ascii="Times New Roman" w:hAnsi="Times New Roman" w:eastAsia="宋体"/>
                <w:color w:val="auto"/>
                <w:sz w:val="24"/>
                <w:szCs w:val="24"/>
                <w:lang w:val="en-US" w:eastAsia="zh-CN"/>
              </w:rPr>
              <w:t>一般固废暂存间满足《一般工业固体废物贮存和填埋污染控制标准》（GB18599-2020）：一般工业固体废物贮存过程满足相应防渗漏、防雨淋、防扬尘等环境保护要求；危废贮存库满足《危险废物贮存污染控制标准》（GB18597-2023）的要求。危险废物在危废贮存库采用专用密闭容器储存，危废贮存库采取防风、防晒、防雨淋、防扬散、防流失、防渗漏措施。项目固体废物处置措施符合项目环评及环评批复文件的要求，满足相关环保要求。</w:t>
            </w:r>
            <w:bookmarkStart w:id="22" w:name="_GoBack"/>
            <w:bookmarkEnd w:id="22"/>
          </w:p>
          <w:p w14:paraId="0880D080">
            <w:pPr>
              <w:spacing w:after="0" w:line="460" w:lineRule="exact"/>
              <w:ind w:firstLine="480" w:firstLineChars="200"/>
              <w:jc w:val="both"/>
              <w:textAlignment w:val="baseline"/>
              <w:rPr>
                <w:rFonts w:hint="default" w:eastAsia="宋体"/>
                <w:bCs/>
                <w:color w:val="auto"/>
                <w:kern w:val="2"/>
                <w:sz w:val="24"/>
                <w:szCs w:val="24"/>
                <w:lang w:val="en-US" w:eastAsia="zh-CN"/>
              </w:rPr>
            </w:pPr>
            <w:r>
              <w:rPr>
                <w:rFonts w:hint="eastAsia" w:eastAsia="宋体"/>
                <w:bCs/>
                <w:color w:val="auto"/>
                <w:kern w:val="2"/>
                <w:sz w:val="24"/>
                <w:szCs w:val="24"/>
                <w:lang w:eastAsia="zh-CN"/>
              </w:rPr>
              <w:t>（</w:t>
            </w:r>
            <w:r>
              <w:rPr>
                <w:rFonts w:hint="eastAsia" w:eastAsia="宋体"/>
                <w:bCs/>
                <w:color w:val="auto"/>
                <w:kern w:val="2"/>
                <w:sz w:val="24"/>
                <w:szCs w:val="24"/>
                <w:lang w:val="en-US" w:eastAsia="zh-CN"/>
              </w:rPr>
              <w:t>6</w:t>
            </w:r>
            <w:r>
              <w:rPr>
                <w:rFonts w:hint="eastAsia" w:eastAsia="宋体"/>
                <w:bCs/>
                <w:color w:val="auto"/>
                <w:kern w:val="2"/>
                <w:sz w:val="24"/>
                <w:szCs w:val="24"/>
                <w:lang w:eastAsia="zh-CN"/>
              </w:rPr>
              <w:t>）</w:t>
            </w:r>
            <w:r>
              <w:rPr>
                <w:rFonts w:hint="eastAsia" w:eastAsia="宋体"/>
                <w:bCs/>
                <w:color w:val="auto"/>
                <w:kern w:val="2"/>
                <w:sz w:val="24"/>
                <w:szCs w:val="24"/>
                <w:lang w:val="en-US" w:eastAsia="zh-CN"/>
              </w:rPr>
              <w:t>总量：</w:t>
            </w:r>
            <w:r>
              <w:rPr>
                <w:rFonts w:hint="eastAsia" w:eastAsia="宋体"/>
                <w:bCs/>
                <w:color w:val="auto"/>
                <w:sz w:val="24"/>
                <w:szCs w:val="24"/>
                <w:lang w:val="en-US" w:eastAsia="zh-CN"/>
              </w:rPr>
              <w:t>本项目废气</w:t>
            </w:r>
            <w:r>
              <w:rPr>
                <w:rFonts w:hint="eastAsia" w:eastAsia="宋体"/>
                <w:bCs/>
                <w:color w:val="auto"/>
                <w:sz w:val="24"/>
                <w:szCs w:val="24"/>
              </w:rPr>
              <w:t>污染物排放总量：</w:t>
            </w:r>
            <w:r>
              <w:rPr>
                <w:rFonts w:hint="eastAsia" w:eastAsia="宋体"/>
                <w:bCs/>
                <w:color w:val="auto"/>
                <w:sz w:val="24"/>
                <w:szCs w:val="24"/>
                <w:lang w:val="en-US" w:eastAsia="zh-CN"/>
              </w:rPr>
              <w:t>非甲烷总烃0.2456</w:t>
            </w:r>
            <w:r>
              <w:rPr>
                <w:rFonts w:hint="eastAsia" w:eastAsia="宋体"/>
                <w:bCs/>
                <w:color w:val="auto"/>
                <w:sz w:val="24"/>
                <w:szCs w:val="24"/>
              </w:rPr>
              <w:t>t/a</w:t>
            </w:r>
            <w:r>
              <w:rPr>
                <w:rFonts w:hint="eastAsia" w:eastAsia="宋体"/>
                <w:bCs/>
                <w:color w:val="auto"/>
                <w:sz w:val="24"/>
                <w:szCs w:val="24"/>
                <w:lang w:eastAsia="zh-CN"/>
              </w:rPr>
              <w:t>，</w:t>
            </w:r>
            <w:r>
              <w:rPr>
                <w:rFonts w:hint="eastAsia" w:eastAsia="宋体"/>
                <w:bCs/>
                <w:color w:val="auto"/>
                <w:sz w:val="24"/>
                <w:szCs w:val="24"/>
                <w:lang w:val="en-US" w:eastAsia="zh-CN"/>
              </w:rPr>
              <w:t>满足环评中非甲烷总烃0.2736</w:t>
            </w:r>
            <w:r>
              <w:rPr>
                <w:rFonts w:hint="eastAsia" w:eastAsia="宋体"/>
                <w:bCs/>
                <w:color w:val="auto"/>
                <w:sz w:val="24"/>
                <w:szCs w:val="24"/>
              </w:rPr>
              <w:t>t/</w:t>
            </w:r>
            <w:r>
              <w:rPr>
                <w:rFonts w:hint="eastAsia" w:eastAsia="宋体"/>
                <w:bCs/>
                <w:color w:val="auto"/>
                <w:sz w:val="24"/>
                <w:szCs w:val="24"/>
                <w:lang w:val="en-US" w:eastAsia="zh-CN"/>
              </w:rPr>
              <w:t>a的总量控制指标。</w:t>
            </w:r>
          </w:p>
          <w:p w14:paraId="48A1B29B">
            <w:pPr>
              <w:spacing w:after="0" w:line="460" w:lineRule="exact"/>
              <w:ind w:firstLine="480" w:firstLineChars="200"/>
              <w:jc w:val="both"/>
              <w:textAlignment w:val="baseline"/>
              <w:rPr>
                <w:rFonts w:eastAsia="宋体"/>
                <w:bCs/>
                <w:color w:val="auto"/>
                <w:kern w:val="2"/>
                <w:sz w:val="24"/>
                <w:szCs w:val="24"/>
              </w:rPr>
            </w:pPr>
            <w:bookmarkStart w:id="20" w:name="_Toc504492864"/>
            <w:bookmarkStart w:id="21" w:name="_Toc501703567"/>
            <w:r>
              <w:rPr>
                <w:rFonts w:eastAsia="宋体"/>
                <w:bCs/>
                <w:color w:val="auto"/>
                <w:kern w:val="2"/>
                <w:sz w:val="24"/>
                <w:szCs w:val="24"/>
              </w:rPr>
              <w:t>2、环境管理检查结论</w:t>
            </w:r>
            <w:bookmarkEnd w:id="20"/>
            <w:bookmarkEnd w:id="21"/>
          </w:p>
          <w:p w14:paraId="33839CB2">
            <w:pPr>
              <w:spacing w:after="0" w:line="460" w:lineRule="exact"/>
              <w:ind w:firstLine="480" w:firstLineChars="200"/>
              <w:jc w:val="both"/>
              <w:textAlignment w:val="baseline"/>
              <w:rPr>
                <w:rFonts w:eastAsia="宋体"/>
                <w:bCs/>
                <w:color w:val="auto"/>
                <w:sz w:val="24"/>
                <w:szCs w:val="24"/>
              </w:rPr>
            </w:pPr>
            <w:r>
              <w:rPr>
                <w:rFonts w:eastAsia="宋体"/>
                <w:bCs/>
                <w:color w:val="auto"/>
                <w:kern w:val="2"/>
                <w:sz w:val="24"/>
                <w:szCs w:val="24"/>
              </w:rPr>
              <w:t>项目执行了环保“三同时”制度；按照有关规定建立了相关环境保护管理制度；由专人负责公司环境管理工作。</w:t>
            </w:r>
          </w:p>
        </w:tc>
      </w:tr>
    </w:tbl>
    <w:p w14:paraId="52B79047">
      <w:pPr>
        <w:rPr>
          <w:color w:val="auto"/>
        </w:rPr>
        <w:sectPr>
          <w:footerReference r:id="rId6" w:type="default"/>
          <w:pgSz w:w="11906" w:h="16838"/>
          <w:pgMar w:top="1417" w:right="1417" w:bottom="1417" w:left="1417" w:header="851" w:footer="992" w:gutter="0"/>
          <w:pgBorders>
            <w:top w:val="none" w:sz="0" w:space="0"/>
            <w:left w:val="none" w:sz="0" w:space="0"/>
            <w:bottom w:val="none" w:sz="0" w:space="0"/>
            <w:right w:val="none" w:sz="0" w:space="0"/>
          </w:pgBorders>
          <w:cols w:space="720" w:num="1"/>
          <w:docGrid w:type="lines" w:linePitch="312" w:charSpace="0"/>
        </w:sectPr>
      </w:pPr>
    </w:p>
    <w:p w14:paraId="6C333F6D">
      <w:pPr>
        <w:spacing w:after="0" w:line="280" w:lineRule="exact"/>
        <w:ind w:firstLine="422"/>
        <w:jc w:val="center"/>
        <w:rPr>
          <w:rFonts w:hint="eastAsia" w:ascii="Tahoma" w:hAnsi="Tahoma" w:cstheme="minorBidi"/>
          <w:b/>
          <w:bCs/>
          <w:color w:val="auto"/>
          <w:sz w:val="21"/>
          <w:szCs w:val="21"/>
          <w:highlight w:val="none"/>
        </w:rPr>
      </w:pPr>
      <w:r>
        <w:rPr>
          <w:rFonts w:hint="eastAsia" w:ascii="Tahoma" w:hAnsi="Tahoma" w:cstheme="minorBidi"/>
          <w:b/>
          <w:bCs/>
          <w:color w:val="auto"/>
          <w:sz w:val="21"/>
          <w:szCs w:val="21"/>
          <w:highlight w:val="none"/>
        </w:rPr>
        <w:t>建设项目工程竣工环境保护“三同时”验收登记表</w:t>
      </w:r>
    </w:p>
    <w:tbl>
      <w:tblPr>
        <w:tblStyle w:val="20"/>
        <w:tblpPr w:leftFromText="180" w:rightFromText="180" w:vertAnchor="text" w:horzAnchor="page" w:tblpX="1105" w:tblpY="435"/>
        <w:tblW w:w="1480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843"/>
        <w:gridCol w:w="709"/>
        <w:gridCol w:w="141"/>
        <w:gridCol w:w="1055"/>
        <w:gridCol w:w="570"/>
        <w:gridCol w:w="525"/>
        <w:gridCol w:w="495"/>
        <w:gridCol w:w="420"/>
        <w:gridCol w:w="1095"/>
        <w:gridCol w:w="863"/>
        <w:gridCol w:w="1356"/>
        <w:gridCol w:w="1186"/>
        <w:gridCol w:w="825"/>
        <w:gridCol w:w="900"/>
        <w:gridCol w:w="811"/>
        <w:gridCol w:w="247"/>
        <w:gridCol w:w="284"/>
        <w:gridCol w:w="338"/>
        <w:gridCol w:w="545"/>
      </w:tblGrid>
      <w:tr w14:paraId="6C333F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restart"/>
            <w:tcBorders>
              <w:top w:val="single" w:color="auto" w:sz="8" w:space="0"/>
            </w:tcBorders>
            <w:textDirection w:val="tbRlV"/>
            <w:vAlign w:val="center"/>
          </w:tcPr>
          <w:p w14:paraId="6C333F6E">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建设项目</w:t>
            </w:r>
          </w:p>
        </w:tc>
        <w:tc>
          <w:tcPr>
            <w:tcW w:w="1843" w:type="dxa"/>
            <w:tcBorders>
              <w:top w:val="single" w:color="auto" w:sz="8" w:space="0"/>
            </w:tcBorders>
            <w:vAlign w:val="center"/>
          </w:tcPr>
          <w:p w14:paraId="6C333F6F">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项目名称</w:t>
            </w:r>
          </w:p>
        </w:tc>
        <w:tc>
          <w:tcPr>
            <w:tcW w:w="3915" w:type="dxa"/>
            <w:gridSpan w:val="7"/>
            <w:tcBorders>
              <w:top w:val="single" w:color="auto" w:sz="8" w:space="0"/>
            </w:tcBorders>
            <w:vAlign w:val="center"/>
          </w:tcPr>
          <w:p w14:paraId="6C333F70">
            <w:pPr>
              <w:spacing w:after="0"/>
              <w:jc w:val="center"/>
              <w:rPr>
                <w:rFonts w:hint="eastAsia" w:ascii="Times New Roman" w:hAnsi="Times New Roman" w:eastAsia="宋体" w:cs="Times New Roman"/>
                <w:b/>
                <w:color w:val="auto"/>
                <w:kern w:val="2"/>
                <w:sz w:val="15"/>
                <w:szCs w:val="15"/>
                <w:highlight w:val="none"/>
                <w:lang w:eastAsia="zh-CN"/>
              </w:rPr>
            </w:pPr>
            <w:r>
              <w:rPr>
                <w:rFonts w:hint="eastAsia" w:eastAsia="宋体" w:cs="Times New Roman"/>
                <w:b w:val="0"/>
                <w:bCs/>
                <w:color w:val="auto"/>
                <w:sz w:val="15"/>
                <w:szCs w:val="15"/>
                <w:highlight w:val="none"/>
                <w:lang w:eastAsia="zh-CN"/>
              </w:rPr>
              <w:t>长垣市聚博环保科技有限公司年收集、贮存9860吨危险废物项目</w:t>
            </w:r>
          </w:p>
        </w:tc>
        <w:tc>
          <w:tcPr>
            <w:tcW w:w="1958" w:type="dxa"/>
            <w:gridSpan w:val="2"/>
            <w:tcBorders>
              <w:top w:val="single" w:color="auto" w:sz="8" w:space="0"/>
            </w:tcBorders>
            <w:vAlign w:val="center"/>
          </w:tcPr>
          <w:p w14:paraId="6C333F71">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项目代码</w:t>
            </w:r>
          </w:p>
        </w:tc>
        <w:tc>
          <w:tcPr>
            <w:tcW w:w="2542" w:type="dxa"/>
            <w:gridSpan w:val="2"/>
            <w:tcBorders>
              <w:top w:val="single" w:color="auto" w:sz="8" w:space="0"/>
            </w:tcBorders>
            <w:tcMar>
              <w:top w:w="0" w:type="dxa"/>
              <w:left w:w="57" w:type="dxa"/>
              <w:bottom w:w="0" w:type="dxa"/>
              <w:right w:w="57" w:type="dxa"/>
            </w:tcMar>
            <w:vAlign w:val="center"/>
          </w:tcPr>
          <w:p w14:paraId="6C333F7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2503-410728-04-01-544578</w:t>
            </w:r>
          </w:p>
        </w:tc>
        <w:tc>
          <w:tcPr>
            <w:tcW w:w="1725" w:type="dxa"/>
            <w:gridSpan w:val="2"/>
            <w:tcBorders>
              <w:top w:val="single" w:color="auto" w:sz="8" w:space="0"/>
            </w:tcBorders>
            <w:tcMar>
              <w:top w:w="0" w:type="dxa"/>
              <w:left w:w="57" w:type="dxa"/>
              <w:bottom w:w="0" w:type="dxa"/>
              <w:right w:w="57" w:type="dxa"/>
            </w:tcMar>
            <w:vAlign w:val="center"/>
          </w:tcPr>
          <w:p w14:paraId="6C333F73">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建设地点</w:t>
            </w:r>
          </w:p>
        </w:tc>
        <w:tc>
          <w:tcPr>
            <w:tcW w:w="2225" w:type="dxa"/>
            <w:gridSpan w:val="5"/>
            <w:tcBorders>
              <w:top w:val="single" w:color="auto" w:sz="8" w:space="0"/>
            </w:tcBorders>
            <w:tcMar>
              <w:top w:w="0" w:type="dxa"/>
              <w:left w:w="57" w:type="dxa"/>
              <w:bottom w:w="0" w:type="dxa"/>
              <w:right w:w="57" w:type="dxa"/>
            </w:tcMar>
            <w:vAlign w:val="center"/>
          </w:tcPr>
          <w:p w14:paraId="6C333F74">
            <w:pPr>
              <w:spacing w:after="0"/>
              <w:jc w:val="center"/>
              <w:rPr>
                <w:rFonts w:hint="eastAsia" w:ascii="Times New Roman" w:hAnsi="Times New Roman" w:eastAsia="宋体" w:cs="Times New Roman"/>
                <w:b/>
                <w:color w:val="auto"/>
                <w:kern w:val="2"/>
                <w:sz w:val="15"/>
                <w:szCs w:val="15"/>
                <w:highlight w:val="none"/>
                <w:lang w:eastAsia="zh-CN"/>
              </w:rPr>
            </w:pPr>
            <w:r>
              <w:rPr>
                <w:rFonts w:hint="eastAsia" w:eastAsia="宋体" w:cs="Times New Roman"/>
                <w:b w:val="0"/>
                <w:bCs/>
                <w:color w:val="auto"/>
                <w:sz w:val="15"/>
                <w:szCs w:val="15"/>
                <w:highlight w:val="none"/>
                <w:lang w:eastAsia="zh-CN"/>
              </w:rPr>
              <w:t>河南省新乡市长垣市南蒲小微创业园</w:t>
            </w:r>
          </w:p>
        </w:tc>
      </w:tr>
      <w:tr w14:paraId="6C333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601" w:type="dxa"/>
            <w:vMerge w:val="continue"/>
            <w:tcBorders>
              <w:top w:val="single" w:color="auto" w:sz="8" w:space="0"/>
            </w:tcBorders>
            <w:vAlign w:val="center"/>
          </w:tcPr>
          <w:p w14:paraId="6C333F76">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tcMar>
              <w:top w:w="0" w:type="dxa"/>
              <w:left w:w="57" w:type="dxa"/>
              <w:bottom w:w="0" w:type="dxa"/>
              <w:right w:w="57" w:type="dxa"/>
            </w:tcMar>
            <w:vAlign w:val="center"/>
          </w:tcPr>
          <w:p w14:paraId="6C333F77">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行业类别（分类管理名录）</w:t>
            </w:r>
          </w:p>
        </w:tc>
        <w:tc>
          <w:tcPr>
            <w:tcW w:w="3915" w:type="dxa"/>
            <w:gridSpan w:val="7"/>
            <w:tcMar>
              <w:top w:w="0" w:type="dxa"/>
              <w:left w:w="57" w:type="dxa"/>
              <w:bottom w:w="0" w:type="dxa"/>
              <w:right w:w="57" w:type="dxa"/>
            </w:tcMar>
            <w:vAlign w:val="center"/>
          </w:tcPr>
          <w:p w14:paraId="6C333F78">
            <w:pPr>
              <w:spacing w:after="0"/>
              <w:jc w:val="center"/>
              <w:rPr>
                <w:rFonts w:hint="default" w:ascii="Times New Roman" w:hAnsi="Times New Roman" w:eastAsia="宋体" w:cs="Times New Roman"/>
                <w:b w:val="0"/>
                <w:bCs/>
                <w:color w:val="auto"/>
                <w:sz w:val="15"/>
                <w:szCs w:val="15"/>
                <w:highlight w:val="none"/>
              </w:rPr>
            </w:pPr>
            <w:r>
              <w:rPr>
                <w:rFonts w:hint="default" w:ascii="Times New Roman" w:hAnsi="Times New Roman" w:eastAsia="宋体" w:cs="Times New Roman"/>
                <w:b w:val="0"/>
                <w:bCs/>
                <w:color w:val="auto"/>
                <w:sz w:val="15"/>
                <w:szCs w:val="15"/>
                <w:highlight w:val="none"/>
              </w:rPr>
              <w:t>N7724危险废物治理</w:t>
            </w:r>
          </w:p>
        </w:tc>
        <w:tc>
          <w:tcPr>
            <w:tcW w:w="1958" w:type="dxa"/>
            <w:gridSpan w:val="2"/>
            <w:tcMar>
              <w:top w:w="0" w:type="dxa"/>
              <w:left w:w="57" w:type="dxa"/>
              <w:bottom w:w="0" w:type="dxa"/>
              <w:right w:w="57" w:type="dxa"/>
            </w:tcMar>
            <w:vAlign w:val="center"/>
          </w:tcPr>
          <w:p w14:paraId="6C333F79">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建设性质</w:t>
            </w:r>
          </w:p>
        </w:tc>
        <w:tc>
          <w:tcPr>
            <w:tcW w:w="4267" w:type="dxa"/>
            <w:gridSpan w:val="4"/>
            <w:tcMar>
              <w:top w:w="0" w:type="dxa"/>
              <w:left w:w="57" w:type="dxa"/>
              <w:bottom w:w="0" w:type="dxa"/>
              <w:right w:w="57" w:type="dxa"/>
            </w:tcMar>
            <w:vAlign w:val="center"/>
          </w:tcPr>
          <w:p w14:paraId="6C333F7A">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val="0"/>
                <w:bCs/>
                <w:color w:val="auto"/>
                <w:kern w:val="2"/>
                <w:sz w:val="15"/>
                <w:szCs w:val="15"/>
                <w:highlight w:val="none"/>
              </w:rPr>
              <w:sym w:font="Wingdings 2" w:char="00A3"/>
            </w:r>
            <w:r>
              <w:rPr>
                <w:rFonts w:hint="default" w:ascii="Times New Roman" w:hAnsi="Times New Roman" w:eastAsia="宋体" w:cs="Times New Roman"/>
                <w:b w:val="0"/>
                <w:bCs/>
                <w:color w:val="auto"/>
                <w:kern w:val="2"/>
                <w:sz w:val="15"/>
                <w:szCs w:val="15"/>
                <w:highlight w:val="none"/>
              </w:rPr>
              <w:t xml:space="preserve">新建  </w:t>
            </w:r>
            <w:r>
              <w:rPr>
                <w:rFonts w:hint="default" w:ascii="Times New Roman" w:hAnsi="Times New Roman" w:eastAsia="宋体" w:cs="Times New Roman"/>
                <w:b w:val="0"/>
                <w:bCs/>
                <w:color w:val="auto"/>
                <w:kern w:val="2"/>
                <w:sz w:val="15"/>
                <w:szCs w:val="15"/>
                <w:highlight w:val="none"/>
              </w:rPr>
              <w:sym w:font="Wingdings 2" w:char="0052"/>
            </w:r>
            <w:r>
              <w:rPr>
                <w:rFonts w:hint="default" w:ascii="Times New Roman" w:hAnsi="Times New Roman" w:eastAsia="宋体" w:cs="Times New Roman"/>
                <w:b w:val="0"/>
                <w:bCs/>
                <w:color w:val="auto"/>
                <w:kern w:val="2"/>
                <w:sz w:val="15"/>
                <w:szCs w:val="15"/>
                <w:highlight w:val="none"/>
              </w:rPr>
              <w:t xml:space="preserve">改扩建  </w:t>
            </w:r>
            <w:r>
              <w:rPr>
                <w:rFonts w:hint="default" w:ascii="Times New Roman" w:hAnsi="Times New Roman" w:eastAsia="宋体" w:cs="Times New Roman"/>
                <w:b w:val="0"/>
                <w:bCs/>
                <w:color w:val="auto"/>
                <w:kern w:val="2"/>
                <w:sz w:val="15"/>
                <w:szCs w:val="15"/>
                <w:highlight w:val="none"/>
              </w:rPr>
              <w:sym w:font="Wingdings 2" w:char="00A3"/>
            </w:r>
            <w:r>
              <w:rPr>
                <w:rFonts w:hint="default" w:ascii="Times New Roman" w:hAnsi="Times New Roman" w:eastAsia="宋体" w:cs="Times New Roman"/>
                <w:b w:val="0"/>
                <w:bCs/>
                <w:color w:val="auto"/>
                <w:kern w:val="2"/>
                <w:sz w:val="15"/>
                <w:szCs w:val="15"/>
                <w:highlight w:val="none"/>
              </w:rPr>
              <w:t>技术改造</w:t>
            </w:r>
          </w:p>
        </w:tc>
        <w:tc>
          <w:tcPr>
            <w:tcW w:w="1058" w:type="dxa"/>
            <w:gridSpan w:val="2"/>
            <w:tcMar>
              <w:top w:w="0" w:type="dxa"/>
              <w:left w:w="57" w:type="dxa"/>
              <w:bottom w:w="0" w:type="dxa"/>
              <w:right w:w="57" w:type="dxa"/>
            </w:tcMar>
            <w:vAlign w:val="center"/>
          </w:tcPr>
          <w:p w14:paraId="6C333F7B">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项目厂区中心经度/纬度</w:t>
            </w:r>
          </w:p>
        </w:tc>
        <w:tc>
          <w:tcPr>
            <w:tcW w:w="1167" w:type="dxa"/>
            <w:gridSpan w:val="3"/>
            <w:tcMar>
              <w:top w:w="0" w:type="dxa"/>
              <w:left w:w="57" w:type="dxa"/>
              <w:bottom w:w="0" w:type="dxa"/>
              <w:right w:w="57" w:type="dxa"/>
            </w:tcMar>
            <w:vAlign w:val="center"/>
          </w:tcPr>
          <w:p w14:paraId="6C333F7C">
            <w:pPr>
              <w:spacing w:after="0"/>
              <w:jc w:val="center"/>
              <w:rPr>
                <w:rFonts w:hint="default" w:ascii="Times New Roman" w:hAnsi="Times New Roman" w:eastAsia="宋体" w:cs="Times New Roman"/>
                <w:b w:val="0"/>
                <w:bCs/>
                <w:color w:val="auto"/>
                <w:sz w:val="15"/>
                <w:szCs w:val="15"/>
                <w:highlight w:val="none"/>
              </w:rPr>
            </w:pPr>
            <w:r>
              <w:rPr>
                <w:rFonts w:hint="default" w:ascii="Times New Roman" w:hAnsi="Times New Roman" w:eastAsia="宋体" w:cs="Times New Roman"/>
                <w:b w:val="0"/>
                <w:bCs/>
                <w:color w:val="auto"/>
                <w:sz w:val="15"/>
                <w:szCs w:val="15"/>
                <w:highlight w:val="none"/>
              </w:rPr>
              <w:t>E</w:t>
            </w:r>
            <w:r>
              <w:rPr>
                <w:rFonts w:hint="eastAsia" w:eastAsia="宋体" w:cs="Times New Roman"/>
                <w:b w:val="0"/>
                <w:bCs/>
                <w:color w:val="auto"/>
                <w:sz w:val="15"/>
                <w:szCs w:val="15"/>
                <w:highlight w:val="none"/>
                <w:lang w:val="en-US" w:eastAsia="zh-CN"/>
              </w:rPr>
              <w:t>114.660574</w:t>
            </w:r>
            <w:r>
              <w:rPr>
                <w:rFonts w:hint="default" w:ascii="Times New Roman" w:hAnsi="Times New Roman" w:eastAsia="宋体" w:cs="Times New Roman"/>
                <w:b w:val="0"/>
                <w:bCs/>
                <w:color w:val="auto"/>
                <w:sz w:val="15"/>
                <w:szCs w:val="15"/>
                <w:highlight w:val="none"/>
              </w:rPr>
              <w:t>°</w:t>
            </w:r>
          </w:p>
          <w:p w14:paraId="6C333F7D">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val="0"/>
                <w:bCs/>
                <w:color w:val="auto"/>
                <w:sz w:val="15"/>
                <w:szCs w:val="15"/>
                <w:highlight w:val="none"/>
              </w:rPr>
              <w:t xml:space="preserve">N </w:t>
            </w:r>
            <w:r>
              <w:rPr>
                <w:rFonts w:hint="default" w:ascii="Times New Roman" w:hAnsi="Times New Roman" w:eastAsia="宋体" w:cs="Times New Roman"/>
                <w:b w:val="0"/>
                <w:bCs/>
                <w:color w:val="auto"/>
                <w:sz w:val="15"/>
                <w:szCs w:val="15"/>
                <w:highlight w:val="none"/>
                <w:lang w:val="en-US" w:eastAsia="zh-CN"/>
              </w:rPr>
              <w:t>35</w:t>
            </w:r>
            <w:r>
              <w:rPr>
                <w:rFonts w:hint="eastAsia" w:eastAsia="宋体" w:cs="Times New Roman"/>
                <w:b w:val="0"/>
                <w:bCs/>
                <w:color w:val="auto"/>
                <w:sz w:val="15"/>
                <w:szCs w:val="15"/>
                <w:highlight w:val="none"/>
                <w:lang w:val="en-US" w:eastAsia="zh-CN"/>
              </w:rPr>
              <w:t>.141893</w:t>
            </w:r>
            <w:r>
              <w:rPr>
                <w:rFonts w:hint="default" w:ascii="Times New Roman" w:hAnsi="Times New Roman" w:eastAsia="宋体" w:cs="Times New Roman"/>
                <w:b w:val="0"/>
                <w:bCs/>
                <w:color w:val="auto"/>
                <w:sz w:val="15"/>
                <w:szCs w:val="15"/>
                <w:highlight w:val="none"/>
              </w:rPr>
              <w:t>°</w:t>
            </w:r>
          </w:p>
        </w:tc>
      </w:tr>
      <w:tr w14:paraId="6C333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7F">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8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设计生产能力</w:t>
            </w:r>
          </w:p>
        </w:tc>
        <w:tc>
          <w:tcPr>
            <w:tcW w:w="3915" w:type="dxa"/>
            <w:gridSpan w:val="7"/>
            <w:vAlign w:val="center"/>
          </w:tcPr>
          <w:p w14:paraId="0626EF7E">
            <w:pPr>
              <w:spacing w:after="0"/>
              <w:jc w:val="center"/>
              <w:rPr>
                <w:rFonts w:hint="default" w:ascii="Times New Roman" w:hAnsi="Times New Roman" w:eastAsia="宋体" w:cs="Times New Roman"/>
                <w:b w:val="0"/>
                <w:bCs/>
                <w:color w:val="auto"/>
                <w:sz w:val="15"/>
                <w:szCs w:val="15"/>
                <w:highlight w:val="none"/>
              </w:rPr>
            </w:pPr>
            <w:r>
              <w:rPr>
                <w:rFonts w:hint="default" w:ascii="Times New Roman" w:hAnsi="Times New Roman" w:eastAsia="宋体" w:cs="Times New Roman"/>
                <w:b w:val="0"/>
                <w:bCs/>
                <w:color w:val="auto"/>
                <w:kern w:val="2"/>
                <w:sz w:val="15"/>
                <w:szCs w:val="15"/>
                <w:highlight w:val="none"/>
              </w:rPr>
              <w:t>年收集、贮存9860吨危险废物</w:t>
            </w:r>
          </w:p>
        </w:tc>
        <w:tc>
          <w:tcPr>
            <w:tcW w:w="1958" w:type="dxa"/>
            <w:gridSpan w:val="2"/>
            <w:vAlign w:val="center"/>
          </w:tcPr>
          <w:p w14:paraId="6C333F8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实际生产能力</w:t>
            </w:r>
          </w:p>
        </w:tc>
        <w:tc>
          <w:tcPr>
            <w:tcW w:w="2542" w:type="dxa"/>
            <w:gridSpan w:val="2"/>
            <w:tcMar>
              <w:top w:w="0" w:type="dxa"/>
              <w:left w:w="57" w:type="dxa"/>
              <w:bottom w:w="0" w:type="dxa"/>
              <w:right w:w="57" w:type="dxa"/>
            </w:tcMar>
            <w:vAlign w:val="center"/>
          </w:tcPr>
          <w:p w14:paraId="6C333F83">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val="0"/>
                <w:bCs/>
                <w:color w:val="auto"/>
                <w:kern w:val="2"/>
                <w:sz w:val="15"/>
                <w:szCs w:val="15"/>
                <w:highlight w:val="none"/>
              </w:rPr>
              <w:t>年收集、贮存9860吨危险废物</w:t>
            </w:r>
          </w:p>
        </w:tc>
        <w:tc>
          <w:tcPr>
            <w:tcW w:w="1725" w:type="dxa"/>
            <w:gridSpan w:val="2"/>
            <w:tcMar>
              <w:top w:w="0" w:type="dxa"/>
              <w:left w:w="57" w:type="dxa"/>
              <w:bottom w:w="0" w:type="dxa"/>
              <w:right w:w="57" w:type="dxa"/>
            </w:tcMar>
            <w:vAlign w:val="center"/>
          </w:tcPr>
          <w:p w14:paraId="6C333F84">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环评单位</w:t>
            </w:r>
          </w:p>
        </w:tc>
        <w:tc>
          <w:tcPr>
            <w:tcW w:w="2225" w:type="dxa"/>
            <w:gridSpan w:val="5"/>
            <w:tcMar>
              <w:top w:w="0" w:type="dxa"/>
              <w:left w:w="57" w:type="dxa"/>
              <w:bottom w:w="0" w:type="dxa"/>
              <w:right w:w="57" w:type="dxa"/>
            </w:tcMar>
            <w:vAlign w:val="center"/>
          </w:tcPr>
          <w:p w14:paraId="6C333F85">
            <w:pPr>
              <w:spacing w:after="0"/>
              <w:jc w:val="center"/>
              <w:rPr>
                <w:rFonts w:hint="default" w:ascii="Times New Roman" w:hAnsi="Times New Roman" w:eastAsia="宋体" w:cs="Times New Roman"/>
                <w:b w:val="0"/>
                <w:bCs/>
                <w:color w:val="auto"/>
                <w:kern w:val="2"/>
                <w:sz w:val="15"/>
                <w:szCs w:val="15"/>
                <w:highlight w:val="none"/>
                <w:lang w:val="en-US"/>
              </w:rPr>
            </w:pPr>
            <w:r>
              <w:rPr>
                <w:rFonts w:hint="eastAsia" w:eastAsia="宋体" w:cs="Times New Roman"/>
                <w:b w:val="0"/>
                <w:bCs/>
                <w:color w:val="auto"/>
                <w:sz w:val="15"/>
                <w:szCs w:val="15"/>
                <w:highlight w:val="none"/>
                <w:lang w:eastAsia="zh-CN"/>
              </w:rPr>
              <w:t>新乡市世青环境技术有限公司</w:t>
            </w:r>
          </w:p>
        </w:tc>
      </w:tr>
      <w:tr w14:paraId="6C333F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3" w:hRule="atLeast"/>
        </w:trPr>
        <w:tc>
          <w:tcPr>
            <w:tcW w:w="601" w:type="dxa"/>
            <w:vMerge w:val="continue"/>
            <w:tcBorders>
              <w:top w:val="single" w:color="auto" w:sz="8" w:space="0"/>
            </w:tcBorders>
            <w:vAlign w:val="center"/>
          </w:tcPr>
          <w:p w14:paraId="6C333F87">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88">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环评文件审批机关</w:t>
            </w:r>
          </w:p>
        </w:tc>
        <w:tc>
          <w:tcPr>
            <w:tcW w:w="3915" w:type="dxa"/>
            <w:gridSpan w:val="7"/>
            <w:vAlign w:val="center"/>
          </w:tcPr>
          <w:p w14:paraId="6C333F89">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新乡市生态环境局长垣分局</w:t>
            </w:r>
          </w:p>
        </w:tc>
        <w:tc>
          <w:tcPr>
            <w:tcW w:w="1958" w:type="dxa"/>
            <w:gridSpan w:val="2"/>
            <w:vAlign w:val="center"/>
          </w:tcPr>
          <w:p w14:paraId="6C333F8A">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审批文号</w:t>
            </w:r>
          </w:p>
        </w:tc>
        <w:tc>
          <w:tcPr>
            <w:tcW w:w="2542" w:type="dxa"/>
            <w:gridSpan w:val="2"/>
            <w:tcMar>
              <w:top w:w="0" w:type="dxa"/>
              <w:left w:w="57" w:type="dxa"/>
              <w:bottom w:w="0" w:type="dxa"/>
              <w:right w:w="57" w:type="dxa"/>
            </w:tcMar>
            <w:vAlign w:val="center"/>
          </w:tcPr>
          <w:p w14:paraId="6C333F8B">
            <w:pPr>
              <w:spacing w:after="0"/>
              <w:jc w:val="center"/>
              <w:rPr>
                <w:rFonts w:hint="default" w:ascii="Times New Roman" w:hAnsi="Times New Roman" w:eastAsia="宋体" w:cs="Times New Roman"/>
                <w:b/>
                <w:color w:val="auto"/>
                <w:kern w:val="2"/>
                <w:sz w:val="15"/>
                <w:szCs w:val="15"/>
                <w:highlight w:val="none"/>
              </w:rPr>
            </w:pPr>
            <w:r>
              <w:rPr>
                <w:rFonts w:hint="eastAsia" w:eastAsia="宋体" w:cs="Times New Roman"/>
                <w:b w:val="0"/>
                <w:bCs/>
                <w:color w:val="auto"/>
                <w:sz w:val="15"/>
                <w:szCs w:val="15"/>
                <w:highlight w:val="none"/>
                <w:lang w:val="en-US" w:eastAsia="zh-CN"/>
              </w:rPr>
              <w:t>长环审[2025]72号</w:t>
            </w:r>
          </w:p>
        </w:tc>
        <w:tc>
          <w:tcPr>
            <w:tcW w:w="1725" w:type="dxa"/>
            <w:gridSpan w:val="2"/>
            <w:tcMar>
              <w:top w:w="0" w:type="dxa"/>
              <w:left w:w="57" w:type="dxa"/>
              <w:bottom w:w="0" w:type="dxa"/>
              <w:right w:w="57" w:type="dxa"/>
            </w:tcMar>
            <w:vAlign w:val="center"/>
          </w:tcPr>
          <w:p w14:paraId="6C333F8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环评文件类型</w:t>
            </w:r>
          </w:p>
        </w:tc>
        <w:tc>
          <w:tcPr>
            <w:tcW w:w="2225" w:type="dxa"/>
            <w:gridSpan w:val="5"/>
            <w:tcMar>
              <w:top w:w="0" w:type="dxa"/>
              <w:left w:w="57" w:type="dxa"/>
              <w:bottom w:w="0" w:type="dxa"/>
              <w:right w:w="57" w:type="dxa"/>
            </w:tcMar>
            <w:vAlign w:val="center"/>
          </w:tcPr>
          <w:p w14:paraId="6C333F8D">
            <w:pPr>
              <w:spacing w:after="0"/>
              <w:jc w:val="center"/>
              <w:rPr>
                <w:rFonts w:hint="default" w:ascii="Times New Roman" w:hAnsi="Times New Roman" w:eastAsia="宋体" w:cs="Times New Roman"/>
                <w:b w:val="0"/>
                <w:bCs/>
                <w:color w:val="auto"/>
                <w:kern w:val="2"/>
                <w:sz w:val="15"/>
                <w:szCs w:val="15"/>
                <w:highlight w:val="none"/>
              </w:rPr>
            </w:pPr>
            <w:r>
              <w:rPr>
                <w:rFonts w:hint="default" w:ascii="Times New Roman" w:hAnsi="Times New Roman" w:eastAsia="宋体" w:cs="Times New Roman"/>
                <w:b w:val="0"/>
                <w:bCs/>
                <w:color w:val="auto"/>
                <w:kern w:val="2"/>
                <w:sz w:val="15"/>
                <w:szCs w:val="15"/>
              </w:rPr>
              <w:t>报告表</w:t>
            </w:r>
          </w:p>
        </w:tc>
      </w:tr>
      <w:tr w14:paraId="6C333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8F">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9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开工日期</w:t>
            </w:r>
          </w:p>
        </w:tc>
        <w:tc>
          <w:tcPr>
            <w:tcW w:w="3915" w:type="dxa"/>
            <w:gridSpan w:val="7"/>
            <w:vAlign w:val="center"/>
          </w:tcPr>
          <w:p w14:paraId="6C333F91">
            <w:pPr>
              <w:spacing w:after="0"/>
              <w:jc w:val="center"/>
              <w:rPr>
                <w:rFonts w:hint="default" w:ascii="Times New Roman" w:hAnsi="Times New Roman" w:eastAsia="宋体" w:cs="Times New Roman"/>
                <w:b w:val="0"/>
                <w:bCs/>
                <w:color w:val="auto"/>
                <w:sz w:val="15"/>
                <w:szCs w:val="15"/>
                <w:highlight w:val="none"/>
                <w:lang w:val="en-US" w:eastAsia="zh-CN"/>
              </w:rPr>
            </w:pPr>
            <w:r>
              <w:rPr>
                <w:rFonts w:hint="default" w:ascii="Times New Roman" w:hAnsi="Times New Roman" w:eastAsia="宋体" w:cs="Times New Roman"/>
                <w:b w:val="0"/>
                <w:bCs/>
                <w:color w:val="auto"/>
                <w:sz w:val="15"/>
                <w:szCs w:val="15"/>
                <w:highlight w:val="none"/>
                <w:lang w:val="en-US" w:eastAsia="zh-CN"/>
              </w:rPr>
              <w:t>2025</w:t>
            </w:r>
            <w:r>
              <w:rPr>
                <w:rFonts w:hint="eastAsia" w:eastAsia="宋体" w:cs="Times New Roman"/>
                <w:b w:val="0"/>
                <w:bCs/>
                <w:color w:val="auto"/>
                <w:sz w:val="15"/>
                <w:szCs w:val="15"/>
                <w:highlight w:val="none"/>
                <w:lang w:val="en-US" w:eastAsia="zh-CN"/>
              </w:rPr>
              <w:t>.3..1</w:t>
            </w:r>
          </w:p>
        </w:tc>
        <w:tc>
          <w:tcPr>
            <w:tcW w:w="1958" w:type="dxa"/>
            <w:gridSpan w:val="2"/>
            <w:vAlign w:val="center"/>
          </w:tcPr>
          <w:p w14:paraId="6C333F9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竣工日期</w:t>
            </w:r>
          </w:p>
        </w:tc>
        <w:tc>
          <w:tcPr>
            <w:tcW w:w="2542" w:type="dxa"/>
            <w:gridSpan w:val="2"/>
            <w:tcMar>
              <w:top w:w="0" w:type="dxa"/>
              <w:left w:w="57" w:type="dxa"/>
              <w:bottom w:w="0" w:type="dxa"/>
              <w:right w:w="57" w:type="dxa"/>
            </w:tcMar>
            <w:vAlign w:val="center"/>
          </w:tcPr>
          <w:p w14:paraId="6C333F93">
            <w:pPr>
              <w:spacing w:after="0"/>
              <w:jc w:val="center"/>
              <w:rPr>
                <w:rFonts w:hint="default" w:ascii="Times New Roman" w:hAnsi="Times New Roman" w:eastAsia="宋体" w:cs="Times New Roman"/>
                <w:b/>
                <w:color w:val="auto"/>
                <w:kern w:val="2"/>
                <w:sz w:val="15"/>
                <w:szCs w:val="15"/>
                <w:highlight w:val="none"/>
                <w:lang w:val="en-US" w:eastAsia="zh-CN"/>
              </w:rPr>
            </w:pPr>
            <w:r>
              <w:rPr>
                <w:rFonts w:hint="default" w:ascii="Times New Roman" w:hAnsi="Times New Roman" w:eastAsia="宋体" w:cs="Times New Roman"/>
                <w:b w:val="0"/>
                <w:bCs/>
                <w:color w:val="auto"/>
                <w:sz w:val="15"/>
                <w:szCs w:val="15"/>
                <w:highlight w:val="none"/>
                <w:lang w:val="en-US" w:eastAsia="zh-CN"/>
              </w:rPr>
              <w:t>20</w:t>
            </w:r>
            <w:r>
              <w:rPr>
                <w:rFonts w:hint="eastAsia" w:eastAsia="宋体" w:cs="Times New Roman"/>
                <w:b w:val="0"/>
                <w:bCs/>
                <w:color w:val="auto"/>
                <w:sz w:val="15"/>
                <w:szCs w:val="15"/>
                <w:highlight w:val="none"/>
                <w:lang w:val="en-US" w:eastAsia="zh-CN"/>
              </w:rPr>
              <w:t>26..4.30</w:t>
            </w:r>
          </w:p>
        </w:tc>
        <w:tc>
          <w:tcPr>
            <w:tcW w:w="1725" w:type="dxa"/>
            <w:gridSpan w:val="2"/>
            <w:tcMar>
              <w:top w:w="0" w:type="dxa"/>
              <w:left w:w="57" w:type="dxa"/>
              <w:bottom w:w="0" w:type="dxa"/>
              <w:right w:w="57" w:type="dxa"/>
            </w:tcMar>
            <w:vAlign w:val="center"/>
          </w:tcPr>
          <w:p w14:paraId="6C333F94">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排污许可证申领时间</w:t>
            </w:r>
          </w:p>
        </w:tc>
        <w:tc>
          <w:tcPr>
            <w:tcW w:w="2225" w:type="dxa"/>
            <w:gridSpan w:val="5"/>
            <w:tcMar>
              <w:top w:w="0" w:type="dxa"/>
              <w:left w:w="57" w:type="dxa"/>
              <w:bottom w:w="0" w:type="dxa"/>
              <w:right w:w="57" w:type="dxa"/>
            </w:tcMar>
            <w:vAlign w:val="center"/>
          </w:tcPr>
          <w:p w14:paraId="6C333F95">
            <w:pPr>
              <w:spacing w:after="0"/>
              <w:jc w:val="center"/>
              <w:rPr>
                <w:rFonts w:hint="default" w:ascii="Times New Roman" w:hAnsi="Times New Roman" w:eastAsia="宋体" w:cs="Times New Roman"/>
                <w:b w:val="0"/>
                <w:bCs/>
                <w:color w:val="auto"/>
                <w:kern w:val="2"/>
                <w:sz w:val="15"/>
                <w:szCs w:val="15"/>
                <w:highlight w:val="none"/>
                <w:lang w:val="en-US" w:eastAsia="zh-CN"/>
              </w:rPr>
            </w:pPr>
            <w:r>
              <w:rPr>
                <w:rFonts w:hint="eastAsia" w:eastAsia="宋体" w:cs="Times New Roman"/>
                <w:b w:val="0"/>
                <w:bCs/>
                <w:color w:val="auto"/>
                <w:kern w:val="2"/>
                <w:sz w:val="15"/>
                <w:szCs w:val="15"/>
                <w:lang w:val="en-US" w:eastAsia="zh-CN"/>
              </w:rPr>
              <w:t>2026.6.23</w:t>
            </w:r>
          </w:p>
        </w:tc>
      </w:tr>
      <w:tr w14:paraId="6C333F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97">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98">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环保设施设计单位</w:t>
            </w:r>
          </w:p>
        </w:tc>
        <w:tc>
          <w:tcPr>
            <w:tcW w:w="3915" w:type="dxa"/>
            <w:gridSpan w:val="7"/>
            <w:vAlign w:val="center"/>
          </w:tcPr>
          <w:p w14:paraId="6C333F99">
            <w:pPr>
              <w:spacing w:after="0"/>
              <w:jc w:val="center"/>
              <w:rPr>
                <w:rFonts w:hint="eastAsia" w:ascii="Times New Roman" w:hAnsi="Times New Roman" w:eastAsia="宋体" w:cs="Times New Roman"/>
                <w:b w:val="0"/>
                <w:bCs/>
                <w:color w:val="auto"/>
                <w:sz w:val="15"/>
                <w:szCs w:val="15"/>
                <w:highlight w:val="none"/>
                <w:lang w:eastAsia="zh-CN"/>
              </w:rPr>
            </w:pPr>
            <w:r>
              <w:rPr>
                <w:rFonts w:hint="eastAsia" w:eastAsia="宋体" w:cs="Times New Roman"/>
                <w:b w:val="0"/>
                <w:bCs/>
                <w:color w:val="auto"/>
                <w:sz w:val="15"/>
                <w:szCs w:val="15"/>
                <w:highlight w:val="none"/>
                <w:lang w:eastAsia="zh-CN"/>
              </w:rPr>
              <w:t>长垣市聚博环保科技有限公司</w:t>
            </w:r>
          </w:p>
        </w:tc>
        <w:tc>
          <w:tcPr>
            <w:tcW w:w="1958" w:type="dxa"/>
            <w:gridSpan w:val="2"/>
            <w:vAlign w:val="center"/>
          </w:tcPr>
          <w:p w14:paraId="6C333F9A">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环保设施施工单位</w:t>
            </w:r>
          </w:p>
        </w:tc>
        <w:tc>
          <w:tcPr>
            <w:tcW w:w="2542" w:type="dxa"/>
            <w:gridSpan w:val="2"/>
            <w:tcMar>
              <w:top w:w="0" w:type="dxa"/>
              <w:left w:w="57" w:type="dxa"/>
              <w:bottom w:w="0" w:type="dxa"/>
              <w:right w:w="57" w:type="dxa"/>
            </w:tcMar>
            <w:vAlign w:val="center"/>
          </w:tcPr>
          <w:p w14:paraId="6C333F9B">
            <w:pPr>
              <w:spacing w:after="0"/>
              <w:jc w:val="center"/>
              <w:rPr>
                <w:rFonts w:hint="eastAsia" w:ascii="Times New Roman" w:hAnsi="Times New Roman" w:eastAsia="宋体" w:cs="Times New Roman"/>
                <w:b w:val="0"/>
                <w:bCs/>
                <w:color w:val="auto"/>
                <w:sz w:val="15"/>
                <w:szCs w:val="15"/>
                <w:highlight w:val="none"/>
                <w:lang w:eastAsia="zh-CN"/>
              </w:rPr>
            </w:pPr>
            <w:r>
              <w:rPr>
                <w:rFonts w:hint="eastAsia" w:eastAsia="宋体" w:cs="Times New Roman"/>
                <w:b w:val="0"/>
                <w:bCs/>
                <w:color w:val="auto"/>
                <w:sz w:val="15"/>
                <w:szCs w:val="15"/>
                <w:highlight w:val="none"/>
                <w:lang w:eastAsia="zh-CN"/>
              </w:rPr>
              <w:t>长垣市聚博环保科技有限公司</w:t>
            </w:r>
          </w:p>
        </w:tc>
        <w:tc>
          <w:tcPr>
            <w:tcW w:w="1725" w:type="dxa"/>
            <w:gridSpan w:val="2"/>
            <w:tcMar>
              <w:top w:w="0" w:type="dxa"/>
              <w:left w:w="57" w:type="dxa"/>
              <w:bottom w:w="0" w:type="dxa"/>
              <w:right w:w="57" w:type="dxa"/>
            </w:tcMar>
            <w:vAlign w:val="center"/>
          </w:tcPr>
          <w:p w14:paraId="6C333F9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sz w:val="15"/>
                <w:szCs w:val="15"/>
                <w:highlight w:val="none"/>
              </w:rPr>
              <w:t>本工程排污许可证编号</w:t>
            </w:r>
          </w:p>
        </w:tc>
        <w:tc>
          <w:tcPr>
            <w:tcW w:w="2225" w:type="dxa"/>
            <w:gridSpan w:val="5"/>
            <w:tcMar>
              <w:top w:w="0" w:type="dxa"/>
              <w:left w:w="57" w:type="dxa"/>
              <w:bottom w:w="0" w:type="dxa"/>
              <w:right w:w="57" w:type="dxa"/>
            </w:tcMar>
            <w:vAlign w:val="center"/>
          </w:tcPr>
          <w:p w14:paraId="6C333F9D">
            <w:pPr>
              <w:spacing w:after="0"/>
              <w:jc w:val="center"/>
              <w:rPr>
                <w:rFonts w:hint="default" w:ascii="Times New Roman" w:hAnsi="Times New Roman" w:eastAsia="宋体" w:cs="Times New Roman"/>
                <w:b w:val="0"/>
                <w:bCs/>
                <w:color w:val="auto"/>
                <w:kern w:val="2"/>
                <w:sz w:val="15"/>
                <w:szCs w:val="15"/>
                <w:highlight w:val="none"/>
              </w:rPr>
            </w:pPr>
            <w:r>
              <w:rPr>
                <w:rFonts w:hint="default" w:ascii="Times New Roman" w:hAnsi="Times New Roman" w:eastAsia="宋体" w:cs="Times New Roman"/>
                <w:b w:val="0"/>
                <w:bCs/>
                <w:color w:val="auto"/>
                <w:kern w:val="2"/>
                <w:sz w:val="15"/>
                <w:szCs w:val="15"/>
                <w:highlight w:val="none"/>
                <w:lang w:val="en-US" w:eastAsia="zh-CN"/>
              </w:rPr>
              <w:t>91410728MA44R9Q13L001V</w:t>
            </w:r>
          </w:p>
        </w:tc>
      </w:tr>
      <w:tr w14:paraId="6C333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9F">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A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验收单位</w:t>
            </w:r>
          </w:p>
        </w:tc>
        <w:tc>
          <w:tcPr>
            <w:tcW w:w="3915" w:type="dxa"/>
            <w:gridSpan w:val="7"/>
            <w:vAlign w:val="center"/>
          </w:tcPr>
          <w:p w14:paraId="6C333FA1">
            <w:pPr>
              <w:spacing w:after="0"/>
              <w:jc w:val="center"/>
              <w:rPr>
                <w:rFonts w:hint="eastAsia" w:ascii="Times New Roman" w:hAnsi="Times New Roman" w:eastAsia="宋体" w:cs="Times New Roman"/>
                <w:b w:val="0"/>
                <w:bCs/>
                <w:color w:val="auto"/>
                <w:sz w:val="15"/>
                <w:szCs w:val="15"/>
                <w:highlight w:val="none"/>
                <w:lang w:eastAsia="zh-CN"/>
              </w:rPr>
            </w:pPr>
            <w:r>
              <w:rPr>
                <w:rFonts w:hint="eastAsia" w:eastAsia="宋体" w:cs="Times New Roman"/>
                <w:b w:val="0"/>
                <w:bCs/>
                <w:color w:val="auto"/>
                <w:sz w:val="15"/>
                <w:szCs w:val="15"/>
                <w:highlight w:val="none"/>
                <w:lang w:eastAsia="zh-CN"/>
              </w:rPr>
              <w:t>长垣市聚博环保科技有限公司</w:t>
            </w:r>
          </w:p>
        </w:tc>
        <w:tc>
          <w:tcPr>
            <w:tcW w:w="1958" w:type="dxa"/>
            <w:gridSpan w:val="2"/>
            <w:vAlign w:val="center"/>
          </w:tcPr>
          <w:p w14:paraId="6C333FA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环保设施检测单位</w:t>
            </w:r>
          </w:p>
        </w:tc>
        <w:tc>
          <w:tcPr>
            <w:tcW w:w="2542" w:type="dxa"/>
            <w:gridSpan w:val="2"/>
            <w:tcMar>
              <w:top w:w="0" w:type="dxa"/>
              <w:left w:w="57" w:type="dxa"/>
              <w:bottom w:w="0" w:type="dxa"/>
              <w:right w:w="57" w:type="dxa"/>
            </w:tcMar>
            <w:vAlign w:val="center"/>
          </w:tcPr>
          <w:p w14:paraId="6C333FA3">
            <w:pPr>
              <w:spacing w:after="0"/>
              <w:jc w:val="center"/>
              <w:rPr>
                <w:rFonts w:hint="eastAsia" w:ascii="Times New Roman" w:hAnsi="Times New Roman" w:eastAsia="宋体" w:cs="Times New Roman"/>
                <w:b w:val="0"/>
                <w:bCs/>
                <w:color w:val="auto"/>
                <w:sz w:val="15"/>
                <w:szCs w:val="15"/>
                <w:highlight w:val="none"/>
                <w:lang w:eastAsia="zh-CN"/>
              </w:rPr>
            </w:pPr>
            <w:r>
              <w:rPr>
                <w:rFonts w:hint="eastAsia" w:eastAsia="宋体" w:cs="Times New Roman"/>
                <w:b w:val="0"/>
                <w:bCs/>
                <w:color w:val="auto"/>
                <w:sz w:val="15"/>
                <w:szCs w:val="15"/>
                <w:highlight w:val="none"/>
                <w:lang w:eastAsia="zh-CN"/>
              </w:rPr>
              <w:t>河南嘉昱环保技术有限公司</w:t>
            </w:r>
          </w:p>
        </w:tc>
        <w:tc>
          <w:tcPr>
            <w:tcW w:w="1725" w:type="dxa"/>
            <w:gridSpan w:val="2"/>
            <w:tcMar>
              <w:top w:w="0" w:type="dxa"/>
              <w:left w:w="57" w:type="dxa"/>
              <w:bottom w:w="0" w:type="dxa"/>
              <w:right w:w="57" w:type="dxa"/>
            </w:tcMar>
            <w:vAlign w:val="center"/>
          </w:tcPr>
          <w:p w14:paraId="6C333FA4">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验收检测时工况</w:t>
            </w:r>
          </w:p>
        </w:tc>
        <w:tc>
          <w:tcPr>
            <w:tcW w:w="2225" w:type="dxa"/>
            <w:gridSpan w:val="5"/>
            <w:tcMar>
              <w:top w:w="0" w:type="dxa"/>
              <w:left w:w="57" w:type="dxa"/>
              <w:bottom w:w="0" w:type="dxa"/>
              <w:right w:w="57" w:type="dxa"/>
            </w:tcMar>
            <w:vAlign w:val="center"/>
          </w:tcPr>
          <w:p w14:paraId="6C333FA5">
            <w:pPr>
              <w:spacing w:after="0"/>
              <w:jc w:val="center"/>
              <w:rPr>
                <w:rFonts w:hint="default" w:ascii="Times New Roman" w:hAnsi="Times New Roman" w:eastAsia="宋体" w:cs="Times New Roman"/>
                <w:b w:val="0"/>
                <w:bCs/>
                <w:color w:val="auto"/>
                <w:kern w:val="2"/>
                <w:sz w:val="15"/>
                <w:szCs w:val="15"/>
                <w:highlight w:val="none"/>
              </w:rPr>
            </w:pPr>
            <w:r>
              <w:rPr>
                <w:rFonts w:hint="eastAsia" w:eastAsia="宋体" w:cs="Times New Roman"/>
                <w:b w:val="0"/>
                <w:bCs/>
                <w:color w:val="auto"/>
                <w:kern w:val="2"/>
                <w:sz w:val="15"/>
                <w:szCs w:val="15"/>
                <w:highlight w:val="none"/>
                <w:lang w:val="en-US" w:eastAsia="zh-CN"/>
              </w:rPr>
              <w:t>90</w:t>
            </w:r>
            <w:r>
              <w:rPr>
                <w:rFonts w:hint="default" w:ascii="Times New Roman" w:hAnsi="Times New Roman" w:eastAsia="宋体" w:cs="Times New Roman"/>
                <w:b w:val="0"/>
                <w:bCs/>
                <w:color w:val="auto"/>
                <w:kern w:val="2"/>
                <w:sz w:val="15"/>
                <w:szCs w:val="15"/>
                <w:highlight w:val="none"/>
              </w:rPr>
              <w:t>%</w:t>
            </w:r>
          </w:p>
        </w:tc>
      </w:tr>
      <w:tr w14:paraId="6C333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01" w:type="dxa"/>
            <w:vMerge w:val="continue"/>
            <w:tcBorders>
              <w:top w:val="single" w:color="auto" w:sz="8" w:space="0"/>
            </w:tcBorders>
            <w:vAlign w:val="center"/>
          </w:tcPr>
          <w:p w14:paraId="6C333FA7">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A8">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投资总概算（万元）</w:t>
            </w:r>
          </w:p>
        </w:tc>
        <w:tc>
          <w:tcPr>
            <w:tcW w:w="3915" w:type="dxa"/>
            <w:gridSpan w:val="7"/>
            <w:vAlign w:val="center"/>
          </w:tcPr>
          <w:p w14:paraId="6C333FA9">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100</w:t>
            </w:r>
          </w:p>
        </w:tc>
        <w:tc>
          <w:tcPr>
            <w:tcW w:w="1958" w:type="dxa"/>
            <w:gridSpan w:val="2"/>
            <w:vAlign w:val="center"/>
          </w:tcPr>
          <w:p w14:paraId="6C333FAA">
            <w:pPr>
              <w:tabs>
                <w:tab w:val="left" w:pos="690"/>
              </w:tabs>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环保投资总概算(万元)</w:t>
            </w:r>
          </w:p>
        </w:tc>
        <w:tc>
          <w:tcPr>
            <w:tcW w:w="2542" w:type="dxa"/>
            <w:gridSpan w:val="2"/>
            <w:tcMar>
              <w:top w:w="0" w:type="dxa"/>
              <w:left w:w="57" w:type="dxa"/>
              <w:bottom w:w="0" w:type="dxa"/>
              <w:right w:w="57" w:type="dxa"/>
            </w:tcMar>
            <w:vAlign w:val="center"/>
          </w:tcPr>
          <w:p w14:paraId="6C333FAB">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15</w:t>
            </w:r>
          </w:p>
        </w:tc>
        <w:tc>
          <w:tcPr>
            <w:tcW w:w="1725" w:type="dxa"/>
            <w:gridSpan w:val="2"/>
            <w:tcMar>
              <w:top w:w="0" w:type="dxa"/>
              <w:left w:w="57" w:type="dxa"/>
              <w:bottom w:w="0" w:type="dxa"/>
              <w:right w:w="57" w:type="dxa"/>
            </w:tcMar>
            <w:vAlign w:val="center"/>
          </w:tcPr>
          <w:p w14:paraId="6C333FAC">
            <w:pPr>
              <w:tabs>
                <w:tab w:val="left" w:pos="690"/>
              </w:tabs>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所占比例（%）</w:t>
            </w:r>
          </w:p>
        </w:tc>
        <w:tc>
          <w:tcPr>
            <w:tcW w:w="2225" w:type="dxa"/>
            <w:gridSpan w:val="5"/>
            <w:tcMar>
              <w:top w:w="0" w:type="dxa"/>
              <w:left w:w="57" w:type="dxa"/>
              <w:bottom w:w="0" w:type="dxa"/>
              <w:right w:w="57" w:type="dxa"/>
            </w:tcMar>
            <w:vAlign w:val="center"/>
          </w:tcPr>
          <w:p w14:paraId="6C333FAD">
            <w:pPr>
              <w:tabs>
                <w:tab w:val="left" w:pos="690"/>
              </w:tabs>
              <w:spacing w:after="0"/>
              <w:jc w:val="center"/>
              <w:rPr>
                <w:rFonts w:hint="default" w:ascii="Times New Roman" w:hAnsi="Times New Roman" w:eastAsia="宋体" w:cs="Times New Roman"/>
                <w:b w:val="0"/>
                <w:bCs/>
                <w:color w:val="auto"/>
                <w:kern w:val="2"/>
                <w:sz w:val="15"/>
                <w:szCs w:val="15"/>
                <w:highlight w:val="none"/>
                <w:lang w:val="en-US" w:eastAsia="zh-CN"/>
              </w:rPr>
            </w:pPr>
            <w:r>
              <w:rPr>
                <w:rFonts w:hint="eastAsia" w:eastAsia="宋体" w:cs="Times New Roman"/>
                <w:b w:val="0"/>
                <w:bCs/>
                <w:color w:val="auto"/>
                <w:kern w:val="2"/>
                <w:sz w:val="15"/>
                <w:szCs w:val="15"/>
                <w:highlight w:val="none"/>
                <w:lang w:val="en-US" w:eastAsia="zh-CN"/>
              </w:rPr>
              <w:t>15</w:t>
            </w:r>
          </w:p>
        </w:tc>
      </w:tr>
      <w:tr w14:paraId="6C333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AF">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B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实际总投资（万元）</w:t>
            </w:r>
          </w:p>
        </w:tc>
        <w:tc>
          <w:tcPr>
            <w:tcW w:w="3915" w:type="dxa"/>
            <w:gridSpan w:val="7"/>
            <w:vAlign w:val="center"/>
          </w:tcPr>
          <w:p w14:paraId="6C333FB1">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100</w:t>
            </w:r>
          </w:p>
        </w:tc>
        <w:tc>
          <w:tcPr>
            <w:tcW w:w="1958" w:type="dxa"/>
            <w:gridSpan w:val="2"/>
            <w:vAlign w:val="center"/>
          </w:tcPr>
          <w:p w14:paraId="6C333FB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实际环保投资(万元)</w:t>
            </w:r>
          </w:p>
        </w:tc>
        <w:tc>
          <w:tcPr>
            <w:tcW w:w="2542" w:type="dxa"/>
            <w:gridSpan w:val="2"/>
            <w:tcMar>
              <w:top w:w="0" w:type="dxa"/>
              <w:left w:w="57" w:type="dxa"/>
              <w:bottom w:w="0" w:type="dxa"/>
              <w:right w:w="57" w:type="dxa"/>
            </w:tcMar>
            <w:vAlign w:val="center"/>
          </w:tcPr>
          <w:p w14:paraId="6C333FB3">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13</w:t>
            </w:r>
          </w:p>
        </w:tc>
        <w:tc>
          <w:tcPr>
            <w:tcW w:w="1725" w:type="dxa"/>
            <w:gridSpan w:val="2"/>
            <w:tcMar>
              <w:top w:w="0" w:type="dxa"/>
              <w:left w:w="57" w:type="dxa"/>
              <w:bottom w:w="0" w:type="dxa"/>
              <w:right w:w="57" w:type="dxa"/>
            </w:tcMar>
            <w:vAlign w:val="center"/>
          </w:tcPr>
          <w:p w14:paraId="6C333FB4">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所占比例（%）</w:t>
            </w:r>
          </w:p>
        </w:tc>
        <w:tc>
          <w:tcPr>
            <w:tcW w:w="2225" w:type="dxa"/>
            <w:gridSpan w:val="5"/>
            <w:tcMar>
              <w:top w:w="0" w:type="dxa"/>
              <w:left w:w="57" w:type="dxa"/>
              <w:bottom w:w="0" w:type="dxa"/>
              <w:right w:w="57" w:type="dxa"/>
            </w:tcMar>
            <w:vAlign w:val="center"/>
          </w:tcPr>
          <w:p w14:paraId="6C333FB5">
            <w:pPr>
              <w:spacing w:after="0"/>
              <w:jc w:val="center"/>
              <w:rPr>
                <w:rFonts w:hint="default" w:ascii="Times New Roman" w:hAnsi="Times New Roman" w:eastAsia="宋体" w:cs="Times New Roman"/>
                <w:b w:val="0"/>
                <w:bCs/>
                <w:color w:val="auto"/>
                <w:kern w:val="2"/>
                <w:sz w:val="15"/>
                <w:szCs w:val="15"/>
                <w:highlight w:val="none"/>
                <w:lang w:val="en-US" w:eastAsia="zh-CN"/>
              </w:rPr>
            </w:pPr>
            <w:r>
              <w:rPr>
                <w:rFonts w:hint="eastAsia" w:eastAsia="宋体" w:cs="Times New Roman"/>
                <w:b w:val="0"/>
                <w:bCs/>
                <w:color w:val="auto"/>
                <w:kern w:val="2"/>
                <w:sz w:val="15"/>
                <w:szCs w:val="15"/>
                <w:highlight w:val="none"/>
                <w:lang w:val="en-US" w:eastAsia="zh-CN"/>
              </w:rPr>
              <w:t>13</w:t>
            </w:r>
          </w:p>
        </w:tc>
      </w:tr>
      <w:tr w14:paraId="6C333F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B7">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B8">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废水治理（万元）</w:t>
            </w:r>
          </w:p>
        </w:tc>
        <w:tc>
          <w:tcPr>
            <w:tcW w:w="709" w:type="dxa"/>
            <w:vAlign w:val="center"/>
          </w:tcPr>
          <w:p w14:paraId="6C333FB9">
            <w:pPr>
              <w:spacing w:after="0"/>
              <w:jc w:val="center"/>
              <w:rPr>
                <w:rFonts w:hint="default" w:ascii="Times New Roman" w:hAnsi="Times New Roman" w:eastAsia="宋体" w:cs="Times New Roman"/>
                <w:b/>
                <w:color w:val="auto"/>
                <w:kern w:val="2"/>
                <w:sz w:val="15"/>
                <w:szCs w:val="15"/>
                <w:highlight w:val="none"/>
                <w:lang w:val="en-US" w:eastAsia="zh-CN"/>
              </w:rPr>
            </w:pPr>
            <w:r>
              <w:rPr>
                <w:rFonts w:hint="eastAsia" w:eastAsia="宋体" w:cs="Times New Roman"/>
                <w:b w:val="0"/>
                <w:bCs/>
                <w:color w:val="auto"/>
                <w:sz w:val="15"/>
                <w:szCs w:val="15"/>
                <w:highlight w:val="none"/>
                <w:lang w:val="en-US" w:eastAsia="zh-CN"/>
              </w:rPr>
              <w:t>/</w:t>
            </w:r>
          </w:p>
        </w:tc>
        <w:tc>
          <w:tcPr>
            <w:tcW w:w="1196" w:type="dxa"/>
            <w:gridSpan w:val="2"/>
            <w:vAlign w:val="center"/>
          </w:tcPr>
          <w:p w14:paraId="6C333FBA">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废气治理（万元）</w:t>
            </w:r>
          </w:p>
        </w:tc>
        <w:tc>
          <w:tcPr>
            <w:tcW w:w="570" w:type="dxa"/>
            <w:vAlign w:val="center"/>
          </w:tcPr>
          <w:p w14:paraId="6C333FBB">
            <w:pPr>
              <w:spacing w:after="0"/>
              <w:jc w:val="center"/>
              <w:rPr>
                <w:rFonts w:hint="default" w:ascii="Times New Roman" w:hAnsi="Times New Roman" w:eastAsia="宋体" w:cs="Times New Roman"/>
                <w:b/>
                <w:color w:val="auto"/>
                <w:kern w:val="2"/>
                <w:sz w:val="15"/>
                <w:szCs w:val="15"/>
                <w:highlight w:val="none"/>
                <w:lang w:val="en-US" w:eastAsia="zh-CN"/>
              </w:rPr>
            </w:pPr>
            <w:r>
              <w:rPr>
                <w:rFonts w:hint="eastAsia" w:eastAsia="宋体" w:cs="Times New Roman"/>
                <w:b w:val="0"/>
                <w:bCs/>
                <w:color w:val="auto"/>
                <w:kern w:val="2"/>
                <w:sz w:val="15"/>
                <w:szCs w:val="15"/>
                <w:highlight w:val="none"/>
                <w:lang w:val="en-US" w:eastAsia="zh-CN"/>
              </w:rPr>
              <w:t>8</w:t>
            </w:r>
          </w:p>
        </w:tc>
        <w:tc>
          <w:tcPr>
            <w:tcW w:w="1020" w:type="dxa"/>
            <w:gridSpan w:val="2"/>
            <w:vAlign w:val="center"/>
          </w:tcPr>
          <w:p w14:paraId="6C333FB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噪声治理（万元）</w:t>
            </w:r>
          </w:p>
        </w:tc>
        <w:tc>
          <w:tcPr>
            <w:tcW w:w="420" w:type="dxa"/>
            <w:vAlign w:val="center"/>
          </w:tcPr>
          <w:p w14:paraId="6C333FBD">
            <w:pPr>
              <w:spacing w:after="0"/>
              <w:jc w:val="center"/>
              <w:rPr>
                <w:rFonts w:hint="default" w:ascii="Times New Roman" w:hAnsi="Times New Roman" w:eastAsia="宋体" w:cs="Times New Roman"/>
                <w:b/>
                <w:color w:val="auto"/>
                <w:kern w:val="2"/>
                <w:sz w:val="15"/>
                <w:szCs w:val="15"/>
                <w:highlight w:val="none"/>
                <w:lang w:val="en-US" w:eastAsia="zh-CN"/>
              </w:rPr>
            </w:pPr>
            <w:r>
              <w:rPr>
                <w:rFonts w:hint="eastAsia" w:eastAsia="宋体" w:cs="Times New Roman"/>
                <w:b w:val="0"/>
                <w:bCs/>
                <w:color w:val="auto"/>
                <w:kern w:val="2"/>
                <w:sz w:val="15"/>
                <w:szCs w:val="15"/>
                <w:highlight w:val="none"/>
                <w:lang w:val="en-US" w:eastAsia="zh-CN"/>
              </w:rPr>
              <w:t>1</w:t>
            </w:r>
          </w:p>
        </w:tc>
        <w:tc>
          <w:tcPr>
            <w:tcW w:w="1958" w:type="dxa"/>
            <w:gridSpan w:val="2"/>
            <w:vAlign w:val="center"/>
          </w:tcPr>
          <w:p w14:paraId="6C333FBE">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固体废物治理(万元)</w:t>
            </w:r>
          </w:p>
        </w:tc>
        <w:tc>
          <w:tcPr>
            <w:tcW w:w="2542" w:type="dxa"/>
            <w:gridSpan w:val="2"/>
            <w:vAlign w:val="center"/>
          </w:tcPr>
          <w:p w14:paraId="6C333FBF">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4</w:t>
            </w:r>
          </w:p>
        </w:tc>
        <w:tc>
          <w:tcPr>
            <w:tcW w:w="1725" w:type="dxa"/>
            <w:gridSpan w:val="2"/>
            <w:vAlign w:val="center"/>
          </w:tcPr>
          <w:p w14:paraId="6C333FC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绿化及生态（万元）</w:t>
            </w:r>
          </w:p>
        </w:tc>
        <w:tc>
          <w:tcPr>
            <w:tcW w:w="811" w:type="dxa"/>
            <w:tcMar>
              <w:top w:w="0" w:type="dxa"/>
              <w:left w:w="57" w:type="dxa"/>
              <w:bottom w:w="0" w:type="dxa"/>
              <w:right w:w="57" w:type="dxa"/>
            </w:tcMar>
            <w:vAlign w:val="center"/>
          </w:tcPr>
          <w:p w14:paraId="6C333FC1">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69" w:type="dxa"/>
            <w:gridSpan w:val="3"/>
            <w:tcMar>
              <w:top w:w="0" w:type="dxa"/>
              <w:left w:w="57" w:type="dxa"/>
              <w:bottom w:w="0" w:type="dxa"/>
              <w:right w:w="57" w:type="dxa"/>
            </w:tcMar>
            <w:vAlign w:val="center"/>
          </w:tcPr>
          <w:p w14:paraId="6C333FC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其他（万元）</w:t>
            </w:r>
          </w:p>
        </w:tc>
        <w:tc>
          <w:tcPr>
            <w:tcW w:w="545" w:type="dxa"/>
            <w:tcMar>
              <w:top w:w="0" w:type="dxa"/>
              <w:left w:w="57" w:type="dxa"/>
              <w:bottom w:w="0" w:type="dxa"/>
              <w:right w:w="57" w:type="dxa"/>
            </w:tcMar>
            <w:vAlign w:val="center"/>
          </w:tcPr>
          <w:p w14:paraId="6C333FC3">
            <w:pPr>
              <w:spacing w:after="0"/>
              <w:jc w:val="center"/>
              <w:rPr>
                <w:rFonts w:hint="eastAsia" w:ascii="Times New Roman" w:hAnsi="Times New Roman" w:eastAsia="宋体" w:cs="Times New Roman"/>
                <w:b/>
                <w:color w:val="auto"/>
                <w:kern w:val="2"/>
                <w:sz w:val="15"/>
                <w:szCs w:val="15"/>
                <w:highlight w:val="none"/>
                <w:lang w:eastAsia="zh-CN"/>
              </w:rPr>
            </w:pPr>
            <w:r>
              <w:rPr>
                <w:rFonts w:hint="eastAsia" w:eastAsia="宋体" w:cs="Times New Roman"/>
                <w:b w:val="0"/>
                <w:bCs/>
                <w:color w:val="auto"/>
                <w:kern w:val="2"/>
                <w:sz w:val="15"/>
                <w:szCs w:val="15"/>
                <w:highlight w:val="none"/>
                <w:lang w:val="en-US" w:eastAsia="zh-CN"/>
              </w:rPr>
              <w:t>5</w:t>
            </w:r>
          </w:p>
        </w:tc>
      </w:tr>
      <w:tr w14:paraId="6C333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continue"/>
            <w:tcBorders>
              <w:top w:val="single" w:color="auto" w:sz="8" w:space="0"/>
            </w:tcBorders>
            <w:vAlign w:val="center"/>
          </w:tcPr>
          <w:p w14:paraId="6C333FC5">
            <w:pPr>
              <w:adjustRightInd/>
              <w:snapToGrid/>
              <w:spacing w:after="0"/>
              <w:rPr>
                <w:rFonts w:hint="default" w:ascii="Times New Roman" w:hAnsi="Times New Roman" w:eastAsia="宋体" w:cs="Times New Roman"/>
                <w:b/>
                <w:color w:val="auto"/>
                <w:kern w:val="2"/>
                <w:sz w:val="15"/>
                <w:szCs w:val="15"/>
                <w:highlight w:val="none"/>
              </w:rPr>
            </w:pPr>
          </w:p>
        </w:tc>
        <w:tc>
          <w:tcPr>
            <w:tcW w:w="1843" w:type="dxa"/>
            <w:vAlign w:val="center"/>
          </w:tcPr>
          <w:p w14:paraId="6C333FC6">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新增废水处理设施能力</w:t>
            </w:r>
          </w:p>
        </w:tc>
        <w:tc>
          <w:tcPr>
            <w:tcW w:w="3915" w:type="dxa"/>
            <w:gridSpan w:val="7"/>
            <w:vAlign w:val="center"/>
          </w:tcPr>
          <w:p w14:paraId="6C333FC7">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958" w:type="dxa"/>
            <w:gridSpan w:val="2"/>
            <w:vAlign w:val="center"/>
          </w:tcPr>
          <w:p w14:paraId="6C333FC8">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新增废气处理设施能力</w:t>
            </w:r>
          </w:p>
        </w:tc>
        <w:tc>
          <w:tcPr>
            <w:tcW w:w="2542" w:type="dxa"/>
            <w:gridSpan w:val="2"/>
            <w:tcMar>
              <w:top w:w="0" w:type="dxa"/>
              <w:left w:w="57" w:type="dxa"/>
              <w:bottom w:w="0" w:type="dxa"/>
              <w:right w:w="57" w:type="dxa"/>
            </w:tcMar>
            <w:vAlign w:val="center"/>
          </w:tcPr>
          <w:p w14:paraId="6C333FC9">
            <w:pPr>
              <w:spacing w:after="0"/>
              <w:jc w:val="center"/>
              <w:rPr>
                <w:rFonts w:hint="default" w:ascii="Times New Roman" w:hAnsi="Times New Roman" w:eastAsia="宋体" w:cs="Times New Roman"/>
                <w:b w:val="0"/>
                <w:bCs/>
                <w:color w:val="auto"/>
                <w:kern w:val="2"/>
                <w:sz w:val="15"/>
                <w:szCs w:val="15"/>
                <w:highlight w:val="none"/>
              </w:rPr>
            </w:pPr>
            <w:r>
              <w:rPr>
                <w:rFonts w:hint="default" w:ascii="Times New Roman" w:hAnsi="Times New Roman" w:eastAsia="宋体" w:cs="Times New Roman"/>
                <w:b w:val="0"/>
                <w:bCs/>
                <w:color w:val="auto"/>
                <w:kern w:val="2"/>
                <w:sz w:val="15"/>
                <w:szCs w:val="15"/>
                <w:highlight w:val="none"/>
              </w:rPr>
              <w:t>/</w:t>
            </w:r>
          </w:p>
        </w:tc>
        <w:tc>
          <w:tcPr>
            <w:tcW w:w="1725" w:type="dxa"/>
            <w:gridSpan w:val="2"/>
            <w:tcMar>
              <w:top w:w="0" w:type="dxa"/>
              <w:left w:w="57" w:type="dxa"/>
              <w:bottom w:w="0" w:type="dxa"/>
              <w:right w:w="57" w:type="dxa"/>
            </w:tcMar>
            <w:vAlign w:val="center"/>
          </w:tcPr>
          <w:p w14:paraId="6C333FCA">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年平均工作时间</w:t>
            </w:r>
          </w:p>
        </w:tc>
        <w:tc>
          <w:tcPr>
            <w:tcW w:w="2225" w:type="dxa"/>
            <w:gridSpan w:val="5"/>
            <w:tcMar>
              <w:top w:w="0" w:type="dxa"/>
              <w:left w:w="57" w:type="dxa"/>
              <w:bottom w:w="0" w:type="dxa"/>
              <w:right w:w="57" w:type="dxa"/>
            </w:tcMar>
            <w:vAlign w:val="center"/>
          </w:tcPr>
          <w:p w14:paraId="6C333FCB">
            <w:pPr>
              <w:spacing w:after="0"/>
              <w:jc w:val="center"/>
              <w:rPr>
                <w:rFonts w:hint="default" w:ascii="Times New Roman" w:hAnsi="Times New Roman" w:eastAsia="宋体" w:cs="Times New Roman"/>
                <w:b w:val="0"/>
                <w:bCs/>
                <w:color w:val="auto"/>
                <w:kern w:val="2"/>
                <w:sz w:val="15"/>
                <w:szCs w:val="15"/>
                <w:highlight w:val="none"/>
              </w:rPr>
            </w:pPr>
            <w:r>
              <w:rPr>
                <w:rFonts w:hint="eastAsia" w:eastAsia="宋体" w:cs="Times New Roman"/>
                <w:b w:val="0"/>
                <w:bCs/>
                <w:color w:val="auto"/>
                <w:kern w:val="2"/>
                <w:sz w:val="15"/>
                <w:szCs w:val="15"/>
                <w:highlight w:val="none"/>
                <w:lang w:val="en-US" w:eastAsia="zh-CN"/>
              </w:rPr>
              <w:t>361</w:t>
            </w:r>
            <w:r>
              <w:rPr>
                <w:rFonts w:hint="default" w:ascii="Times New Roman" w:hAnsi="Times New Roman" w:eastAsia="宋体" w:cs="Times New Roman"/>
                <w:b w:val="0"/>
                <w:bCs/>
                <w:color w:val="auto"/>
                <w:kern w:val="2"/>
                <w:sz w:val="15"/>
                <w:szCs w:val="15"/>
                <w:highlight w:val="none"/>
              </w:rPr>
              <w:t>天</w:t>
            </w:r>
          </w:p>
        </w:tc>
      </w:tr>
      <w:tr w14:paraId="6C333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444" w:type="dxa"/>
            <w:gridSpan w:val="2"/>
            <w:vAlign w:val="center"/>
          </w:tcPr>
          <w:p w14:paraId="6C333FCD">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运营单位</w:t>
            </w:r>
          </w:p>
        </w:tc>
        <w:tc>
          <w:tcPr>
            <w:tcW w:w="3000" w:type="dxa"/>
            <w:gridSpan w:val="5"/>
            <w:vAlign w:val="center"/>
          </w:tcPr>
          <w:p w14:paraId="6C333FCE">
            <w:pPr>
              <w:spacing w:after="0"/>
              <w:jc w:val="center"/>
              <w:rPr>
                <w:rFonts w:hint="eastAsia" w:ascii="Times New Roman" w:hAnsi="Times New Roman" w:eastAsia="宋体" w:cs="Times New Roman"/>
                <w:b/>
                <w:color w:val="auto"/>
                <w:kern w:val="2"/>
                <w:sz w:val="15"/>
                <w:szCs w:val="15"/>
                <w:highlight w:val="none"/>
                <w:lang w:eastAsia="zh-CN"/>
              </w:rPr>
            </w:pPr>
            <w:r>
              <w:rPr>
                <w:rFonts w:hint="eastAsia" w:eastAsia="宋体" w:cs="Times New Roman"/>
                <w:b w:val="0"/>
                <w:bCs/>
                <w:color w:val="auto"/>
                <w:sz w:val="15"/>
                <w:szCs w:val="15"/>
                <w:highlight w:val="none"/>
                <w:lang w:eastAsia="zh-CN"/>
              </w:rPr>
              <w:t>长垣市聚博环保科技有限公司</w:t>
            </w:r>
          </w:p>
        </w:tc>
        <w:tc>
          <w:tcPr>
            <w:tcW w:w="2873" w:type="dxa"/>
            <w:gridSpan w:val="4"/>
            <w:vAlign w:val="center"/>
          </w:tcPr>
          <w:p w14:paraId="6C333FCF">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运营单位社会统一信用代码（或组织机构代码）</w:t>
            </w:r>
          </w:p>
        </w:tc>
        <w:tc>
          <w:tcPr>
            <w:tcW w:w="2542" w:type="dxa"/>
            <w:gridSpan w:val="2"/>
            <w:tcMar>
              <w:top w:w="0" w:type="dxa"/>
              <w:left w:w="57" w:type="dxa"/>
              <w:bottom w:w="0" w:type="dxa"/>
              <w:right w:w="57" w:type="dxa"/>
            </w:tcMar>
            <w:vAlign w:val="center"/>
          </w:tcPr>
          <w:p w14:paraId="6C333FD0">
            <w:pPr>
              <w:spacing w:after="0"/>
              <w:jc w:val="center"/>
              <w:rPr>
                <w:rFonts w:hint="default" w:ascii="Times New Roman" w:hAnsi="Times New Roman" w:eastAsia="宋体" w:cs="Times New Roman"/>
                <w:b w:val="0"/>
                <w:bCs/>
                <w:color w:val="auto"/>
                <w:kern w:val="2"/>
                <w:sz w:val="15"/>
                <w:szCs w:val="15"/>
                <w:highlight w:val="none"/>
              </w:rPr>
            </w:pPr>
            <w:r>
              <w:rPr>
                <w:rFonts w:hint="default" w:ascii="Times New Roman" w:hAnsi="Times New Roman" w:eastAsia="宋体" w:cs="Times New Roman"/>
                <w:b w:val="0"/>
                <w:bCs/>
                <w:color w:val="auto"/>
                <w:kern w:val="2"/>
                <w:sz w:val="15"/>
                <w:szCs w:val="15"/>
                <w:highlight w:val="none"/>
              </w:rPr>
              <w:t>91410728MA44R9Q13L</w:t>
            </w:r>
          </w:p>
        </w:tc>
        <w:tc>
          <w:tcPr>
            <w:tcW w:w="1725" w:type="dxa"/>
            <w:gridSpan w:val="2"/>
            <w:tcMar>
              <w:top w:w="0" w:type="dxa"/>
              <w:left w:w="57" w:type="dxa"/>
              <w:bottom w:w="0" w:type="dxa"/>
              <w:right w:w="57" w:type="dxa"/>
            </w:tcMar>
            <w:vAlign w:val="center"/>
          </w:tcPr>
          <w:p w14:paraId="6C333FD1">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验收时间</w:t>
            </w:r>
          </w:p>
        </w:tc>
        <w:tc>
          <w:tcPr>
            <w:tcW w:w="2225" w:type="dxa"/>
            <w:gridSpan w:val="5"/>
            <w:tcMar>
              <w:top w:w="0" w:type="dxa"/>
              <w:left w:w="57" w:type="dxa"/>
              <w:bottom w:w="0" w:type="dxa"/>
              <w:right w:w="57" w:type="dxa"/>
            </w:tcMar>
            <w:vAlign w:val="center"/>
          </w:tcPr>
          <w:p w14:paraId="6C333FD2">
            <w:pPr>
              <w:spacing w:after="0"/>
              <w:jc w:val="center"/>
              <w:rPr>
                <w:rFonts w:hint="default" w:ascii="Times New Roman" w:hAnsi="Times New Roman" w:eastAsia="宋体" w:cs="Times New Roman"/>
                <w:b w:val="0"/>
                <w:bCs/>
                <w:color w:val="auto"/>
                <w:kern w:val="2"/>
                <w:sz w:val="15"/>
                <w:szCs w:val="15"/>
                <w:highlight w:val="none"/>
                <w:lang w:val="en-US" w:eastAsia="zh-CN"/>
              </w:rPr>
            </w:pPr>
            <w:r>
              <w:rPr>
                <w:rFonts w:hint="default" w:ascii="Times New Roman" w:hAnsi="Times New Roman" w:eastAsia="宋体" w:cs="Times New Roman"/>
                <w:b w:val="0"/>
                <w:bCs/>
                <w:color w:val="auto"/>
                <w:kern w:val="2"/>
                <w:sz w:val="15"/>
                <w:szCs w:val="15"/>
                <w:highlight w:val="none"/>
              </w:rPr>
              <w:t>202</w:t>
            </w:r>
            <w:r>
              <w:rPr>
                <w:rFonts w:hint="default" w:ascii="Times New Roman" w:hAnsi="Times New Roman" w:eastAsia="宋体" w:cs="Times New Roman"/>
                <w:b w:val="0"/>
                <w:bCs/>
                <w:color w:val="auto"/>
                <w:kern w:val="2"/>
                <w:sz w:val="15"/>
                <w:szCs w:val="15"/>
                <w:highlight w:val="none"/>
                <w:lang w:val="en-US" w:eastAsia="zh-CN"/>
              </w:rPr>
              <w:t>6</w:t>
            </w:r>
            <w:r>
              <w:rPr>
                <w:rFonts w:hint="default" w:ascii="Times New Roman" w:hAnsi="Times New Roman" w:eastAsia="宋体" w:cs="Times New Roman"/>
                <w:b w:val="0"/>
                <w:bCs/>
                <w:color w:val="auto"/>
                <w:kern w:val="2"/>
                <w:sz w:val="15"/>
                <w:szCs w:val="15"/>
                <w:highlight w:val="none"/>
              </w:rPr>
              <w:t>年</w:t>
            </w:r>
            <w:r>
              <w:rPr>
                <w:rFonts w:hint="eastAsia" w:eastAsia="宋体" w:cs="Times New Roman"/>
                <w:b w:val="0"/>
                <w:bCs/>
                <w:color w:val="auto"/>
                <w:kern w:val="2"/>
                <w:sz w:val="15"/>
                <w:szCs w:val="15"/>
                <w:highlight w:val="none"/>
                <w:lang w:val="en-US" w:eastAsia="zh-CN"/>
              </w:rPr>
              <w:t>8</w:t>
            </w:r>
            <w:r>
              <w:rPr>
                <w:rFonts w:hint="default" w:ascii="Times New Roman" w:hAnsi="Times New Roman" w:eastAsia="宋体" w:cs="Times New Roman"/>
                <w:b w:val="0"/>
                <w:bCs/>
                <w:color w:val="auto"/>
                <w:kern w:val="2"/>
                <w:sz w:val="15"/>
                <w:szCs w:val="15"/>
                <w:highlight w:val="none"/>
              </w:rPr>
              <w:t>月</w:t>
            </w:r>
            <w:r>
              <w:rPr>
                <w:rFonts w:hint="eastAsia" w:eastAsia="宋体" w:cs="Times New Roman"/>
                <w:b w:val="0"/>
                <w:bCs/>
                <w:color w:val="auto"/>
                <w:kern w:val="2"/>
                <w:sz w:val="15"/>
                <w:szCs w:val="15"/>
                <w:highlight w:val="none"/>
                <w:lang w:val="en-US" w:eastAsia="zh-CN"/>
              </w:rPr>
              <w:t>-9月</w:t>
            </w:r>
          </w:p>
        </w:tc>
      </w:tr>
      <w:tr w14:paraId="6C333F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01" w:type="dxa"/>
            <w:vMerge w:val="restart"/>
            <w:vAlign w:val="center"/>
          </w:tcPr>
          <w:p w14:paraId="6C333FD4">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污染</w:t>
            </w:r>
          </w:p>
          <w:p w14:paraId="6C333FD5">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物排</w:t>
            </w:r>
          </w:p>
          <w:p w14:paraId="6C333FD6">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放达</w:t>
            </w:r>
          </w:p>
          <w:p w14:paraId="6C333FD7">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标与</w:t>
            </w:r>
          </w:p>
          <w:p w14:paraId="6C333FD8">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总量</w:t>
            </w:r>
          </w:p>
          <w:p w14:paraId="6C333FD9">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控制（工</w:t>
            </w:r>
          </w:p>
          <w:p w14:paraId="6C333FDA">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业建</w:t>
            </w:r>
          </w:p>
          <w:p w14:paraId="6C333FDB">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设项</w:t>
            </w:r>
          </w:p>
          <w:p w14:paraId="6C333FDC">
            <w:pPr>
              <w:spacing w:after="0"/>
              <w:jc w:val="center"/>
              <w:rPr>
                <w:rFonts w:hint="default" w:ascii="Times New Roman" w:hAnsi="Times New Roman" w:eastAsia="宋体" w:cs="Times New Roman"/>
                <w:b/>
                <w:color w:val="auto"/>
                <w:spacing w:val="20"/>
                <w:kern w:val="2"/>
                <w:sz w:val="15"/>
                <w:szCs w:val="15"/>
                <w:highlight w:val="none"/>
              </w:rPr>
            </w:pPr>
            <w:r>
              <w:rPr>
                <w:rFonts w:hint="default" w:ascii="Times New Roman" w:hAnsi="Times New Roman" w:eastAsia="宋体" w:cs="Times New Roman"/>
                <w:b/>
                <w:color w:val="auto"/>
                <w:spacing w:val="20"/>
                <w:kern w:val="2"/>
                <w:sz w:val="15"/>
                <w:szCs w:val="15"/>
                <w:highlight w:val="none"/>
              </w:rPr>
              <w:t>目详填）</w:t>
            </w:r>
          </w:p>
        </w:tc>
        <w:tc>
          <w:tcPr>
            <w:tcW w:w="1843" w:type="dxa"/>
            <w:vAlign w:val="center"/>
          </w:tcPr>
          <w:p w14:paraId="6C333FDD">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污染物</w:t>
            </w:r>
          </w:p>
        </w:tc>
        <w:tc>
          <w:tcPr>
            <w:tcW w:w="850" w:type="dxa"/>
            <w:gridSpan w:val="2"/>
            <w:vAlign w:val="center"/>
          </w:tcPr>
          <w:p w14:paraId="6C333FDE">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原有排</w:t>
            </w:r>
          </w:p>
          <w:p w14:paraId="6C333FDF">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放量(1)</w:t>
            </w:r>
          </w:p>
        </w:tc>
        <w:tc>
          <w:tcPr>
            <w:tcW w:w="1055" w:type="dxa"/>
            <w:vAlign w:val="center"/>
          </w:tcPr>
          <w:p w14:paraId="6C333FE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本期工程实际排放浓度(2)</w:t>
            </w:r>
          </w:p>
        </w:tc>
        <w:tc>
          <w:tcPr>
            <w:tcW w:w="1095" w:type="dxa"/>
            <w:gridSpan w:val="2"/>
            <w:vAlign w:val="center"/>
          </w:tcPr>
          <w:p w14:paraId="6C333FE1">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本期工程允许排放浓度(3)</w:t>
            </w:r>
          </w:p>
        </w:tc>
        <w:tc>
          <w:tcPr>
            <w:tcW w:w="915" w:type="dxa"/>
            <w:gridSpan w:val="2"/>
            <w:vAlign w:val="center"/>
          </w:tcPr>
          <w:p w14:paraId="6C333FE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本期工程产生量(4)</w:t>
            </w:r>
          </w:p>
        </w:tc>
        <w:tc>
          <w:tcPr>
            <w:tcW w:w="1095" w:type="dxa"/>
            <w:vAlign w:val="center"/>
          </w:tcPr>
          <w:p w14:paraId="6C333FE3">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本期工程自身削减量(5)</w:t>
            </w:r>
          </w:p>
        </w:tc>
        <w:tc>
          <w:tcPr>
            <w:tcW w:w="863" w:type="dxa"/>
            <w:vAlign w:val="center"/>
          </w:tcPr>
          <w:p w14:paraId="6C333FE4">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本期工程实际排放量(6)</w:t>
            </w:r>
          </w:p>
        </w:tc>
        <w:tc>
          <w:tcPr>
            <w:tcW w:w="1356" w:type="dxa"/>
            <w:vAlign w:val="center"/>
          </w:tcPr>
          <w:p w14:paraId="6C333FE5">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本期工程核定排放总量(7)</w:t>
            </w:r>
          </w:p>
        </w:tc>
        <w:tc>
          <w:tcPr>
            <w:tcW w:w="1186" w:type="dxa"/>
            <w:vAlign w:val="center"/>
          </w:tcPr>
          <w:p w14:paraId="6C333FE6">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本期工程“以新带老”削减量(8)</w:t>
            </w:r>
          </w:p>
        </w:tc>
        <w:tc>
          <w:tcPr>
            <w:tcW w:w="825" w:type="dxa"/>
            <w:vAlign w:val="center"/>
          </w:tcPr>
          <w:p w14:paraId="6C333FE7">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全厂实际排放总量(9)</w:t>
            </w:r>
          </w:p>
        </w:tc>
        <w:tc>
          <w:tcPr>
            <w:tcW w:w="900" w:type="dxa"/>
            <w:vAlign w:val="center"/>
          </w:tcPr>
          <w:p w14:paraId="6C333FE8">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全厂核定排放总量(10)</w:t>
            </w:r>
          </w:p>
        </w:tc>
        <w:tc>
          <w:tcPr>
            <w:tcW w:w="1342" w:type="dxa"/>
            <w:gridSpan w:val="3"/>
            <w:tcMar>
              <w:top w:w="0" w:type="dxa"/>
              <w:left w:w="57" w:type="dxa"/>
              <w:bottom w:w="0" w:type="dxa"/>
              <w:right w:w="57" w:type="dxa"/>
            </w:tcMar>
            <w:vAlign w:val="center"/>
          </w:tcPr>
          <w:p w14:paraId="6C333FE9">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区域平衡替代削减量(11)</w:t>
            </w:r>
          </w:p>
        </w:tc>
        <w:tc>
          <w:tcPr>
            <w:tcW w:w="883" w:type="dxa"/>
            <w:gridSpan w:val="2"/>
            <w:tcMar>
              <w:top w:w="0" w:type="dxa"/>
              <w:left w:w="57" w:type="dxa"/>
              <w:bottom w:w="0" w:type="dxa"/>
              <w:right w:w="57" w:type="dxa"/>
            </w:tcMar>
            <w:vAlign w:val="center"/>
          </w:tcPr>
          <w:p w14:paraId="6C333FEA">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排放增减量(12)</w:t>
            </w:r>
          </w:p>
        </w:tc>
      </w:tr>
      <w:tr w14:paraId="6C33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3FEC">
            <w:pPr>
              <w:adjustRightInd/>
              <w:snapToGrid/>
              <w:spacing w:after="0"/>
              <w:rPr>
                <w:rFonts w:hint="default" w:ascii="Times New Roman" w:hAnsi="Times New Roman" w:eastAsia="宋体" w:cs="Times New Roman"/>
                <w:b/>
                <w:color w:val="auto"/>
                <w:spacing w:val="20"/>
                <w:kern w:val="2"/>
                <w:sz w:val="15"/>
                <w:szCs w:val="15"/>
                <w:highlight w:val="none"/>
              </w:rPr>
            </w:pPr>
          </w:p>
        </w:tc>
        <w:tc>
          <w:tcPr>
            <w:tcW w:w="1843" w:type="dxa"/>
            <w:vAlign w:val="center"/>
          </w:tcPr>
          <w:p w14:paraId="6C333FED">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废水（万吨/年）</w:t>
            </w:r>
          </w:p>
        </w:tc>
        <w:tc>
          <w:tcPr>
            <w:tcW w:w="850" w:type="dxa"/>
            <w:gridSpan w:val="2"/>
            <w:vAlign w:val="center"/>
          </w:tcPr>
          <w:p w14:paraId="6C333FEE">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55" w:type="dxa"/>
            <w:vAlign w:val="center"/>
          </w:tcPr>
          <w:p w14:paraId="6C333FEF">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95" w:type="dxa"/>
            <w:gridSpan w:val="2"/>
            <w:vAlign w:val="center"/>
          </w:tcPr>
          <w:p w14:paraId="6C333FF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915" w:type="dxa"/>
            <w:gridSpan w:val="2"/>
            <w:vAlign w:val="center"/>
          </w:tcPr>
          <w:p w14:paraId="6C333FF1">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095" w:type="dxa"/>
            <w:vAlign w:val="center"/>
          </w:tcPr>
          <w:p w14:paraId="6C333FF2">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863" w:type="dxa"/>
            <w:vAlign w:val="center"/>
          </w:tcPr>
          <w:p w14:paraId="6C333FF3">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356" w:type="dxa"/>
            <w:vAlign w:val="center"/>
          </w:tcPr>
          <w:p w14:paraId="6C333FF4">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w:t>
            </w:r>
          </w:p>
        </w:tc>
        <w:tc>
          <w:tcPr>
            <w:tcW w:w="1186" w:type="dxa"/>
            <w:vAlign w:val="center"/>
          </w:tcPr>
          <w:p w14:paraId="6C333FF5">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25" w:type="dxa"/>
            <w:vAlign w:val="center"/>
          </w:tcPr>
          <w:p w14:paraId="6C333FF6">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900" w:type="dxa"/>
            <w:vAlign w:val="center"/>
          </w:tcPr>
          <w:p w14:paraId="6C333FF7">
            <w:pPr>
              <w:spacing w:after="0"/>
              <w:jc w:val="center"/>
              <w:rPr>
                <w:rFonts w:hint="eastAsia"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w:t>
            </w:r>
          </w:p>
        </w:tc>
        <w:tc>
          <w:tcPr>
            <w:tcW w:w="1342" w:type="dxa"/>
            <w:gridSpan w:val="3"/>
            <w:tcMar>
              <w:top w:w="0" w:type="dxa"/>
              <w:left w:w="57" w:type="dxa"/>
              <w:bottom w:w="0" w:type="dxa"/>
              <w:right w:w="57" w:type="dxa"/>
            </w:tcMar>
            <w:vAlign w:val="center"/>
          </w:tcPr>
          <w:p w14:paraId="6C333FF8">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83" w:type="dxa"/>
            <w:gridSpan w:val="2"/>
            <w:tcMar>
              <w:top w:w="0" w:type="dxa"/>
              <w:left w:w="57" w:type="dxa"/>
              <w:bottom w:w="0" w:type="dxa"/>
              <w:right w:w="57" w:type="dxa"/>
            </w:tcMar>
            <w:vAlign w:val="center"/>
          </w:tcPr>
          <w:p w14:paraId="6C333FF9">
            <w:pPr>
              <w:spacing w:after="0"/>
              <w:jc w:val="center"/>
              <w:rPr>
                <w:rFonts w:hint="eastAsia"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w:t>
            </w:r>
          </w:p>
        </w:tc>
      </w:tr>
      <w:tr w14:paraId="6C334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3FFB">
            <w:pPr>
              <w:adjustRightInd/>
              <w:snapToGrid/>
              <w:spacing w:after="0"/>
              <w:rPr>
                <w:rFonts w:hint="default" w:ascii="Times New Roman" w:hAnsi="Times New Roman" w:eastAsia="宋体" w:cs="Times New Roman"/>
                <w:b/>
                <w:color w:val="auto"/>
                <w:spacing w:val="20"/>
                <w:kern w:val="2"/>
                <w:sz w:val="15"/>
                <w:szCs w:val="15"/>
                <w:highlight w:val="none"/>
              </w:rPr>
            </w:pPr>
          </w:p>
        </w:tc>
        <w:tc>
          <w:tcPr>
            <w:tcW w:w="1843" w:type="dxa"/>
            <w:vAlign w:val="center"/>
          </w:tcPr>
          <w:p w14:paraId="6C333FF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化学需氧量</w:t>
            </w:r>
          </w:p>
        </w:tc>
        <w:tc>
          <w:tcPr>
            <w:tcW w:w="850" w:type="dxa"/>
            <w:gridSpan w:val="2"/>
            <w:shd w:val="clear" w:color="auto" w:fill="auto"/>
            <w:vAlign w:val="center"/>
          </w:tcPr>
          <w:p w14:paraId="6C333FFD">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55" w:type="dxa"/>
            <w:shd w:val="clear" w:color="auto" w:fill="auto"/>
            <w:vAlign w:val="center"/>
          </w:tcPr>
          <w:p w14:paraId="6C333FFE">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95" w:type="dxa"/>
            <w:gridSpan w:val="2"/>
            <w:shd w:val="clear" w:color="auto" w:fill="auto"/>
            <w:vAlign w:val="center"/>
          </w:tcPr>
          <w:p w14:paraId="6C333FFF">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915" w:type="dxa"/>
            <w:gridSpan w:val="2"/>
            <w:shd w:val="clear" w:color="auto" w:fill="auto"/>
            <w:vAlign w:val="center"/>
          </w:tcPr>
          <w:p w14:paraId="6C334000">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095" w:type="dxa"/>
            <w:shd w:val="clear" w:color="auto" w:fill="auto"/>
            <w:vAlign w:val="center"/>
          </w:tcPr>
          <w:p w14:paraId="6C334001">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863" w:type="dxa"/>
            <w:shd w:val="clear" w:color="auto" w:fill="auto"/>
            <w:vAlign w:val="center"/>
          </w:tcPr>
          <w:p w14:paraId="6C334002">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356" w:type="dxa"/>
            <w:shd w:val="clear" w:color="auto" w:fill="auto"/>
            <w:vAlign w:val="center"/>
          </w:tcPr>
          <w:p w14:paraId="6C334003">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w:t>
            </w:r>
          </w:p>
        </w:tc>
        <w:tc>
          <w:tcPr>
            <w:tcW w:w="1186" w:type="dxa"/>
            <w:shd w:val="clear" w:color="auto" w:fill="auto"/>
            <w:vAlign w:val="center"/>
          </w:tcPr>
          <w:p w14:paraId="6C334004">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25" w:type="dxa"/>
            <w:shd w:val="clear" w:color="auto" w:fill="auto"/>
            <w:vAlign w:val="center"/>
          </w:tcPr>
          <w:p w14:paraId="6C334005">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900" w:type="dxa"/>
            <w:shd w:val="clear" w:color="auto" w:fill="auto"/>
            <w:vAlign w:val="center"/>
          </w:tcPr>
          <w:p w14:paraId="6C334006">
            <w:pPr>
              <w:spacing w:after="0"/>
              <w:jc w:val="center"/>
              <w:rPr>
                <w:rFonts w:hint="eastAsia"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w:t>
            </w:r>
          </w:p>
        </w:tc>
        <w:tc>
          <w:tcPr>
            <w:tcW w:w="1342" w:type="dxa"/>
            <w:gridSpan w:val="3"/>
            <w:shd w:val="clear" w:color="auto" w:fill="auto"/>
            <w:tcMar>
              <w:top w:w="0" w:type="dxa"/>
              <w:left w:w="57" w:type="dxa"/>
              <w:bottom w:w="0" w:type="dxa"/>
              <w:right w:w="57" w:type="dxa"/>
            </w:tcMar>
            <w:vAlign w:val="center"/>
          </w:tcPr>
          <w:p w14:paraId="6C334007">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83" w:type="dxa"/>
            <w:gridSpan w:val="2"/>
            <w:shd w:val="clear" w:color="auto" w:fill="auto"/>
            <w:tcMar>
              <w:top w:w="0" w:type="dxa"/>
              <w:left w:w="57" w:type="dxa"/>
              <w:bottom w:w="0" w:type="dxa"/>
              <w:right w:w="57" w:type="dxa"/>
            </w:tcMar>
            <w:vAlign w:val="center"/>
          </w:tcPr>
          <w:p w14:paraId="6C334008">
            <w:pPr>
              <w:spacing w:after="0"/>
              <w:jc w:val="center"/>
              <w:rPr>
                <w:rFonts w:hint="eastAsia"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w:t>
            </w:r>
          </w:p>
        </w:tc>
      </w:tr>
      <w:tr w14:paraId="6C334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400A">
            <w:pPr>
              <w:adjustRightInd/>
              <w:snapToGrid/>
              <w:spacing w:after="0"/>
              <w:rPr>
                <w:rFonts w:hint="default" w:ascii="Times New Roman" w:hAnsi="Times New Roman" w:eastAsia="宋体" w:cs="Times New Roman"/>
                <w:b/>
                <w:color w:val="auto"/>
                <w:spacing w:val="20"/>
                <w:kern w:val="2"/>
                <w:sz w:val="15"/>
                <w:szCs w:val="15"/>
                <w:highlight w:val="none"/>
              </w:rPr>
            </w:pPr>
          </w:p>
        </w:tc>
        <w:tc>
          <w:tcPr>
            <w:tcW w:w="1843" w:type="dxa"/>
            <w:vAlign w:val="center"/>
          </w:tcPr>
          <w:p w14:paraId="6C33400B">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氨氮</w:t>
            </w:r>
          </w:p>
        </w:tc>
        <w:tc>
          <w:tcPr>
            <w:tcW w:w="850" w:type="dxa"/>
            <w:gridSpan w:val="2"/>
            <w:shd w:val="clear" w:color="auto" w:fill="auto"/>
            <w:vAlign w:val="center"/>
          </w:tcPr>
          <w:p w14:paraId="6C33400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55" w:type="dxa"/>
            <w:shd w:val="clear" w:color="auto" w:fill="auto"/>
            <w:vAlign w:val="center"/>
          </w:tcPr>
          <w:p w14:paraId="6C33400D">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95" w:type="dxa"/>
            <w:gridSpan w:val="2"/>
            <w:shd w:val="clear" w:color="auto" w:fill="auto"/>
            <w:vAlign w:val="center"/>
          </w:tcPr>
          <w:p w14:paraId="6C33400E">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915" w:type="dxa"/>
            <w:gridSpan w:val="2"/>
            <w:shd w:val="clear" w:color="auto" w:fill="auto"/>
            <w:vAlign w:val="center"/>
          </w:tcPr>
          <w:p w14:paraId="6C33400F">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095" w:type="dxa"/>
            <w:shd w:val="clear" w:color="auto" w:fill="auto"/>
            <w:vAlign w:val="center"/>
          </w:tcPr>
          <w:p w14:paraId="6C334010">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863" w:type="dxa"/>
            <w:shd w:val="clear" w:color="auto" w:fill="auto"/>
            <w:vAlign w:val="center"/>
          </w:tcPr>
          <w:p w14:paraId="6C334011">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356" w:type="dxa"/>
            <w:shd w:val="clear" w:color="auto" w:fill="auto"/>
            <w:vAlign w:val="center"/>
          </w:tcPr>
          <w:p w14:paraId="6C334012">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w:t>
            </w:r>
          </w:p>
        </w:tc>
        <w:tc>
          <w:tcPr>
            <w:tcW w:w="1186" w:type="dxa"/>
            <w:shd w:val="clear" w:color="auto" w:fill="auto"/>
            <w:vAlign w:val="center"/>
          </w:tcPr>
          <w:p w14:paraId="6C334013">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25" w:type="dxa"/>
            <w:shd w:val="clear" w:color="auto" w:fill="auto"/>
            <w:vAlign w:val="center"/>
          </w:tcPr>
          <w:p w14:paraId="6C334014">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900" w:type="dxa"/>
            <w:shd w:val="clear" w:color="auto" w:fill="auto"/>
            <w:vAlign w:val="center"/>
          </w:tcPr>
          <w:p w14:paraId="6C334015">
            <w:pPr>
              <w:spacing w:after="0"/>
              <w:jc w:val="center"/>
              <w:rPr>
                <w:rFonts w:hint="eastAsia"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w:t>
            </w:r>
          </w:p>
        </w:tc>
        <w:tc>
          <w:tcPr>
            <w:tcW w:w="1342" w:type="dxa"/>
            <w:gridSpan w:val="3"/>
            <w:shd w:val="clear" w:color="auto" w:fill="auto"/>
            <w:tcMar>
              <w:top w:w="0" w:type="dxa"/>
              <w:left w:w="57" w:type="dxa"/>
              <w:bottom w:w="0" w:type="dxa"/>
              <w:right w:w="57" w:type="dxa"/>
            </w:tcMar>
            <w:vAlign w:val="center"/>
          </w:tcPr>
          <w:p w14:paraId="6C334016">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83" w:type="dxa"/>
            <w:gridSpan w:val="2"/>
            <w:shd w:val="clear" w:color="auto" w:fill="auto"/>
            <w:tcMar>
              <w:top w:w="0" w:type="dxa"/>
              <w:left w:w="57" w:type="dxa"/>
              <w:bottom w:w="0" w:type="dxa"/>
              <w:right w:w="57" w:type="dxa"/>
            </w:tcMar>
            <w:vAlign w:val="center"/>
          </w:tcPr>
          <w:p w14:paraId="6C334017">
            <w:pPr>
              <w:spacing w:after="0"/>
              <w:jc w:val="center"/>
              <w:rPr>
                <w:rFonts w:hint="eastAsia"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w:t>
            </w:r>
          </w:p>
        </w:tc>
      </w:tr>
      <w:tr w14:paraId="6C334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C334019">
            <w:pPr>
              <w:adjustRightInd/>
              <w:snapToGrid/>
              <w:spacing w:after="0"/>
              <w:rPr>
                <w:rFonts w:hint="default" w:ascii="Times New Roman" w:hAnsi="Times New Roman" w:eastAsia="宋体" w:cs="Times New Roman"/>
                <w:b/>
                <w:color w:val="auto"/>
                <w:spacing w:val="20"/>
                <w:kern w:val="2"/>
                <w:sz w:val="15"/>
                <w:szCs w:val="15"/>
                <w:highlight w:val="none"/>
              </w:rPr>
            </w:pPr>
          </w:p>
        </w:tc>
        <w:tc>
          <w:tcPr>
            <w:tcW w:w="1843" w:type="dxa"/>
            <w:vAlign w:val="center"/>
          </w:tcPr>
          <w:p w14:paraId="6C33401A">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废气</w:t>
            </w:r>
          </w:p>
        </w:tc>
        <w:tc>
          <w:tcPr>
            <w:tcW w:w="850" w:type="dxa"/>
            <w:gridSpan w:val="2"/>
            <w:shd w:val="clear" w:color="auto" w:fill="auto"/>
            <w:vAlign w:val="center"/>
          </w:tcPr>
          <w:p w14:paraId="6C33401B">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55" w:type="dxa"/>
            <w:shd w:val="clear" w:color="auto" w:fill="auto"/>
            <w:vAlign w:val="center"/>
          </w:tcPr>
          <w:p w14:paraId="6C33401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95" w:type="dxa"/>
            <w:gridSpan w:val="2"/>
            <w:shd w:val="clear" w:color="auto" w:fill="auto"/>
            <w:vAlign w:val="center"/>
          </w:tcPr>
          <w:p w14:paraId="6C33401D">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915" w:type="dxa"/>
            <w:gridSpan w:val="2"/>
            <w:shd w:val="clear" w:color="auto" w:fill="auto"/>
            <w:vAlign w:val="center"/>
          </w:tcPr>
          <w:p w14:paraId="6C33401E">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095" w:type="dxa"/>
            <w:shd w:val="clear" w:color="auto" w:fill="auto"/>
            <w:vAlign w:val="center"/>
          </w:tcPr>
          <w:p w14:paraId="6C33401F">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863" w:type="dxa"/>
            <w:shd w:val="clear" w:color="auto" w:fill="auto"/>
            <w:vAlign w:val="center"/>
          </w:tcPr>
          <w:p w14:paraId="6C334020">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356" w:type="dxa"/>
            <w:shd w:val="clear" w:color="auto" w:fill="auto"/>
            <w:vAlign w:val="center"/>
          </w:tcPr>
          <w:p w14:paraId="6C334021">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186" w:type="dxa"/>
            <w:shd w:val="clear" w:color="auto" w:fill="auto"/>
            <w:vAlign w:val="center"/>
          </w:tcPr>
          <w:p w14:paraId="6C33402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25" w:type="dxa"/>
            <w:shd w:val="clear" w:color="auto" w:fill="auto"/>
            <w:vAlign w:val="center"/>
          </w:tcPr>
          <w:p w14:paraId="6C334023">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900" w:type="dxa"/>
            <w:shd w:val="clear" w:color="auto" w:fill="auto"/>
            <w:vAlign w:val="center"/>
          </w:tcPr>
          <w:p w14:paraId="6C334024">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342" w:type="dxa"/>
            <w:gridSpan w:val="3"/>
            <w:shd w:val="clear" w:color="auto" w:fill="auto"/>
            <w:tcMar>
              <w:top w:w="0" w:type="dxa"/>
              <w:left w:w="57" w:type="dxa"/>
              <w:bottom w:w="0" w:type="dxa"/>
              <w:right w:w="57" w:type="dxa"/>
            </w:tcMar>
            <w:vAlign w:val="center"/>
          </w:tcPr>
          <w:p w14:paraId="6C334025">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883" w:type="dxa"/>
            <w:gridSpan w:val="2"/>
            <w:shd w:val="clear" w:color="auto" w:fill="auto"/>
            <w:tcMar>
              <w:top w:w="0" w:type="dxa"/>
              <w:left w:w="57" w:type="dxa"/>
              <w:bottom w:w="0" w:type="dxa"/>
              <w:right w:w="57" w:type="dxa"/>
            </w:tcMar>
            <w:vAlign w:val="center"/>
          </w:tcPr>
          <w:p w14:paraId="6C334026">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r>
      <w:tr w14:paraId="26C74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6B2D5FF6">
            <w:pPr>
              <w:adjustRightInd/>
              <w:snapToGrid/>
              <w:spacing w:after="0"/>
              <w:rPr>
                <w:rFonts w:hint="default" w:ascii="Times New Roman" w:hAnsi="Times New Roman" w:eastAsia="宋体" w:cs="Times New Roman"/>
                <w:b/>
                <w:color w:val="auto"/>
                <w:spacing w:val="20"/>
                <w:kern w:val="2"/>
                <w:sz w:val="15"/>
                <w:szCs w:val="15"/>
                <w:highlight w:val="none"/>
              </w:rPr>
            </w:pPr>
          </w:p>
        </w:tc>
        <w:tc>
          <w:tcPr>
            <w:tcW w:w="1843" w:type="dxa"/>
            <w:vAlign w:val="center"/>
          </w:tcPr>
          <w:p w14:paraId="6CAB3309">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工业粉尘</w:t>
            </w:r>
          </w:p>
        </w:tc>
        <w:tc>
          <w:tcPr>
            <w:tcW w:w="850" w:type="dxa"/>
            <w:gridSpan w:val="2"/>
            <w:shd w:val="clear" w:color="auto" w:fill="auto"/>
            <w:vAlign w:val="center"/>
          </w:tcPr>
          <w:p w14:paraId="4FFF8EB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sz w:val="15"/>
                <w:szCs w:val="15"/>
                <w:highlight w:val="none"/>
              </w:rPr>
              <w:t>/</w:t>
            </w:r>
          </w:p>
        </w:tc>
        <w:tc>
          <w:tcPr>
            <w:tcW w:w="1055" w:type="dxa"/>
            <w:shd w:val="clear" w:color="auto" w:fill="auto"/>
            <w:vAlign w:val="center"/>
          </w:tcPr>
          <w:p w14:paraId="37BB2420">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sz w:val="15"/>
                <w:szCs w:val="15"/>
                <w:highlight w:val="none"/>
              </w:rPr>
              <w:t>/</w:t>
            </w:r>
          </w:p>
        </w:tc>
        <w:tc>
          <w:tcPr>
            <w:tcW w:w="1095" w:type="dxa"/>
            <w:gridSpan w:val="2"/>
            <w:shd w:val="clear" w:color="auto" w:fill="auto"/>
            <w:vAlign w:val="center"/>
          </w:tcPr>
          <w:p w14:paraId="2A3C003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sz w:val="15"/>
                <w:szCs w:val="15"/>
                <w:highlight w:val="none"/>
              </w:rPr>
              <w:t>/</w:t>
            </w:r>
          </w:p>
        </w:tc>
        <w:tc>
          <w:tcPr>
            <w:tcW w:w="915" w:type="dxa"/>
            <w:gridSpan w:val="2"/>
            <w:shd w:val="clear" w:color="auto" w:fill="auto"/>
            <w:vAlign w:val="center"/>
          </w:tcPr>
          <w:p w14:paraId="1543E232">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095" w:type="dxa"/>
            <w:shd w:val="clear" w:color="auto" w:fill="auto"/>
            <w:vAlign w:val="center"/>
          </w:tcPr>
          <w:p w14:paraId="0B7A5DBD">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863" w:type="dxa"/>
            <w:shd w:val="clear" w:color="auto" w:fill="auto"/>
            <w:vAlign w:val="center"/>
          </w:tcPr>
          <w:p w14:paraId="7B7E2AD0">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356" w:type="dxa"/>
            <w:shd w:val="clear" w:color="auto" w:fill="auto"/>
            <w:vAlign w:val="center"/>
          </w:tcPr>
          <w:p w14:paraId="68C44E86">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186" w:type="dxa"/>
            <w:shd w:val="clear" w:color="auto" w:fill="auto"/>
            <w:vAlign w:val="center"/>
          </w:tcPr>
          <w:p w14:paraId="2B4AB912">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sz w:val="15"/>
                <w:szCs w:val="15"/>
                <w:highlight w:val="none"/>
              </w:rPr>
              <w:t>/</w:t>
            </w:r>
          </w:p>
        </w:tc>
        <w:tc>
          <w:tcPr>
            <w:tcW w:w="825" w:type="dxa"/>
            <w:shd w:val="clear" w:color="auto" w:fill="auto"/>
            <w:vAlign w:val="center"/>
          </w:tcPr>
          <w:p w14:paraId="62C4395F">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900" w:type="dxa"/>
            <w:shd w:val="clear" w:color="auto" w:fill="auto"/>
            <w:vAlign w:val="center"/>
          </w:tcPr>
          <w:p w14:paraId="76B64B2E">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1342" w:type="dxa"/>
            <w:gridSpan w:val="3"/>
            <w:shd w:val="clear" w:color="auto" w:fill="auto"/>
            <w:tcMar>
              <w:top w:w="0" w:type="dxa"/>
              <w:left w:w="57" w:type="dxa"/>
              <w:bottom w:w="0" w:type="dxa"/>
              <w:right w:w="57" w:type="dxa"/>
            </w:tcMar>
            <w:vAlign w:val="center"/>
          </w:tcPr>
          <w:p w14:paraId="2B6FEF57">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sz w:val="15"/>
                <w:szCs w:val="15"/>
                <w:highlight w:val="none"/>
              </w:rPr>
              <w:t>/</w:t>
            </w:r>
          </w:p>
        </w:tc>
        <w:tc>
          <w:tcPr>
            <w:tcW w:w="883" w:type="dxa"/>
            <w:gridSpan w:val="2"/>
            <w:shd w:val="clear" w:color="auto" w:fill="auto"/>
            <w:tcMar>
              <w:top w:w="0" w:type="dxa"/>
              <w:left w:w="57" w:type="dxa"/>
              <w:bottom w:w="0" w:type="dxa"/>
              <w:right w:w="57" w:type="dxa"/>
            </w:tcMar>
            <w:vAlign w:val="center"/>
          </w:tcPr>
          <w:p w14:paraId="62D25AB1">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r>
      <w:tr w14:paraId="6C334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01" w:type="dxa"/>
            <w:vMerge w:val="continue"/>
            <w:vAlign w:val="center"/>
          </w:tcPr>
          <w:p w14:paraId="5ED3CD6E">
            <w:pPr>
              <w:adjustRightInd/>
              <w:snapToGrid/>
              <w:spacing w:after="0"/>
              <w:rPr>
                <w:rFonts w:hint="default" w:ascii="Times New Roman" w:hAnsi="Times New Roman" w:eastAsia="宋体" w:cs="Times New Roman"/>
                <w:b/>
                <w:color w:val="auto"/>
                <w:spacing w:val="20"/>
                <w:kern w:val="2"/>
                <w:sz w:val="15"/>
                <w:szCs w:val="15"/>
                <w:highlight w:val="none"/>
              </w:rPr>
            </w:pPr>
          </w:p>
        </w:tc>
        <w:tc>
          <w:tcPr>
            <w:tcW w:w="1843" w:type="dxa"/>
            <w:vAlign w:val="center"/>
          </w:tcPr>
          <w:p w14:paraId="6C334029">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spacing w:val="-6"/>
                <w:kern w:val="2"/>
                <w:sz w:val="15"/>
                <w:szCs w:val="15"/>
              </w:rPr>
              <w:t>与项目有关的其他特征污染物</w:t>
            </w:r>
            <w:r>
              <w:rPr>
                <w:rFonts w:hint="default" w:ascii="Times New Roman" w:hAnsi="Times New Roman" w:eastAsia="宋体" w:cs="Times New Roman"/>
                <w:b/>
                <w:color w:val="auto"/>
                <w:spacing w:val="-6"/>
                <w:kern w:val="2"/>
                <w:sz w:val="15"/>
                <w:szCs w:val="15"/>
                <w:lang w:eastAsia="zh-CN"/>
              </w:rPr>
              <w:t>（</w:t>
            </w:r>
            <w:r>
              <w:rPr>
                <w:rFonts w:hint="default" w:ascii="Times New Roman" w:hAnsi="Times New Roman" w:eastAsia="宋体" w:cs="Times New Roman"/>
                <w:b/>
                <w:color w:val="auto"/>
                <w:spacing w:val="-6"/>
                <w:kern w:val="2"/>
                <w:sz w:val="15"/>
                <w:szCs w:val="15"/>
                <w:highlight w:val="yellow"/>
                <w:lang w:val="en-US" w:eastAsia="zh-CN"/>
              </w:rPr>
              <w:t>非甲烷总烃</w:t>
            </w:r>
            <w:r>
              <w:rPr>
                <w:rFonts w:hint="default" w:ascii="Times New Roman" w:hAnsi="Times New Roman" w:eastAsia="宋体" w:cs="Times New Roman"/>
                <w:b/>
                <w:color w:val="auto"/>
                <w:spacing w:val="-6"/>
                <w:kern w:val="2"/>
                <w:sz w:val="15"/>
                <w:szCs w:val="15"/>
                <w:lang w:eastAsia="zh-CN"/>
              </w:rPr>
              <w:t>）</w:t>
            </w:r>
          </w:p>
        </w:tc>
        <w:tc>
          <w:tcPr>
            <w:tcW w:w="850" w:type="dxa"/>
            <w:gridSpan w:val="2"/>
            <w:shd w:val="clear" w:color="auto" w:fill="auto"/>
            <w:vAlign w:val="center"/>
          </w:tcPr>
          <w:p w14:paraId="6C33402A">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55" w:type="dxa"/>
            <w:shd w:val="clear" w:color="auto" w:fill="auto"/>
            <w:vAlign w:val="center"/>
          </w:tcPr>
          <w:p w14:paraId="6C33402B">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1095" w:type="dxa"/>
            <w:gridSpan w:val="2"/>
            <w:shd w:val="clear" w:color="auto" w:fill="auto"/>
            <w:vAlign w:val="center"/>
          </w:tcPr>
          <w:p w14:paraId="6C33402C">
            <w:pPr>
              <w:spacing w:after="0"/>
              <w:jc w:val="center"/>
              <w:rPr>
                <w:rFonts w:hint="default" w:ascii="Times New Roman" w:hAnsi="Times New Roman" w:eastAsia="宋体" w:cs="Times New Roman"/>
                <w:b/>
                <w:color w:val="auto"/>
                <w:kern w:val="2"/>
                <w:sz w:val="15"/>
                <w:szCs w:val="15"/>
                <w:highlight w:val="none"/>
              </w:rPr>
            </w:pPr>
            <w:r>
              <w:rPr>
                <w:rFonts w:hint="default" w:ascii="Times New Roman" w:hAnsi="Times New Roman" w:eastAsia="宋体" w:cs="Times New Roman"/>
                <w:b/>
                <w:color w:val="auto"/>
                <w:kern w:val="2"/>
                <w:sz w:val="15"/>
                <w:szCs w:val="15"/>
                <w:highlight w:val="none"/>
              </w:rPr>
              <w:t>/</w:t>
            </w:r>
          </w:p>
        </w:tc>
        <w:tc>
          <w:tcPr>
            <w:tcW w:w="915" w:type="dxa"/>
            <w:gridSpan w:val="2"/>
            <w:shd w:val="clear" w:color="auto" w:fill="auto"/>
            <w:vAlign w:val="center"/>
          </w:tcPr>
          <w:p w14:paraId="6C33402D">
            <w:pPr>
              <w:spacing w:after="0"/>
              <w:jc w:val="center"/>
              <w:rPr>
                <w:rFonts w:hint="default"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0.2456</w:t>
            </w:r>
          </w:p>
        </w:tc>
        <w:tc>
          <w:tcPr>
            <w:tcW w:w="1095" w:type="dxa"/>
            <w:shd w:val="clear" w:color="auto" w:fill="auto"/>
            <w:vAlign w:val="center"/>
          </w:tcPr>
          <w:p w14:paraId="6C33402E">
            <w:pPr>
              <w:spacing w:after="0"/>
              <w:jc w:val="center"/>
              <w:rPr>
                <w:rFonts w:hint="default" w:ascii="Times New Roman" w:hAnsi="Times New Roman" w:eastAsia="宋体" w:cs="Times New Roman"/>
                <w:b/>
                <w:color w:val="auto"/>
                <w:sz w:val="15"/>
                <w:szCs w:val="15"/>
                <w:highlight w:val="none"/>
              </w:rPr>
            </w:pPr>
            <w:r>
              <w:rPr>
                <w:rFonts w:hint="default" w:ascii="Times New Roman" w:hAnsi="Times New Roman" w:eastAsia="宋体" w:cs="Times New Roman"/>
                <w:b/>
                <w:color w:val="auto"/>
                <w:sz w:val="15"/>
                <w:szCs w:val="15"/>
                <w:highlight w:val="none"/>
              </w:rPr>
              <w:t>/</w:t>
            </w:r>
          </w:p>
        </w:tc>
        <w:tc>
          <w:tcPr>
            <w:tcW w:w="863" w:type="dxa"/>
            <w:shd w:val="clear" w:color="auto" w:fill="auto"/>
            <w:vAlign w:val="center"/>
          </w:tcPr>
          <w:p w14:paraId="6C33402F">
            <w:pPr>
              <w:spacing w:after="0"/>
              <w:jc w:val="center"/>
              <w:rPr>
                <w:rFonts w:hint="default" w:ascii="Times New Roman" w:hAnsi="Times New Roman" w:eastAsia="宋体" w:cs="Times New Roman"/>
                <w:b/>
                <w:color w:val="auto"/>
                <w:sz w:val="15"/>
                <w:szCs w:val="15"/>
                <w:highlight w:val="none"/>
                <w:lang w:val="en-US" w:eastAsia="zh-CN"/>
              </w:rPr>
            </w:pPr>
            <w:r>
              <w:rPr>
                <w:rFonts w:hint="eastAsia" w:eastAsia="宋体" w:cs="Times New Roman"/>
                <w:b/>
                <w:color w:val="auto"/>
                <w:sz w:val="15"/>
                <w:szCs w:val="15"/>
                <w:highlight w:val="none"/>
                <w:lang w:val="en-US" w:eastAsia="zh-CN"/>
              </w:rPr>
              <w:t>0.2456</w:t>
            </w:r>
          </w:p>
        </w:tc>
        <w:tc>
          <w:tcPr>
            <w:tcW w:w="1356" w:type="dxa"/>
            <w:shd w:val="clear" w:color="auto" w:fill="auto"/>
            <w:vAlign w:val="center"/>
          </w:tcPr>
          <w:p w14:paraId="6C334030">
            <w:pPr>
              <w:spacing w:after="0"/>
              <w:jc w:val="center"/>
              <w:rPr>
                <w:rFonts w:hint="default" w:ascii="Times New Roman" w:hAnsi="Times New Roman" w:eastAsia="宋体" w:cs="Times New Roman"/>
                <w:b w:val="0"/>
                <w:bCs/>
                <w:color w:val="auto"/>
                <w:sz w:val="15"/>
                <w:szCs w:val="15"/>
                <w:highlight w:val="none"/>
                <w:lang w:val="en-US" w:eastAsia="zh-CN"/>
              </w:rPr>
            </w:pPr>
            <w:r>
              <w:rPr>
                <w:rFonts w:hint="eastAsia" w:eastAsia="宋体" w:cs="Times New Roman"/>
                <w:b w:val="0"/>
                <w:bCs/>
                <w:color w:val="auto"/>
                <w:sz w:val="15"/>
                <w:szCs w:val="15"/>
                <w:highlight w:val="none"/>
                <w:lang w:val="en-US" w:eastAsia="zh-CN"/>
              </w:rPr>
              <w:t>0.2456</w:t>
            </w:r>
          </w:p>
        </w:tc>
        <w:tc>
          <w:tcPr>
            <w:tcW w:w="1186" w:type="dxa"/>
            <w:shd w:val="clear" w:color="auto" w:fill="auto"/>
            <w:vAlign w:val="center"/>
          </w:tcPr>
          <w:p w14:paraId="6C334031">
            <w:pPr>
              <w:spacing w:after="0"/>
              <w:jc w:val="center"/>
              <w:rPr>
                <w:rFonts w:hint="default" w:ascii="Times New Roman" w:hAnsi="Times New Roman" w:eastAsia="宋体" w:cs="Times New Roman"/>
                <w:b w:val="0"/>
                <w:bCs/>
                <w:color w:val="auto"/>
                <w:sz w:val="15"/>
                <w:szCs w:val="15"/>
                <w:highlight w:val="none"/>
                <w:lang w:val="en-US" w:eastAsia="zh-CN"/>
              </w:rPr>
            </w:pPr>
            <w:r>
              <w:rPr>
                <w:rFonts w:hint="default" w:ascii="Times New Roman" w:hAnsi="Times New Roman" w:eastAsia="宋体" w:cs="Times New Roman"/>
                <w:b w:val="0"/>
                <w:bCs/>
                <w:color w:val="auto"/>
                <w:sz w:val="15"/>
                <w:szCs w:val="15"/>
                <w:highlight w:val="none"/>
                <w:lang w:val="en-US" w:eastAsia="zh-CN"/>
              </w:rPr>
              <w:t>/</w:t>
            </w:r>
          </w:p>
        </w:tc>
        <w:tc>
          <w:tcPr>
            <w:tcW w:w="825" w:type="dxa"/>
            <w:shd w:val="clear" w:color="auto" w:fill="auto"/>
            <w:vAlign w:val="center"/>
          </w:tcPr>
          <w:p w14:paraId="6C334032">
            <w:pPr>
              <w:spacing w:after="0"/>
              <w:jc w:val="center"/>
              <w:rPr>
                <w:rFonts w:hint="default" w:ascii="Times New Roman" w:hAnsi="Times New Roman" w:eastAsia="宋体" w:cs="Times New Roman"/>
                <w:b/>
                <w:color w:val="auto"/>
                <w:sz w:val="15"/>
                <w:szCs w:val="15"/>
                <w:highlight w:val="none"/>
                <w:lang w:val="en-US" w:eastAsia="zh-CN"/>
              </w:rPr>
            </w:pPr>
            <w:r>
              <w:rPr>
                <w:rFonts w:hint="eastAsia" w:eastAsia="宋体" w:cs="Times New Roman"/>
                <w:b/>
                <w:color w:val="auto"/>
                <w:kern w:val="2"/>
                <w:sz w:val="15"/>
                <w:szCs w:val="15"/>
                <w:highlight w:val="none"/>
                <w:lang w:val="en-US" w:eastAsia="zh-CN"/>
              </w:rPr>
              <w:t>0.2456</w:t>
            </w:r>
          </w:p>
        </w:tc>
        <w:tc>
          <w:tcPr>
            <w:tcW w:w="900" w:type="dxa"/>
            <w:shd w:val="clear" w:color="auto" w:fill="auto"/>
            <w:vAlign w:val="center"/>
          </w:tcPr>
          <w:p w14:paraId="6C334033">
            <w:pPr>
              <w:spacing w:after="0"/>
              <w:jc w:val="center"/>
              <w:rPr>
                <w:rFonts w:hint="default" w:ascii="Times New Roman" w:hAnsi="Times New Roman" w:eastAsia="宋体" w:cs="Times New Roman"/>
                <w:b/>
                <w:color w:val="auto"/>
                <w:sz w:val="15"/>
                <w:szCs w:val="15"/>
                <w:highlight w:val="none"/>
                <w:lang w:val="en-US"/>
              </w:rPr>
            </w:pPr>
            <w:r>
              <w:rPr>
                <w:rFonts w:hint="eastAsia" w:eastAsia="宋体" w:cs="Times New Roman"/>
                <w:b w:val="0"/>
                <w:bCs/>
                <w:color w:val="auto"/>
                <w:sz w:val="15"/>
                <w:szCs w:val="15"/>
                <w:highlight w:val="none"/>
                <w:lang w:val="en-US" w:eastAsia="zh-CN"/>
              </w:rPr>
              <w:t>/</w:t>
            </w:r>
          </w:p>
        </w:tc>
        <w:tc>
          <w:tcPr>
            <w:tcW w:w="1342" w:type="dxa"/>
            <w:gridSpan w:val="3"/>
            <w:shd w:val="clear" w:color="auto" w:fill="auto"/>
            <w:tcMar>
              <w:top w:w="0" w:type="dxa"/>
              <w:left w:w="57" w:type="dxa"/>
              <w:bottom w:w="0" w:type="dxa"/>
              <w:right w:w="57" w:type="dxa"/>
            </w:tcMar>
            <w:vAlign w:val="center"/>
          </w:tcPr>
          <w:p w14:paraId="6C334034">
            <w:pPr>
              <w:spacing w:after="0"/>
              <w:jc w:val="center"/>
              <w:rPr>
                <w:rFonts w:hint="eastAsia" w:ascii="Times New Roman" w:hAnsi="Times New Roman" w:eastAsia="宋体" w:cs="Times New Roman"/>
                <w:b/>
                <w:color w:val="auto"/>
                <w:kern w:val="2"/>
                <w:sz w:val="15"/>
                <w:szCs w:val="15"/>
                <w:highlight w:val="none"/>
                <w:lang w:val="en-US" w:eastAsia="zh-CN"/>
              </w:rPr>
            </w:pPr>
            <w:r>
              <w:rPr>
                <w:rFonts w:hint="eastAsia" w:eastAsia="宋体" w:cs="Times New Roman"/>
                <w:b/>
                <w:color w:val="auto"/>
                <w:kern w:val="2"/>
                <w:sz w:val="15"/>
                <w:szCs w:val="15"/>
                <w:highlight w:val="none"/>
                <w:lang w:val="en-US" w:eastAsia="zh-CN"/>
              </w:rPr>
              <w:t>/</w:t>
            </w:r>
          </w:p>
        </w:tc>
        <w:tc>
          <w:tcPr>
            <w:tcW w:w="883" w:type="dxa"/>
            <w:gridSpan w:val="2"/>
            <w:shd w:val="clear" w:color="auto" w:fill="auto"/>
            <w:tcMar>
              <w:top w:w="0" w:type="dxa"/>
              <w:left w:w="57" w:type="dxa"/>
              <w:bottom w:w="0" w:type="dxa"/>
              <w:right w:w="57" w:type="dxa"/>
            </w:tcMar>
            <w:vAlign w:val="center"/>
          </w:tcPr>
          <w:p w14:paraId="6C334035">
            <w:pPr>
              <w:spacing w:after="0"/>
              <w:jc w:val="center"/>
              <w:rPr>
                <w:rFonts w:hint="default" w:ascii="Times New Roman" w:hAnsi="Times New Roman" w:eastAsia="宋体" w:cs="Times New Roman"/>
                <w:b/>
                <w:color w:val="auto"/>
                <w:sz w:val="15"/>
                <w:szCs w:val="15"/>
                <w:highlight w:val="none"/>
                <w:lang w:val="en-US" w:eastAsia="zh-CN"/>
              </w:rPr>
            </w:pPr>
            <w:r>
              <w:rPr>
                <w:rFonts w:hint="eastAsia" w:eastAsia="宋体" w:cs="Times New Roman"/>
                <w:b w:val="0"/>
                <w:bCs/>
                <w:color w:val="auto"/>
                <w:sz w:val="15"/>
                <w:szCs w:val="15"/>
                <w:highlight w:val="none"/>
                <w:lang w:val="en-US" w:eastAsia="zh-CN"/>
              </w:rPr>
              <w:t>+0.2456</w:t>
            </w:r>
          </w:p>
        </w:tc>
      </w:tr>
    </w:tbl>
    <w:p w14:paraId="6C334046">
      <w:pPr>
        <w:keepNext w:val="0"/>
        <w:keepLines w:val="0"/>
        <w:pageBreakBefore w:val="0"/>
        <w:widowControl/>
        <w:kinsoku/>
        <w:wordWrap/>
        <w:overflowPunct/>
        <w:topLinePunct w:val="0"/>
        <w:autoSpaceDE/>
        <w:autoSpaceDN/>
        <w:bidi w:val="0"/>
        <w:adjustRightInd w:val="0"/>
        <w:snapToGrid w:val="0"/>
        <w:spacing w:after="0" w:line="280" w:lineRule="exact"/>
        <w:ind w:firstLine="42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填表单位（盖章）：</w:t>
      </w:r>
      <w:r>
        <w:rPr>
          <w:rFonts w:hint="eastAsia" w:ascii="宋体" w:hAnsi="宋体" w:eastAsia="宋体"/>
          <w:color w:val="auto"/>
          <w:sz w:val="21"/>
          <w:szCs w:val="21"/>
          <w:highlight w:val="none"/>
          <w:lang w:eastAsia="zh-CN"/>
        </w:rPr>
        <w:t>长垣市聚博环保科技有限公司</w:t>
      </w:r>
      <w:r>
        <w:rPr>
          <w:rFonts w:hint="eastAsia" w:ascii="宋体" w:hAnsi="宋体" w:eastAsia="宋体"/>
          <w:color w:val="auto"/>
          <w:sz w:val="21"/>
          <w:szCs w:val="21"/>
          <w:highlight w:val="none"/>
        </w:rPr>
        <w:t xml:space="preserve">   </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填表人（签字）：</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项目经办人（签字）：</w:t>
      </w:r>
    </w:p>
    <w:p w14:paraId="75E0407B">
      <w:pPr>
        <w:spacing w:after="0" w:line="280" w:lineRule="exact"/>
        <w:ind w:firstLine="360"/>
        <w:rPr>
          <w:rFonts w:hint="eastAsia" w:ascii="Times New Roman" w:hAnsi="Times New Roman" w:eastAsia="微软雅黑"/>
          <w:color w:val="auto"/>
          <w:sz w:val="18"/>
          <w:highlight w:val="none"/>
          <w:lang w:eastAsia="zh-CN"/>
        </w:rPr>
      </w:pPr>
      <w:r>
        <w:rPr>
          <w:rFonts w:ascii="Times New Roman" w:hAnsi="Times New Roman"/>
          <w:color w:val="auto"/>
          <w:sz w:val="18"/>
          <w:highlight w:val="none"/>
        </w:rPr>
        <w:t>注：1、排放增减量：(+)表示增加，(-)表示减少。2、(12)=(6)-(8)-(11)，(9)=(4)-(5)-(8)-(11)+(1)，3、计量单位：废水排放量——万吨/年；废气排放量——万标立方米/年；工业固体废物排放量—万吨/年；水污染物排放浓度—毫克/升；大气污染物排放浓度—毫克/立方米；水污染物排放量—吨/年；大气污染物排放量——吨/年</w:t>
      </w:r>
      <w:r>
        <w:rPr>
          <w:rFonts w:hint="eastAsia"/>
          <w:color w:val="auto"/>
          <w:sz w:val="18"/>
          <w:highlight w:val="none"/>
          <w:lang w:eastAsia="zh-CN"/>
        </w:rPr>
        <w:t>。</w:t>
      </w:r>
    </w:p>
    <w:sectPr>
      <w:pgSz w:w="16838" w:h="11906" w:orient="landscape"/>
      <w:pgMar w:top="1417" w:right="1417" w:bottom="1417" w:left="141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FEFA">
    <w:pPr>
      <w:pStyle w:val="13"/>
      <w:jc w:val="center"/>
    </w:pPr>
  </w:p>
  <w:p w14:paraId="06A8C51E">
    <w:pPr>
      <w:pStyle w:val="13"/>
      <w:spacing w:after="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3193942"/>
    </w:sdtPr>
    <w:sdtContent>
      <w:p w14:paraId="4F0FF0A5">
        <w:pPr>
          <w:pStyle w:val="13"/>
          <w:jc w:val="center"/>
        </w:pPr>
        <w:r>
          <w:fldChar w:fldCharType="begin"/>
        </w:r>
        <w:r>
          <w:instrText xml:space="preserve">PAGE   \* MERGEFORMAT</w:instrText>
        </w:r>
        <w:r>
          <w:fldChar w:fldCharType="separate"/>
        </w:r>
        <w:r>
          <w:rPr>
            <w:lang w:val="zh-CN"/>
          </w:rPr>
          <w:t>2</w:t>
        </w:r>
        <w:r>
          <w:fldChar w:fldCharType="end"/>
        </w:r>
      </w:p>
    </w:sdtContent>
  </w:sdt>
  <w:p w14:paraId="318FDC82">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B17F">
    <w:pPr>
      <w:pStyle w:val="13"/>
      <w:spacing w:after="0"/>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1BFBF2"/>
    <w:multiLevelType w:val="singleLevel"/>
    <w:tmpl w:val="381BFBF2"/>
    <w:lvl w:ilvl="0" w:tentative="0">
      <w:start w:val="1"/>
      <w:numFmt w:val="decimal"/>
      <w:pStyle w:val="66"/>
      <w:suff w:val="nothing"/>
      <w:lvlText w:val="%1"/>
      <w:lvlJc w:val="left"/>
      <w:pPr>
        <w:tabs>
          <w:tab w:val="left" w:pos="0"/>
        </w:tabs>
        <w:ind w:left="0" w:leftChars="0" w:firstLine="0" w:firstLineChars="0"/>
      </w:pPr>
      <w:rPr>
        <w:rFonts w:hint="default"/>
      </w:rPr>
    </w:lvl>
  </w:abstractNum>
  <w:abstractNum w:abstractNumId="1">
    <w:nsid w:val="3A18CC81"/>
    <w:multiLevelType w:val="multilevel"/>
    <w:tmpl w:val="3A18CC81"/>
    <w:lvl w:ilvl="0" w:tentative="0">
      <w:start w:val="1"/>
      <w:numFmt w:val="decimal"/>
      <w:pStyle w:val="68"/>
      <w:suff w:val="nothing"/>
      <w:lvlText w:val="表%1"/>
      <w:lvlJc w:val="left"/>
      <w:pPr>
        <w:tabs>
          <w:tab w:val="left" w:pos="794"/>
        </w:tabs>
        <w:ind w:left="374" w:firstLine="476"/>
      </w:pPr>
      <w:rPr>
        <w:rFonts w:hint="default"/>
        <w:sz w:val="24"/>
        <w:szCs w:val="24"/>
      </w:rPr>
    </w:lvl>
    <w:lvl w:ilvl="1" w:tentative="0">
      <w:start w:val="1"/>
      <w:numFmt w:val="decimal"/>
      <w:suff w:val="nothing"/>
      <w:lvlText w:val="%2"/>
      <w:lvlJc w:val="left"/>
      <w:pPr>
        <w:tabs>
          <w:tab w:val="left" w:pos="703"/>
        </w:tabs>
        <w:ind w:left="283"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3NjMxNTBjMjQwNzQyZmU3ZjBkMjc1ZjcyMWM1YzYifQ=="/>
  </w:docVars>
  <w:rsids>
    <w:rsidRoot w:val="00172A27"/>
    <w:rsid w:val="000014B1"/>
    <w:rsid w:val="00002494"/>
    <w:rsid w:val="0000297F"/>
    <w:rsid w:val="00004442"/>
    <w:rsid w:val="00004E3A"/>
    <w:rsid w:val="00005559"/>
    <w:rsid w:val="0000560A"/>
    <w:rsid w:val="00005BF5"/>
    <w:rsid w:val="00005D60"/>
    <w:rsid w:val="000063DB"/>
    <w:rsid w:val="0000662D"/>
    <w:rsid w:val="0000668C"/>
    <w:rsid w:val="00006995"/>
    <w:rsid w:val="0001024C"/>
    <w:rsid w:val="0001315E"/>
    <w:rsid w:val="000142D1"/>
    <w:rsid w:val="00014890"/>
    <w:rsid w:val="000179BF"/>
    <w:rsid w:val="00021BA4"/>
    <w:rsid w:val="000231E8"/>
    <w:rsid w:val="00024BFC"/>
    <w:rsid w:val="0002662A"/>
    <w:rsid w:val="00027AA6"/>
    <w:rsid w:val="00030A6B"/>
    <w:rsid w:val="00030AF8"/>
    <w:rsid w:val="00030F11"/>
    <w:rsid w:val="00032657"/>
    <w:rsid w:val="00034A8E"/>
    <w:rsid w:val="00036524"/>
    <w:rsid w:val="00036ABC"/>
    <w:rsid w:val="00037E9B"/>
    <w:rsid w:val="00037ECA"/>
    <w:rsid w:val="0004062E"/>
    <w:rsid w:val="0004129B"/>
    <w:rsid w:val="000413F8"/>
    <w:rsid w:val="00042DDC"/>
    <w:rsid w:val="00044DF0"/>
    <w:rsid w:val="00047625"/>
    <w:rsid w:val="000502DC"/>
    <w:rsid w:val="000538EE"/>
    <w:rsid w:val="00053B8D"/>
    <w:rsid w:val="00055250"/>
    <w:rsid w:val="00057326"/>
    <w:rsid w:val="00060122"/>
    <w:rsid w:val="000605DB"/>
    <w:rsid w:val="00060C74"/>
    <w:rsid w:val="00061189"/>
    <w:rsid w:val="00063BA3"/>
    <w:rsid w:val="00064D0A"/>
    <w:rsid w:val="000659FE"/>
    <w:rsid w:val="00066128"/>
    <w:rsid w:val="00067038"/>
    <w:rsid w:val="000704E1"/>
    <w:rsid w:val="00070FB2"/>
    <w:rsid w:val="0007110E"/>
    <w:rsid w:val="00071155"/>
    <w:rsid w:val="0007144E"/>
    <w:rsid w:val="000749E9"/>
    <w:rsid w:val="00076181"/>
    <w:rsid w:val="0007687A"/>
    <w:rsid w:val="00080F88"/>
    <w:rsid w:val="00080F8E"/>
    <w:rsid w:val="00082352"/>
    <w:rsid w:val="00084407"/>
    <w:rsid w:val="000852FF"/>
    <w:rsid w:val="00085F26"/>
    <w:rsid w:val="0009006F"/>
    <w:rsid w:val="00090775"/>
    <w:rsid w:val="00090951"/>
    <w:rsid w:val="00092095"/>
    <w:rsid w:val="000930E9"/>
    <w:rsid w:val="0009408D"/>
    <w:rsid w:val="000943A2"/>
    <w:rsid w:val="0009481B"/>
    <w:rsid w:val="00094C6B"/>
    <w:rsid w:val="0009521A"/>
    <w:rsid w:val="00097B37"/>
    <w:rsid w:val="000A094B"/>
    <w:rsid w:val="000A0A64"/>
    <w:rsid w:val="000A10C7"/>
    <w:rsid w:val="000A1B6D"/>
    <w:rsid w:val="000A336B"/>
    <w:rsid w:val="000A4AFD"/>
    <w:rsid w:val="000A557F"/>
    <w:rsid w:val="000A5694"/>
    <w:rsid w:val="000A5702"/>
    <w:rsid w:val="000A59D6"/>
    <w:rsid w:val="000A69BA"/>
    <w:rsid w:val="000A7522"/>
    <w:rsid w:val="000A7E3A"/>
    <w:rsid w:val="000B19E0"/>
    <w:rsid w:val="000B35FB"/>
    <w:rsid w:val="000B396F"/>
    <w:rsid w:val="000B3D8D"/>
    <w:rsid w:val="000B3FA1"/>
    <w:rsid w:val="000B5985"/>
    <w:rsid w:val="000B6078"/>
    <w:rsid w:val="000B6A39"/>
    <w:rsid w:val="000B6DE1"/>
    <w:rsid w:val="000C02B4"/>
    <w:rsid w:val="000C2AAE"/>
    <w:rsid w:val="000C5805"/>
    <w:rsid w:val="000C7140"/>
    <w:rsid w:val="000C7666"/>
    <w:rsid w:val="000C7713"/>
    <w:rsid w:val="000D21B6"/>
    <w:rsid w:val="000D3068"/>
    <w:rsid w:val="000D4908"/>
    <w:rsid w:val="000D4BDE"/>
    <w:rsid w:val="000D5367"/>
    <w:rsid w:val="000D5A3E"/>
    <w:rsid w:val="000D62AD"/>
    <w:rsid w:val="000E05F7"/>
    <w:rsid w:val="000E3293"/>
    <w:rsid w:val="000E4D04"/>
    <w:rsid w:val="000E52F0"/>
    <w:rsid w:val="000E5CC4"/>
    <w:rsid w:val="000E7CA7"/>
    <w:rsid w:val="000F007D"/>
    <w:rsid w:val="000F1770"/>
    <w:rsid w:val="000F208F"/>
    <w:rsid w:val="000F342E"/>
    <w:rsid w:val="000F3AA2"/>
    <w:rsid w:val="000F6119"/>
    <w:rsid w:val="000F6DBE"/>
    <w:rsid w:val="000F7878"/>
    <w:rsid w:val="000F78C9"/>
    <w:rsid w:val="00100AE9"/>
    <w:rsid w:val="00101DD3"/>
    <w:rsid w:val="001033A2"/>
    <w:rsid w:val="00103B37"/>
    <w:rsid w:val="00105807"/>
    <w:rsid w:val="001059F5"/>
    <w:rsid w:val="00106C2A"/>
    <w:rsid w:val="00107024"/>
    <w:rsid w:val="00111D11"/>
    <w:rsid w:val="001133E8"/>
    <w:rsid w:val="0011464C"/>
    <w:rsid w:val="0011576C"/>
    <w:rsid w:val="0011618A"/>
    <w:rsid w:val="00117CFE"/>
    <w:rsid w:val="00117FF7"/>
    <w:rsid w:val="00120570"/>
    <w:rsid w:val="001211F0"/>
    <w:rsid w:val="001212CF"/>
    <w:rsid w:val="0012160C"/>
    <w:rsid w:val="00122196"/>
    <w:rsid w:val="001226C9"/>
    <w:rsid w:val="001246AF"/>
    <w:rsid w:val="00125D1A"/>
    <w:rsid w:val="001263BC"/>
    <w:rsid w:val="0012739F"/>
    <w:rsid w:val="00130212"/>
    <w:rsid w:val="001319F4"/>
    <w:rsid w:val="00131BE5"/>
    <w:rsid w:val="00131BED"/>
    <w:rsid w:val="00131EE6"/>
    <w:rsid w:val="00132A30"/>
    <w:rsid w:val="00132C6C"/>
    <w:rsid w:val="00134D9D"/>
    <w:rsid w:val="001367C5"/>
    <w:rsid w:val="00136844"/>
    <w:rsid w:val="001404FA"/>
    <w:rsid w:val="00141AF8"/>
    <w:rsid w:val="001426CF"/>
    <w:rsid w:val="00142A4A"/>
    <w:rsid w:val="00143F4B"/>
    <w:rsid w:val="001440D1"/>
    <w:rsid w:val="00145F20"/>
    <w:rsid w:val="001469B6"/>
    <w:rsid w:val="00150F39"/>
    <w:rsid w:val="00152F40"/>
    <w:rsid w:val="0015311E"/>
    <w:rsid w:val="00154B26"/>
    <w:rsid w:val="00155650"/>
    <w:rsid w:val="001560DE"/>
    <w:rsid w:val="0015760D"/>
    <w:rsid w:val="001611DE"/>
    <w:rsid w:val="00166D5B"/>
    <w:rsid w:val="00167D90"/>
    <w:rsid w:val="001704E3"/>
    <w:rsid w:val="00170851"/>
    <w:rsid w:val="0017160F"/>
    <w:rsid w:val="00173FEF"/>
    <w:rsid w:val="001749F7"/>
    <w:rsid w:val="00174A94"/>
    <w:rsid w:val="00174CDD"/>
    <w:rsid w:val="00174E93"/>
    <w:rsid w:val="00175B14"/>
    <w:rsid w:val="00175BB8"/>
    <w:rsid w:val="00176846"/>
    <w:rsid w:val="0017763D"/>
    <w:rsid w:val="00177B38"/>
    <w:rsid w:val="0018052D"/>
    <w:rsid w:val="00182278"/>
    <w:rsid w:val="001857B7"/>
    <w:rsid w:val="00190059"/>
    <w:rsid w:val="001917A3"/>
    <w:rsid w:val="00191A77"/>
    <w:rsid w:val="00193300"/>
    <w:rsid w:val="001937BA"/>
    <w:rsid w:val="00195693"/>
    <w:rsid w:val="00196970"/>
    <w:rsid w:val="00196E2C"/>
    <w:rsid w:val="001A0018"/>
    <w:rsid w:val="001A14F7"/>
    <w:rsid w:val="001A2216"/>
    <w:rsid w:val="001A22B7"/>
    <w:rsid w:val="001A2CE0"/>
    <w:rsid w:val="001A2DFE"/>
    <w:rsid w:val="001A2E8A"/>
    <w:rsid w:val="001A5104"/>
    <w:rsid w:val="001A6D97"/>
    <w:rsid w:val="001B01A1"/>
    <w:rsid w:val="001B0F83"/>
    <w:rsid w:val="001B2E21"/>
    <w:rsid w:val="001B380D"/>
    <w:rsid w:val="001B389B"/>
    <w:rsid w:val="001B5A9A"/>
    <w:rsid w:val="001B657B"/>
    <w:rsid w:val="001C1D33"/>
    <w:rsid w:val="001C2CF9"/>
    <w:rsid w:val="001C3E4D"/>
    <w:rsid w:val="001C5304"/>
    <w:rsid w:val="001C5FE9"/>
    <w:rsid w:val="001D1B46"/>
    <w:rsid w:val="001D2CD8"/>
    <w:rsid w:val="001D2F82"/>
    <w:rsid w:val="001D3CAE"/>
    <w:rsid w:val="001D4050"/>
    <w:rsid w:val="001D4D95"/>
    <w:rsid w:val="001D5F50"/>
    <w:rsid w:val="001D7A6C"/>
    <w:rsid w:val="001E0847"/>
    <w:rsid w:val="001E09ED"/>
    <w:rsid w:val="001E0B9E"/>
    <w:rsid w:val="001E2EA2"/>
    <w:rsid w:val="001E3B39"/>
    <w:rsid w:val="001E3CE2"/>
    <w:rsid w:val="001E3F7A"/>
    <w:rsid w:val="001E6F4B"/>
    <w:rsid w:val="001E7626"/>
    <w:rsid w:val="001E76F8"/>
    <w:rsid w:val="001F0C46"/>
    <w:rsid w:val="001F0D03"/>
    <w:rsid w:val="001F1D51"/>
    <w:rsid w:val="001F3625"/>
    <w:rsid w:val="001F4720"/>
    <w:rsid w:val="001F5E73"/>
    <w:rsid w:val="001F62B7"/>
    <w:rsid w:val="002017EC"/>
    <w:rsid w:val="002018B6"/>
    <w:rsid w:val="00202659"/>
    <w:rsid w:val="002027DB"/>
    <w:rsid w:val="00204FA5"/>
    <w:rsid w:val="0020668B"/>
    <w:rsid w:val="0020695A"/>
    <w:rsid w:val="002076E5"/>
    <w:rsid w:val="00211438"/>
    <w:rsid w:val="002115F5"/>
    <w:rsid w:val="00211E7F"/>
    <w:rsid w:val="002131F3"/>
    <w:rsid w:val="0021401A"/>
    <w:rsid w:val="00214876"/>
    <w:rsid w:val="002177E4"/>
    <w:rsid w:val="00217A66"/>
    <w:rsid w:val="00217D0D"/>
    <w:rsid w:val="002200C1"/>
    <w:rsid w:val="0022037E"/>
    <w:rsid w:val="0022107E"/>
    <w:rsid w:val="00222C53"/>
    <w:rsid w:val="00222FAE"/>
    <w:rsid w:val="002233A2"/>
    <w:rsid w:val="00223CCD"/>
    <w:rsid w:val="00223F78"/>
    <w:rsid w:val="0022766E"/>
    <w:rsid w:val="002361EC"/>
    <w:rsid w:val="002361FE"/>
    <w:rsid w:val="00237D0B"/>
    <w:rsid w:val="00242C96"/>
    <w:rsid w:val="002436A9"/>
    <w:rsid w:val="00244E3E"/>
    <w:rsid w:val="002453AE"/>
    <w:rsid w:val="00250285"/>
    <w:rsid w:val="002509ED"/>
    <w:rsid w:val="00252779"/>
    <w:rsid w:val="00252E0F"/>
    <w:rsid w:val="00253143"/>
    <w:rsid w:val="00253422"/>
    <w:rsid w:val="0025355A"/>
    <w:rsid w:val="00253B31"/>
    <w:rsid w:val="00255338"/>
    <w:rsid w:val="00256514"/>
    <w:rsid w:val="0026026C"/>
    <w:rsid w:val="00261D33"/>
    <w:rsid w:val="00262732"/>
    <w:rsid w:val="00262F53"/>
    <w:rsid w:val="00264743"/>
    <w:rsid w:val="00265692"/>
    <w:rsid w:val="002705C1"/>
    <w:rsid w:val="0027064C"/>
    <w:rsid w:val="00272E4E"/>
    <w:rsid w:val="0027358E"/>
    <w:rsid w:val="00273C12"/>
    <w:rsid w:val="00274C96"/>
    <w:rsid w:val="00275E0F"/>
    <w:rsid w:val="002803C6"/>
    <w:rsid w:val="00283871"/>
    <w:rsid w:val="00283A11"/>
    <w:rsid w:val="00283CA0"/>
    <w:rsid w:val="00283D14"/>
    <w:rsid w:val="002844CE"/>
    <w:rsid w:val="00284BEE"/>
    <w:rsid w:val="002858DC"/>
    <w:rsid w:val="00286B00"/>
    <w:rsid w:val="00290031"/>
    <w:rsid w:val="002910B1"/>
    <w:rsid w:val="0029113C"/>
    <w:rsid w:val="00292D7E"/>
    <w:rsid w:val="00293374"/>
    <w:rsid w:val="00294020"/>
    <w:rsid w:val="0029543A"/>
    <w:rsid w:val="002965D1"/>
    <w:rsid w:val="002966B4"/>
    <w:rsid w:val="002A05FD"/>
    <w:rsid w:val="002A2059"/>
    <w:rsid w:val="002A240F"/>
    <w:rsid w:val="002A2A01"/>
    <w:rsid w:val="002A3947"/>
    <w:rsid w:val="002A41D9"/>
    <w:rsid w:val="002A53B5"/>
    <w:rsid w:val="002A540D"/>
    <w:rsid w:val="002A6424"/>
    <w:rsid w:val="002A7846"/>
    <w:rsid w:val="002B0FC8"/>
    <w:rsid w:val="002B1294"/>
    <w:rsid w:val="002B1CF0"/>
    <w:rsid w:val="002B43E6"/>
    <w:rsid w:val="002B4A54"/>
    <w:rsid w:val="002B517E"/>
    <w:rsid w:val="002B57A0"/>
    <w:rsid w:val="002B6AAC"/>
    <w:rsid w:val="002B7057"/>
    <w:rsid w:val="002B7091"/>
    <w:rsid w:val="002C1F5A"/>
    <w:rsid w:val="002C2248"/>
    <w:rsid w:val="002C2EFF"/>
    <w:rsid w:val="002C3367"/>
    <w:rsid w:val="002C371C"/>
    <w:rsid w:val="002C4169"/>
    <w:rsid w:val="002C49AF"/>
    <w:rsid w:val="002C56B1"/>
    <w:rsid w:val="002C5979"/>
    <w:rsid w:val="002C6966"/>
    <w:rsid w:val="002C75A4"/>
    <w:rsid w:val="002C7A15"/>
    <w:rsid w:val="002D227C"/>
    <w:rsid w:val="002D2498"/>
    <w:rsid w:val="002D26CB"/>
    <w:rsid w:val="002D51D9"/>
    <w:rsid w:val="002D5A2F"/>
    <w:rsid w:val="002D5D19"/>
    <w:rsid w:val="002D6A15"/>
    <w:rsid w:val="002E2283"/>
    <w:rsid w:val="002E2357"/>
    <w:rsid w:val="002E3EE6"/>
    <w:rsid w:val="002E5171"/>
    <w:rsid w:val="002E5C92"/>
    <w:rsid w:val="002F06B6"/>
    <w:rsid w:val="002F265D"/>
    <w:rsid w:val="002F2DFC"/>
    <w:rsid w:val="002F3CCC"/>
    <w:rsid w:val="002F419E"/>
    <w:rsid w:val="002F526D"/>
    <w:rsid w:val="002F6608"/>
    <w:rsid w:val="002F7DF3"/>
    <w:rsid w:val="002F7EE8"/>
    <w:rsid w:val="00300D97"/>
    <w:rsid w:val="00301800"/>
    <w:rsid w:val="00302861"/>
    <w:rsid w:val="00304F4A"/>
    <w:rsid w:val="003051D8"/>
    <w:rsid w:val="0030553F"/>
    <w:rsid w:val="00306FEB"/>
    <w:rsid w:val="00310A7A"/>
    <w:rsid w:val="003117CA"/>
    <w:rsid w:val="00312DFB"/>
    <w:rsid w:val="00312EA8"/>
    <w:rsid w:val="0031302E"/>
    <w:rsid w:val="0031496D"/>
    <w:rsid w:val="00315AA4"/>
    <w:rsid w:val="0031670B"/>
    <w:rsid w:val="003168D7"/>
    <w:rsid w:val="003204C2"/>
    <w:rsid w:val="003209D6"/>
    <w:rsid w:val="00320E3B"/>
    <w:rsid w:val="00320E60"/>
    <w:rsid w:val="0032107F"/>
    <w:rsid w:val="00321A6B"/>
    <w:rsid w:val="00323314"/>
    <w:rsid w:val="00323EE6"/>
    <w:rsid w:val="0032400E"/>
    <w:rsid w:val="0032547B"/>
    <w:rsid w:val="00326F38"/>
    <w:rsid w:val="003279B1"/>
    <w:rsid w:val="0033006E"/>
    <w:rsid w:val="003324E2"/>
    <w:rsid w:val="00333CF3"/>
    <w:rsid w:val="00334CA1"/>
    <w:rsid w:val="00335CAF"/>
    <w:rsid w:val="00335D91"/>
    <w:rsid w:val="00336859"/>
    <w:rsid w:val="0033700A"/>
    <w:rsid w:val="003408E8"/>
    <w:rsid w:val="00340AED"/>
    <w:rsid w:val="00340C96"/>
    <w:rsid w:val="0034156D"/>
    <w:rsid w:val="00341B2C"/>
    <w:rsid w:val="00341BE2"/>
    <w:rsid w:val="00342E09"/>
    <w:rsid w:val="00343B7A"/>
    <w:rsid w:val="00345FD6"/>
    <w:rsid w:val="0034649F"/>
    <w:rsid w:val="003468A9"/>
    <w:rsid w:val="00347AD0"/>
    <w:rsid w:val="00350A4E"/>
    <w:rsid w:val="00350E32"/>
    <w:rsid w:val="0035116F"/>
    <w:rsid w:val="003525F0"/>
    <w:rsid w:val="00352B58"/>
    <w:rsid w:val="0035371E"/>
    <w:rsid w:val="00356AF2"/>
    <w:rsid w:val="00356C14"/>
    <w:rsid w:val="00357204"/>
    <w:rsid w:val="0036099A"/>
    <w:rsid w:val="003618CF"/>
    <w:rsid w:val="003631C1"/>
    <w:rsid w:val="00364911"/>
    <w:rsid w:val="003678E5"/>
    <w:rsid w:val="003707BB"/>
    <w:rsid w:val="00370C08"/>
    <w:rsid w:val="00372CB0"/>
    <w:rsid w:val="00373031"/>
    <w:rsid w:val="00373633"/>
    <w:rsid w:val="00373877"/>
    <w:rsid w:val="00375B0E"/>
    <w:rsid w:val="00375BBF"/>
    <w:rsid w:val="003763BC"/>
    <w:rsid w:val="00376439"/>
    <w:rsid w:val="00377A41"/>
    <w:rsid w:val="00377BA3"/>
    <w:rsid w:val="00380436"/>
    <w:rsid w:val="00381DA8"/>
    <w:rsid w:val="00382060"/>
    <w:rsid w:val="00382871"/>
    <w:rsid w:val="003844EE"/>
    <w:rsid w:val="003846F7"/>
    <w:rsid w:val="00384A83"/>
    <w:rsid w:val="00384F38"/>
    <w:rsid w:val="003864CF"/>
    <w:rsid w:val="003866C7"/>
    <w:rsid w:val="00386DD6"/>
    <w:rsid w:val="00390B7E"/>
    <w:rsid w:val="00390FF4"/>
    <w:rsid w:val="003920A3"/>
    <w:rsid w:val="003923B9"/>
    <w:rsid w:val="00392B70"/>
    <w:rsid w:val="003940B3"/>
    <w:rsid w:val="00395B5C"/>
    <w:rsid w:val="003968E6"/>
    <w:rsid w:val="0039702D"/>
    <w:rsid w:val="003A00FA"/>
    <w:rsid w:val="003A4AD3"/>
    <w:rsid w:val="003A4DDB"/>
    <w:rsid w:val="003A542B"/>
    <w:rsid w:val="003A5832"/>
    <w:rsid w:val="003A721A"/>
    <w:rsid w:val="003A728E"/>
    <w:rsid w:val="003B0494"/>
    <w:rsid w:val="003B0966"/>
    <w:rsid w:val="003B1AE3"/>
    <w:rsid w:val="003B2D66"/>
    <w:rsid w:val="003B3A16"/>
    <w:rsid w:val="003B4107"/>
    <w:rsid w:val="003B416E"/>
    <w:rsid w:val="003B6176"/>
    <w:rsid w:val="003B6F0D"/>
    <w:rsid w:val="003C14F6"/>
    <w:rsid w:val="003C265F"/>
    <w:rsid w:val="003C4E14"/>
    <w:rsid w:val="003C5252"/>
    <w:rsid w:val="003C54F4"/>
    <w:rsid w:val="003C6554"/>
    <w:rsid w:val="003C65F7"/>
    <w:rsid w:val="003C7968"/>
    <w:rsid w:val="003D0A02"/>
    <w:rsid w:val="003D121B"/>
    <w:rsid w:val="003D1D0A"/>
    <w:rsid w:val="003D259C"/>
    <w:rsid w:val="003D2B64"/>
    <w:rsid w:val="003D2E5B"/>
    <w:rsid w:val="003D3096"/>
    <w:rsid w:val="003D30BD"/>
    <w:rsid w:val="003D5DD0"/>
    <w:rsid w:val="003D67AB"/>
    <w:rsid w:val="003D78B0"/>
    <w:rsid w:val="003E0C5A"/>
    <w:rsid w:val="003E45FC"/>
    <w:rsid w:val="003F0049"/>
    <w:rsid w:val="003F2F04"/>
    <w:rsid w:val="003F4D81"/>
    <w:rsid w:val="003F72C4"/>
    <w:rsid w:val="00400749"/>
    <w:rsid w:val="00401219"/>
    <w:rsid w:val="0040396B"/>
    <w:rsid w:val="004073C4"/>
    <w:rsid w:val="004074FA"/>
    <w:rsid w:val="00407556"/>
    <w:rsid w:val="004079D9"/>
    <w:rsid w:val="004124F7"/>
    <w:rsid w:val="00412B16"/>
    <w:rsid w:val="00414B73"/>
    <w:rsid w:val="0041551E"/>
    <w:rsid w:val="00415788"/>
    <w:rsid w:val="004168C0"/>
    <w:rsid w:val="00416A3D"/>
    <w:rsid w:val="0041745B"/>
    <w:rsid w:val="004200DE"/>
    <w:rsid w:val="0042075C"/>
    <w:rsid w:val="0042084E"/>
    <w:rsid w:val="00420B8F"/>
    <w:rsid w:val="00421372"/>
    <w:rsid w:val="00421386"/>
    <w:rsid w:val="00421CBC"/>
    <w:rsid w:val="0042299D"/>
    <w:rsid w:val="00423CBA"/>
    <w:rsid w:val="0042565F"/>
    <w:rsid w:val="004262A3"/>
    <w:rsid w:val="00426911"/>
    <w:rsid w:val="00426A06"/>
    <w:rsid w:val="00426A31"/>
    <w:rsid w:val="0043074C"/>
    <w:rsid w:val="004307A5"/>
    <w:rsid w:val="0043136B"/>
    <w:rsid w:val="004324A4"/>
    <w:rsid w:val="00432BF8"/>
    <w:rsid w:val="00433E57"/>
    <w:rsid w:val="00434689"/>
    <w:rsid w:val="0044042C"/>
    <w:rsid w:val="00442ECD"/>
    <w:rsid w:val="004437B1"/>
    <w:rsid w:val="004447E2"/>
    <w:rsid w:val="00445BE2"/>
    <w:rsid w:val="00445FCF"/>
    <w:rsid w:val="004474AB"/>
    <w:rsid w:val="00447BA4"/>
    <w:rsid w:val="00455CEC"/>
    <w:rsid w:val="00456544"/>
    <w:rsid w:val="00457576"/>
    <w:rsid w:val="00460E3E"/>
    <w:rsid w:val="004611FC"/>
    <w:rsid w:val="004623DD"/>
    <w:rsid w:val="004641D6"/>
    <w:rsid w:val="00464B65"/>
    <w:rsid w:val="00465016"/>
    <w:rsid w:val="00465219"/>
    <w:rsid w:val="00465F99"/>
    <w:rsid w:val="0046609C"/>
    <w:rsid w:val="004669D3"/>
    <w:rsid w:val="004678BA"/>
    <w:rsid w:val="0047264D"/>
    <w:rsid w:val="00472CD0"/>
    <w:rsid w:val="0047343F"/>
    <w:rsid w:val="00473D33"/>
    <w:rsid w:val="00473E12"/>
    <w:rsid w:val="004744C5"/>
    <w:rsid w:val="00475C85"/>
    <w:rsid w:val="00475FD7"/>
    <w:rsid w:val="00476278"/>
    <w:rsid w:val="00476C92"/>
    <w:rsid w:val="0048067C"/>
    <w:rsid w:val="00481490"/>
    <w:rsid w:val="004819D8"/>
    <w:rsid w:val="00482523"/>
    <w:rsid w:val="00482D57"/>
    <w:rsid w:val="00483247"/>
    <w:rsid w:val="00483516"/>
    <w:rsid w:val="00484670"/>
    <w:rsid w:val="00484878"/>
    <w:rsid w:val="00486B0E"/>
    <w:rsid w:val="004871CA"/>
    <w:rsid w:val="00487AB2"/>
    <w:rsid w:val="004906BB"/>
    <w:rsid w:val="0049129F"/>
    <w:rsid w:val="00492712"/>
    <w:rsid w:val="00493EBD"/>
    <w:rsid w:val="004945F2"/>
    <w:rsid w:val="004961F8"/>
    <w:rsid w:val="00496B04"/>
    <w:rsid w:val="00496B64"/>
    <w:rsid w:val="00497214"/>
    <w:rsid w:val="00497933"/>
    <w:rsid w:val="00497D5C"/>
    <w:rsid w:val="004A3F86"/>
    <w:rsid w:val="004A45CB"/>
    <w:rsid w:val="004A5E76"/>
    <w:rsid w:val="004A69BB"/>
    <w:rsid w:val="004A6A54"/>
    <w:rsid w:val="004B01A0"/>
    <w:rsid w:val="004B1804"/>
    <w:rsid w:val="004B1A94"/>
    <w:rsid w:val="004B2BF3"/>
    <w:rsid w:val="004B375D"/>
    <w:rsid w:val="004B37D8"/>
    <w:rsid w:val="004B3960"/>
    <w:rsid w:val="004B39E0"/>
    <w:rsid w:val="004B3E52"/>
    <w:rsid w:val="004B5C14"/>
    <w:rsid w:val="004B61F8"/>
    <w:rsid w:val="004B775F"/>
    <w:rsid w:val="004B791D"/>
    <w:rsid w:val="004B7BE3"/>
    <w:rsid w:val="004C129E"/>
    <w:rsid w:val="004C2096"/>
    <w:rsid w:val="004C25C2"/>
    <w:rsid w:val="004C31E5"/>
    <w:rsid w:val="004C33BA"/>
    <w:rsid w:val="004C5677"/>
    <w:rsid w:val="004C5C4A"/>
    <w:rsid w:val="004D0132"/>
    <w:rsid w:val="004D0E13"/>
    <w:rsid w:val="004D1341"/>
    <w:rsid w:val="004D1A8F"/>
    <w:rsid w:val="004D24DA"/>
    <w:rsid w:val="004D4C97"/>
    <w:rsid w:val="004D59A8"/>
    <w:rsid w:val="004D6861"/>
    <w:rsid w:val="004D7172"/>
    <w:rsid w:val="004E0379"/>
    <w:rsid w:val="004E0E91"/>
    <w:rsid w:val="004E35E4"/>
    <w:rsid w:val="004F0698"/>
    <w:rsid w:val="004F0A33"/>
    <w:rsid w:val="004F1135"/>
    <w:rsid w:val="004F2376"/>
    <w:rsid w:val="004F5AC2"/>
    <w:rsid w:val="004F7312"/>
    <w:rsid w:val="004F7AAA"/>
    <w:rsid w:val="005007DF"/>
    <w:rsid w:val="00500CA6"/>
    <w:rsid w:val="0050255A"/>
    <w:rsid w:val="005028B2"/>
    <w:rsid w:val="00502BD3"/>
    <w:rsid w:val="00502C69"/>
    <w:rsid w:val="00503FAD"/>
    <w:rsid w:val="00507EBA"/>
    <w:rsid w:val="0051211C"/>
    <w:rsid w:val="00512BA9"/>
    <w:rsid w:val="00513BFE"/>
    <w:rsid w:val="00516974"/>
    <w:rsid w:val="00517BAB"/>
    <w:rsid w:val="0052127E"/>
    <w:rsid w:val="0052234C"/>
    <w:rsid w:val="00522AFD"/>
    <w:rsid w:val="00524A64"/>
    <w:rsid w:val="00524B49"/>
    <w:rsid w:val="00526985"/>
    <w:rsid w:val="0052726D"/>
    <w:rsid w:val="005322C0"/>
    <w:rsid w:val="005330A9"/>
    <w:rsid w:val="0053312F"/>
    <w:rsid w:val="00533A91"/>
    <w:rsid w:val="005343A5"/>
    <w:rsid w:val="005354C4"/>
    <w:rsid w:val="00535BC7"/>
    <w:rsid w:val="00537334"/>
    <w:rsid w:val="005373DB"/>
    <w:rsid w:val="00537CF6"/>
    <w:rsid w:val="005406C1"/>
    <w:rsid w:val="00540742"/>
    <w:rsid w:val="00540C90"/>
    <w:rsid w:val="00541D4B"/>
    <w:rsid w:val="005422F9"/>
    <w:rsid w:val="00542958"/>
    <w:rsid w:val="005429DA"/>
    <w:rsid w:val="00542A5B"/>
    <w:rsid w:val="005434BE"/>
    <w:rsid w:val="00543901"/>
    <w:rsid w:val="0054456E"/>
    <w:rsid w:val="00546399"/>
    <w:rsid w:val="005470F2"/>
    <w:rsid w:val="005476E6"/>
    <w:rsid w:val="00550EAB"/>
    <w:rsid w:val="005512B3"/>
    <w:rsid w:val="005513DC"/>
    <w:rsid w:val="0055140D"/>
    <w:rsid w:val="005529B9"/>
    <w:rsid w:val="00552B89"/>
    <w:rsid w:val="00555839"/>
    <w:rsid w:val="00555E10"/>
    <w:rsid w:val="005561E5"/>
    <w:rsid w:val="00561253"/>
    <w:rsid w:val="00562B82"/>
    <w:rsid w:val="005637B5"/>
    <w:rsid w:val="00565E4A"/>
    <w:rsid w:val="0056724C"/>
    <w:rsid w:val="00567295"/>
    <w:rsid w:val="00567F9F"/>
    <w:rsid w:val="00570D0E"/>
    <w:rsid w:val="0057188A"/>
    <w:rsid w:val="00572A8E"/>
    <w:rsid w:val="00573D25"/>
    <w:rsid w:val="005756BB"/>
    <w:rsid w:val="00575924"/>
    <w:rsid w:val="00581011"/>
    <w:rsid w:val="00581C58"/>
    <w:rsid w:val="0058241A"/>
    <w:rsid w:val="005836D5"/>
    <w:rsid w:val="0058397F"/>
    <w:rsid w:val="005844E0"/>
    <w:rsid w:val="00586C13"/>
    <w:rsid w:val="00587353"/>
    <w:rsid w:val="0059123C"/>
    <w:rsid w:val="00591416"/>
    <w:rsid w:val="00591E9D"/>
    <w:rsid w:val="00593068"/>
    <w:rsid w:val="0059355F"/>
    <w:rsid w:val="00593B9E"/>
    <w:rsid w:val="005947A6"/>
    <w:rsid w:val="00596D22"/>
    <w:rsid w:val="00597AF9"/>
    <w:rsid w:val="005A005E"/>
    <w:rsid w:val="005A18E7"/>
    <w:rsid w:val="005A34B5"/>
    <w:rsid w:val="005A5414"/>
    <w:rsid w:val="005A6AD3"/>
    <w:rsid w:val="005B11F3"/>
    <w:rsid w:val="005B1A45"/>
    <w:rsid w:val="005B20EA"/>
    <w:rsid w:val="005B2D22"/>
    <w:rsid w:val="005B4EFA"/>
    <w:rsid w:val="005B5847"/>
    <w:rsid w:val="005B5DB9"/>
    <w:rsid w:val="005B6016"/>
    <w:rsid w:val="005B69A2"/>
    <w:rsid w:val="005B7449"/>
    <w:rsid w:val="005B7F33"/>
    <w:rsid w:val="005C058E"/>
    <w:rsid w:val="005C13E9"/>
    <w:rsid w:val="005C2AA6"/>
    <w:rsid w:val="005C3115"/>
    <w:rsid w:val="005C42F7"/>
    <w:rsid w:val="005C7147"/>
    <w:rsid w:val="005C7BE2"/>
    <w:rsid w:val="005D04F6"/>
    <w:rsid w:val="005D09BA"/>
    <w:rsid w:val="005D1174"/>
    <w:rsid w:val="005D1B91"/>
    <w:rsid w:val="005D2047"/>
    <w:rsid w:val="005D25DE"/>
    <w:rsid w:val="005D26E1"/>
    <w:rsid w:val="005D5D93"/>
    <w:rsid w:val="005D6D87"/>
    <w:rsid w:val="005D7B09"/>
    <w:rsid w:val="005E064B"/>
    <w:rsid w:val="005E13DA"/>
    <w:rsid w:val="005E2B61"/>
    <w:rsid w:val="005E4169"/>
    <w:rsid w:val="005E5B4C"/>
    <w:rsid w:val="005E6576"/>
    <w:rsid w:val="005F1747"/>
    <w:rsid w:val="005F24F7"/>
    <w:rsid w:val="005F2722"/>
    <w:rsid w:val="005F2773"/>
    <w:rsid w:val="005F3631"/>
    <w:rsid w:val="005F36DE"/>
    <w:rsid w:val="005F3CAA"/>
    <w:rsid w:val="005F617A"/>
    <w:rsid w:val="005F7123"/>
    <w:rsid w:val="005F762D"/>
    <w:rsid w:val="005F7F88"/>
    <w:rsid w:val="006000D2"/>
    <w:rsid w:val="00602401"/>
    <w:rsid w:val="0060561E"/>
    <w:rsid w:val="0060616D"/>
    <w:rsid w:val="00606880"/>
    <w:rsid w:val="00610C81"/>
    <w:rsid w:val="00611DAE"/>
    <w:rsid w:val="0061214B"/>
    <w:rsid w:val="006125D7"/>
    <w:rsid w:val="00612FDD"/>
    <w:rsid w:val="006138BB"/>
    <w:rsid w:val="00613CC6"/>
    <w:rsid w:val="00613FE5"/>
    <w:rsid w:val="00614F0B"/>
    <w:rsid w:val="006164A0"/>
    <w:rsid w:val="006172B9"/>
    <w:rsid w:val="00617F5B"/>
    <w:rsid w:val="00620939"/>
    <w:rsid w:val="006220A8"/>
    <w:rsid w:val="0062343A"/>
    <w:rsid w:val="006249D4"/>
    <w:rsid w:val="006261EB"/>
    <w:rsid w:val="006344ED"/>
    <w:rsid w:val="00634DA2"/>
    <w:rsid w:val="006401FB"/>
    <w:rsid w:val="00640CE2"/>
    <w:rsid w:val="00641107"/>
    <w:rsid w:val="00641680"/>
    <w:rsid w:val="00644B76"/>
    <w:rsid w:val="0065038F"/>
    <w:rsid w:val="006524C6"/>
    <w:rsid w:val="006534CF"/>
    <w:rsid w:val="00653A2E"/>
    <w:rsid w:val="0065494F"/>
    <w:rsid w:val="00657203"/>
    <w:rsid w:val="00657854"/>
    <w:rsid w:val="006607AA"/>
    <w:rsid w:val="00660927"/>
    <w:rsid w:val="00660C93"/>
    <w:rsid w:val="006632FB"/>
    <w:rsid w:val="00663D23"/>
    <w:rsid w:val="006648A2"/>
    <w:rsid w:val="00664900"/>
    <w:rsid w:val="006669DF"/>
    <w:rsid w:val="00670531"/>
    <w:rsid w:val="00670BD3"/>
    <w:rsid w:val="006717EA"/>
    <w:rsid w:val="00671EE0"/>
    <w:rsid w:val="00671FDC"/>
    <w:rsid w:val="00672158"/>
    <w:rsid w:val="0067272A"/>
    <w:rsid w:val="00672F62"/>
    <w:rsid w:val="006804B2"/>
    <w:rsid w:val="00681509"/>
    <w:rsid w:val="006846B8"/>
    <w:rsid w:val="00685B55"/>
    <w:rsid w:val="00686EE4"/>
    <w:rsid w:val="0069002D"/>
    <w:rsid w:val="0069009B"/>
    <w:rsid w:val="00690487"/>
    <w:rsid w:val="0069222D"/>
    <w:rsid w:val="00693065"/>
    <w:rsid w:val="0069380B"/>
    <w:rsid w:val="00693D16"/>
    <w:rsid w:val="006951B2"/>
    <w:rsid w:val="006A2899"/>
    <w:rsid w:val="006A471D"/>
    <w:rsid w:val="006A4A6D"/>
    <w:rsid w:val="006A558B"/>
    <w:rsid w:val="006A56FE"/>
    <w:rsid w:val="006A635E"/>
    <w:rsid w:val="006A69C6"/>
    <w:rsid w:val="006A7B1D"/>
    <w:rsid w:val="006B0584"/>
    <w:rsid w:val="006B15E2"/>
    <w:rsid w:val="006B3E4B"/>
    <w:rsid w:val="006B4A24"/>
    <w:rsid w:val="006B50B2"/>
    <w:rsid w:val="006C145E"/>
    <w:rsid w:val="006C1726"/>
    <w:rsid w:val="006C187D"/>
    <w:rsid w:val="006C188A"/>
    <w:rsid w:val="006C1D3E"/>
    <w:rsid w:val="006C2044"/>
    <w:rsid w:val="006C210E"/>
    <w:rsid w:val="006C5CFF"/>
    <w:rsid w:val="006C67BE"/>
    <w:rsid w:val="006D0E15"/>
    <w:rsid w:val="006D1E1F"/>
    <w:rsid w:val="006D376C"/>
    <w:rsid w:val="006D4393"/>
    <w:rsid w:val="006D5B35"/>
    <w:rsid w:val="006D7059"/>
    <w:rsid w:val="006E20BA"/>
    <w:rsid w:val="006E2205"/>
    <w:rsid w:val="006E57FF"/>
    <w:rsid w:val="006E7851"/>
    <w:rsid w:val="006F252A"/>
    <w:rsid w:val="006F2FF4"/>
    <w:rsid w:val="006F3C7E"/>
    <w:rsid w:val="006F4C18"/>
    <w:rsid w:val="006F5861"/>
    <w:rsid w:val="006F5A42"/>
    <w:rsid w:val="006F7003"/>
    <w:rsid w:val="006F7D59"/>
    <w:rsid w:val="007016D4"/>
    <w:rsid w:val="00702C81"/>
    <w:rsid w:val="007064EB"/>
    <w:rsid w:val="007075A9"/>
    <w:rsid w:val="007076B0"/>
    <w:rsid w:val="00711B90"/>
    <w:rsid w:val="0071254C"/>
    <w:rsid w:val="00714094"/>
    <w:rsid w:val="00714909"/>
    <w:rsid w:val="0071519C"/>
    <w:rsid w:val="00716223"/>
    <w:rsid w:val="007200DB"/>
    <w:rsid w:val="0072051D"/>
    <w:rsid w:val="007217BE"/>
    <w:rsid w:val="007217C4"/>
    <w:rsid w:val="00722EA7"/>
    <w:rsid w:val="00726643"/>
    <w:rsid w:val="00726A6C"/>
    <w:rsid w:val="007270F6"/>
    <w:rsid w:val="00730C36"/>
    <w:rsid w:val="00730DFD"/>
    <w:rsid w:val="00731724"/>
    <w:rsid w:val="00731BD2"/>
    <w:rsid w:val="00732112"/>
    <w:rsid w:val="00732E2B"/>
    <w:rsid w:val="00732ECC"/>
    <w:rsid w:val="00734009"/>
    <w:rsid w:val="007369B3"/>
    <w:rsid w:val="00737499"/>
    <w:rsid w:val="0073757F"/>
    <w:rsid w:val="0073787C"/>
    <w:rsid w:val="007400C2"/>
    <w:rsid w:val="0074040A"/>
    <w:rsid w:val="00740789"/>
    <w:rsid w:val="0074181C"/>
    <w:rsid w:val="00741EFC"/>
    <w:rsid w:val="00743242"/>
    <w:rsid w:val="007432B4"/>
    <w:rsid w:val="00743A8B"/>
    <w:rsid w:val="007476F7"/>
    <w:rsid w:val="00747AFE"/>
    <w:rsid w:val="00750773"/>
    <w:rsid w:val="00751116"/>
    <w:rsid w:val="00751886"/>
    <w:rsid w:val="00752217"/>
    <w:rsid w:val="00752A28"/>
    <w:rsid w:val="00752BA7"/>
    <w:rsid w:val="0075303C"/>
    <w:rsid w:val="0075707C"/>
    <w:rsid w:val="00762EDC"/>
    <w:rsid w:val="00763277"/>
    <w:rsid w:val="00764573"/>
    <w:rsid w:val="00764C7D"/>
    <w:rsid w:val="007656E7"/>
    <w:rsid w:val="00766BA6"/>
    <w:rsid w:val="007707BD"/>
    <w:rsid w:val="007719AD"/>
    <w:rsid w:val="00771A18"/>
    <w:rsid w:val="007747CD"/>
    <w:rsid w:val="00775256"/>
    <w:rsid w:val="0077681C"/>
    <w:rsid w:val="00776A27"/>
    <w:rsid w:val="00776CA3"/>
    <w:rsid w:val="00776E5B"/>
    <w:rsid w:val="00777A2B"/>
    <w:rsid w:val="00780DC3"/>
    <w:rsid w:val="0078110D"/>
    <w:rsid w:val="0078153D"/>
    <w:rsid w:val="007862E0"/>
    <w:rsid w:val="00786A5A"/>
    <w:rsid w:val="007870F5"/>
    <w:rsid w:val="007909A6"/>
    <w:rsid w:val="0079222D"/>
    <w:rsid w:val="007930BD"/>
    <w:rsid w:val="0079452F"/>
    <w:rsid w:val="007956FF"/>
    <w:rsid w:val="00796155"/>
    <w:rsid w:val="0079646A"/>
    <w:rsid w:val="007968A8"/>
    <w:rsid w:val="007968E9"/>
    <w:rsid w:val="007969DE"/>
    <w:rsid w:val="007975D3"/>
    <w:rsid w:val="007A0584"/>
    <w:rsid w:val="007A0FB9"/>
    <w:rsid w:val="007A1F79"/>
    <w:rsid w:val="007A3501"/>
    <w:rsid w:val="007A4CF0"/>
    <w:rsid w:val="007A5570"/>
    <w:rsid w:val="007A58B4"/>
    <w:rsid w:val="007A608F"/>
    <w:rsid w:val="007A6B59"/>
    <w:rsid w:val="007A6E95"/>
    <w:rsid w:val="007A793B"/>
    <w:rsid w:val="007B0A18"/>
    <w:rsid w:val="007B0A32"/>
    <w:rsid w:val="007B0A8D"/>
    <w:rsid w:val="007B0E22"/>
    <w:rsid w:val="007B0FED"/>
    <w:rsid w:val="007B125D"/>
    <w:rsid w:val="007B33C0"/>
    <w:rsid w:val="007B599A"/>
    <w:rsid w:val="007B78D8"/>
    <w:rsid w:val="007C09A5"/>
    <w:rsid w:val="007C2149"/>
    <w:rsid w:val="007C2598"/>
    <w:rsid w:val="007C3560"/>
    <w:rsid w:val="007C37E1"/>
    <w:rsid w:val="007C3E97"/>
    <w:rsid w:val="007C4608"/>
    <w:rsid w:val="007C66C8"/>
    <w:rsid w:val="007D00B0"/>
    <w:rsid w:val="007D7D22"/>
    <w:rsid w:val="007E456A"/>
    <w:rsid w:val="007E47B5"/>
    <w:rsid w:val="007F0DF9"/>
    <w:rsid w:val="007F1538"/>
    <w:rsid w:val="007F1C24"/>
    <w:rsid w:val="007F2B2C"/>
    <w:rsid w:val="007F35A2"/>
    <w:rsid w:val="007F7AC9"/>
    <w:rsid w:val="0080139D"/>
    <w:rsid w:val="008029D3"/>
    <w:rsid w:val="00802D05"/>
    <w:rsid w:val="008030E9"/>
    <w:rsid w:val="0080330C"/>
    <w:rsid w:val="0080347A"/>
    <w:rsid w:val="0080442C"/>
    <w:rsid w:val="0080572C"/>
    <w:rsid w:val="008064D1"/>
    <w:rsid w:val="00807815"/>
    <w:rsid w:val="00807C71"/>
    <w:rsid w:val="00812708"/>
    <w:rsid w:val="0081378C"/>
    <w:rsid w:val="008141D9"/>
    <w:rsid w:val="00814EE3"/>
    <w:rsid w:val="0081572F"/>
    <w:rsid w:val="00815FDA"/>
    <w:rsid w:val="00816519"/>
    <w:rsid w:val="00816C1F"/>
    <w:rsid w:val="0082292E"/>
    <w:rsid w:val="00822B73"/>
    <w:rsid w:val="00823C4F"/>
    <w:rsid w:val="00824C54"/>
    <w:rsid w:val="00825456"/>
    <w:rsid w:val="0082550F"/>
    <w:rsid w:val="00825CED"/>
    <w:rsid w:val="00825EF8"/>
    <w:rsid w:val="008260E4"/>
    <w:rsid w:val="008261B2"/>
    <w:rsid w:val="008326A2"/>
    <w:rsid w:val="00832DA9"/>
    <w:rsid w:val="00834AAE"/>
    <w:rsid w:val="00834E1F"/>
    <w:rsid w:val="00835285"/>
    <w:rsid w:val="00836104"/>
    <w:rsid w:val="0084034C"/>
    <w:rsid w:val="008409B8"/>
    <w:rsid w:val="008413DA"/>
    <w:rsid w:val="008414AE"/>
    <w:rsid w:val="00841926"/>
    <w:rsid w:val="00843158"/>
    <w:rsid w:val="00845FA1"/>
    <w:rsid w:val="008469D1"/>
    <w:rsid w:val="00847131"/>
    <w:rsid w:val="00847F71"/>
    <w:rsid w:val="0085014D"/>
    <w:rsid w:val="00852047"/>
    <w:rsid w:val="0085387D"/>
    <w:rsid w:val="008544B7"/>
    <w:rsid w:val="00856A67"/>
    <w:rsid w:val="00857EA6"/>
    <w:rsid w:val="00863154"/>
    <w:rsid w:val="00863494"/>
    <w:rsid w:val="00863AB2"/>
    <w:rsid w:val="00863B83"/>
    <w:rsid w:val="008646F5"/>
    <w:rsid w:val="00864BF2"/>
    <w:rsid w:val="00864E9F"/>
    <w:rsid w:val="0086548B"/>
    <w:rsid w:val="00865E6A"/>
    <w:rsid w:val="00865EE1"/>
    <w:rsid w:val="0086757F"/>
    <w:rsid w:val="00870F26"/>
    <w:rsid w:val="008713FA"/>
    <w:rsid w:val="008718DC"/>
    <w:rsid w:val="008724DF"/>
    <w:rsid w:val="00872BF7"/>
    <w:rsid w:val="00873381"/>
    <w:rsid w:val="00881274"/>
    <w:rsid w:val="0088153B"/>
    <w:rsid w:val="00882AF2"/>
    <w:rsid w:val="008839A5"/>
    <w:rsid w:val="00883A98"/>
    <w:rsid w:val="00884FCA"/>
    <w:rsid w:val="00886ED1"/>
    <w:rsid w:val="008879C0"/>
    <w:rsid w:val="008879FE"/>
    <w:rsid w:val="00890C53"/>
    <w:rsid w:val="0089124F"/>
    <w:rsid w:val="00891DF4"/>
    <w:rsid w:val="00895043"/>
    <w:rsid w:val="008972A5"/>
    <w:rsid w:val="008A15B8"/>
    <w:rsid w:val="008A21DF"/>
    <w:rsid w:val="008A2BBC"/>
    <w:rsid w:val="008A37EA"/>
    <w:rsid w:val="008A432B"/>
    <w:rsid w:val="008A455C"/>
    <w:rsid w:val="008A5FED"/>
    <w:rsid w:val="008B4633"/>
    <w:rsid w:val="008B59E9"/>
    <w:rsid w:val="008B6827"/>
    <w:rsid w:val="008C01FA"/>
    <w:rsid w:val="008C0C97"/>
    <w:rsid w:val="008C21B3"/>
    <w:rsid w:val="008C2240"/>
    <w:rsid w:val="008C2D92"/>
    <w:rsid w:val="008C34D0"/>
    <w:rsid w:val="008C3A07"/>
    <w:rsid w:val="008C3BF9"/>
    <w:rsid w:val="008C3EDA"/>
    <w:rsid w:val="008C402E"/>
    <w:rsid w:val="008C5480"/>
    <w:rsid w:val="008C6A49"/>
    <w:rsid w:val="008D0D0C"/>
    <w:rsid w:val="008D0E10"/>
    <w:rsid w:val="008D0FF0"/>
    <w:rsid w:val="008D36D1"/>
    <w:rsid w:val="008D5786"/>
    <w:rsid w:val="008D5A7D"/>
    <w:rsid w:val="008D7198"/>
    <w:rsid w:val="008D7804"/>
    <w:rsid w:val="008E0464"/>
    <w:rsid w:val="008E06E6"/>
    <w:rsid w:val="008E0717"/>
    <w:rsid w:val="008E1E6C"/>
    <w:rsid w:val="008E21C1"/>
    <w:rsid w:val="008E4C82"/>
    <w:rsid w:val="008E70FA"/>
    <w:rsid w:val="008E71C8"/>
    <w:rsid w:val="008F0C07"/>
    <w:rsid w:val="008F566D"/>
    <w:rsid w:val="008F5F14"/>
    <w:rsid w:val="008F6499"/>
    <w:rsid w:val="008F7C5C"/>
    <w:rsid w:val="009007B6"/>
    <w:rsid w:val="00903642"/>
    <w:rsid w:val="009036EC"/>
    <w:rsid w:val="00905ACB"/>
    <w:rsid w:val="009069E5"/>
    <w:rsid w:val="009077DE"/>
    <w:rsid w:val="0091294A"/>
    <w:rsid w:val="00913EA1"/>
    <w:rsid w:val="009141BF"/>
    <w:rsid w:val="00914330"/>
    <w:rsid w:val="009143AF"/>
    <w:rsid w:val="0091469E"/>
    <w:rsid w:val="00914794"/>
    <w:rsid w:val="00914894"/>
    <w:rsid w:val="0091528C"/>
    <w:rsid w:val="0091678B"/>
    <w:rsid w:val="009168C6"/>
    <w:rsid w:val="00917482"/>
    <w:rsid w:val="00920D35"/>
    <w:rsid w:val="00921F6D"/>
    <w:rsid w:val="009220EE"/>
    <w:rsid w:val="0092252B"/>
    <w:rsid w:val="0092393B"/>
    <w:rsid w:val="00924737"/>
    <w:rsid w:val="00924F81"/>
    <w:rsid w:val="00927D88"/>
    <w:rsid w:val="009302B8"/>
    <w:rsid w:val="00930780"/>
    <w:rsid w:val="00930EB6"/>
    <w:rsid w:val="009322DA"/>
    <w:rsid w:val="00932BFE"/>
    <w:rsid w:val="009332C6"/>
    <w:rsid w:val="009338F7"/>
    <w:rsid w:val="00933DE1"/>
    <w:rsid w:val="00934402"/>
    <w:rsid w:val="0093491B"/>
    <w:rsid w:val="00935009"/>
    <w:rsid w:val="00936475"/>
    <w:rsid w:val="009365F2"/>
    <w:rsid w:val="00936CA6"/>
    <w:rsid w:val="00937642"/>
    <w:rsid w:val="00941CFD"/>
    <w:rsid w:val="00943B12"/>
    <w:rsid w:val="009456E6"/>
    <w:rsid w:val="00945A24"/>
    <w:rsid w:val="00945DCF"/>
    <w:rsid w:val="00946E38"/>
    <w:rsid w:val="00947868"/>
    <w:rsid w:val="00947BA3"/>
    <w:rsid w:val="00947BDD"/>
    <w:rsid w:val="0095050B"/>
    <w:rsid w:val="0095111A"/>
    <w:rsid w:val="00951408"/>
    <w:rsid w:val="009536DF"/>
    <w:rsid w:val="009537A7"/>
    <w:rsid w:val="00953943"/>
    <w:rsid w:val="00953A34"/>
    <w:rsid w:val="00954375"/>
    <w:rsid w:val="00955129"/>
    <w:rsid w:val="009565AB"/>
    <w:rsid w:val="00957913"/>
    <w:rsid w:val="0096024B"/>
    <w:rsid w:val="009602F6"/>
    <w:rsid w:val="00960565"/>
    <w:rsid w:val="00961921"/>
    <w:rsid w:val="00964A75"/>
    <w:rsid w:val="009655D0"/>
    <w:rsid w:val="0096664B"/>
    <w:rsid w:val="009677C4"/>
    <w:rsid w:val="0096780B"/>
    <w:rsid w:val="00970FA1"/>
    <w:rsid w:val="00971AEA"/>
    <w:rsid w:val="00973B31"/>
    <w:rsid w:val="00975FB0"/>
    <w:rsid w:val="00976226"/>
    <w:rsid w:val="0097656D"/>
    <w:rsid w:val="00976E6C"/>
    <w:rsid w:val="0097791B"/>
    <w:rsid w:val="009805EB"/>
    <w:rsid w:val="00982838"/>
    <w:rsid w:val="00985D1B"/>
    <w:rsid w:val="0098684C"/>
    <w:rsid w:val="00986AD2"/>
    <w:rsid w:val="0099041B"/>
    <w:rsid w:val="0099101A"/>
    <w:rsid w:val="0099208F"/>
    <w:rsid w:val="00992315"/>
    <w:rsid w:val="009924EF"/>
    <w:rsid w:val="00992816"/>
    <w:rsid w:val="009944DB"/>
    <w:rsid w:val="0099450C"/>
    <w:rsid w:val="00994A52"/>
    <w:rsid w:val="00995089"/>
    <w:rsid w:val="00995B32"/>
    <w:rsid w:val="00995F45"/>
    <w:rsid w:val="009A1A1F"/>
    <w:rsid w:val="009A3011"/>
    <w:rsid w:val="009A5511"/>
    <w:rsid w:val="009A790A"/>
    <w:rsid w:val="009B0159"/>
    <w:rsid w:val="009B0497"/>
    <w:rsid w:val="009B0C78"/>
    <w:rsid w:val="009B1E35"/>
    <w:rsid w:val="009B443C"/>
    <w:rsid w:val="009C0678"/>
    <w:rsid w:val="009C083A"/>
    <w:rsid w:val="009C1912"/>
    <w:rsid w:val="009C2A47"/>
    <w:rsid w:val="009C434A"/>
    <w:rsid w:val="009C4AC0"/>
    <w:rsid w:val="009C52C8"/>
    <w:rsid w:val="009C558A"/>
    <w:rsid w:val="009C6571"/>
    <w:rsid w:val="009C6C1E"/>
    <w:rsid w:val="009C6D81"/>
    <w:rsid w:val="009C6E5E"/>
    <w:rsid w:val="009C702D"/>
    <w:rsid w:val="009C7CD8"/>
    <w:rsid w:val="009D15B7"/>
    <w:rsid w:val="009D1A49"/>
    <w:rsid w:val="009D1E9E"/>
    <w:rsid w:val="009D3277"/>
    <w:rsid w:val="009D51CF"/>
    <w:rsid w:val="009D536B"/>
    <w:rsid w:val="009D64D0"/>
    <w:rsid w:val="009D71B6"/>
    <w:rsid w:val="009D7DC5"/>
    <w:rsid w:val="009D7E2B"/>
    <w:rsid w:val="009E0F6D"/>
    <w:rsid w:val="009E1543"/>
    <w:rsid w:val="009E18A0"/>
    <w:rsid w:val="009E20E6"/>
    <w:rsid w:val="009E214B"/>
    <w:rsid w:val="009E21BA"/>
    <w:rsid w:val="009E22FE"/>
    <w:rsid w:val="009E2A49"/>
    <w:rsid w:val="009E35CD"/>
    <w:rsid w:val="009E42DF"/>
    <w:rsid w:val="009E5209"/>
    <w:rsid w:val="009E5E9F"/>
    <w:rsid w:val="009E79C0"/>
    <w:rsid w:val="009F000B"/>
    <w:rsid w:val="009F1D36"/>
    <w:rsid w:val="009F22CC"/>
    <w:rsid w:val="009F4043"/>
    <w:rsid w:val="009F63B0"/>
    <w:rsid w:val="009F6876"/>
    <w:rsid w:val="009F72DF"/>
    <w:rsid w:val="009F79CD"/>
    <w:rsid w:val="00A00725"/>
    <w:rsid w:val="00A0193B"/>
    <w:rsid w:val="00A03276"/>
    <w:rsid w:val="00A047F4"/>
    <w:rsid w:val="00A05778"/>
    <w:rsid w:val="00A0635E"/>
    <w:rsid w:val="00A06DEA"/>
    <w:rsid w:val="00A07124"/>
    <w:rsid w:val="00A11FA1"/>
    <w:rsid w:val="00A14328"/>
    <w:rsid w:val="00A148C3"/>
    <w:rsid w:val="00A15597"/>
    <w:rsid w:val="00A15843"/>
    <w:rsid w:val="00A16F96"/>
    <w:rsid w:val="00A171E8"/>
    <w:rsid w:val="00A177F0"/>
    <w:rsid w:val="00A17F14"/>
    <w:rsid w:val="00A20D9B"/>
    <w:rsid w:val="00A22FC1"/>
    <w:rsid w:val="00A23579"/>
    <w:rsid w:val="00A23B67"/>
    <w:rsid w:val="00A24066"/>
    <w:rsid w:val="00A26931"/>
    <w:rsid w:val="00A27E31"/>
    <w:rsid w:val="00A30C00"/>
    <w:rsid w:val="00A317D9"/>
    <w:rsid w:val="00A31A08"/>
    <w:rsid w:val="00A3265C"/>
    <w:rsid w:val="00A32B8B"/>
    <w:rsid w:val="00A3378B"/>
    <w:rsid w:val="00A34461"/>
    <w:rsid w:val="00A370EE"/>
    <w:rsid w:val="00A37615"/>
    <w:rsid w:val="00A40035"/>
    <w:rsid w:val="00A40BC5"/>
    <w:rsid w:val="00A41C08"/>
    <w:rsid w:val="00A425CD"/>
    <w:rsid w:val="00A432C7"/>
    <w:rsid w:val="00A44BE8"/>
    <w:rsid w:val="00A46334"/>
    <w:rsid w:val="00A4702D"/>
    <w:rsid w:val="00A47382"/>
    <w:rsid w:val="00A500C2"/>
    <w:rsid w:val="00A511A5"/>
    <w:rsid w:val="00A51998"/>
    <w:rsid w:val="00A51F94"/>
    <w:rsid w:val="00A539A1"/>
    <w:rsid w:val="00A55109"/>
    <w:rsid w:val="00A55909"/>
    <w:rsid w:val="00A55F97"/>
    <w:rsid w:val="00A5605E"/>
    <w:rsid w:val="00A61206"/>
    <w:rsid w:val="00A66149"/>
    <w:rsid w:val="00A6657E"/>
    <w:rsid w:val="00A67166"/>
    <w:rsid w:val="00A707FE"/>
    <w:rsid w:val="00A7360F"/>
    <w:rsid w:val="00A743E2"/>
    <w:rsid w:val="00A75CAA"/>
    <w:rsid w:val="00A75E1A"/>
    <w:rsid w:val="00A762AA"/>
    <w:rsid w:val="00A7772C"/>
    <w:rsid w:val="00A8140B"/>
    <w:rsid w:val="00A851F5"/>
    <w:rsid w:val="00A859B9"/>
    <w:rsid w:val="00A860C3"/>
    <w:rsid w:val="00A8663D"/>
    <w:rsid w:val="00A872F8"/>
    <w:rsid w:val="00A912DF"/>
    <w:rsid w:val="00A91A2E"/>
    <w:rsid w:val="00A924DA"/>
    <w:rsid w:val="00A94E71"/>
    <w:rsid w:val="00A954A8"/>
    <w:rsid w:val="00A96C8A"/>
    <w:rsid w:val="00AA0969"/>
    <w:rsid w:val="00AA2C93"/>
    <w:rsid w:val="00AA3280"/>
    <w:rsid w:val="00AA44D3"/>
    <w:rsid w:val="00AA7FCF"/>
    <w:rsid w:val="00AB1CAF"/>
    <w:rsid w:val="00AB2002"/>
    <w:rsid w:val="00AB2286"/>
    <w:rsid w:val="00AB2CE4"/>
    <w:rsid w:val="00AB4458"/>
    <w:rsid w:val="00AB4483"/>
    <w:rsid w:val="00AB5FE6"/>
    <w:rsid w:val="00AC0923"/>
    <w:rsid w:val="00AC1A20"/>
    <w:rsid w:val="00AC1AF9"/>
    <w:rsid w:val="00AC2B3C"/>
    <w:rsid w:val="00AC3DDC"/>
    <w:rsid w:val="00AC3E87"/>
    <w:rsid w:val="00AC4EE6"/>
    <w:rsid w:val="00AC553D"/>
    <w:rsid w:val="00AC659E"/>
    <w:rsid w:val="00AC7388"/>
    <w:rsid w:val="00AD11C0"/>
    <w:rsid w:val="00AD26B2"/>
    <w:rsid w:val="00AD2D3C"/>
    <w:rsid w:val="00AD38DF"/>
    <w:rsid w:val="00AD632B"/>
    <w:rsid w:val="00AD6B24"/>
    <w:rsid w:val="00AD7525"/>
    <w:rsid w:val="00AD7CCD"/>
    <w:rsid w:val="00AE1684"/>
    <w:rsid w:val="00AE3DCC"/>
    <w:rsid w:val="00AE5130"/>
    <w:rsid w:val="00AE5D91"/>
    <w:rsid w:val="00AE6474"/>
    <w:rsid w:val="00AF29BB"/>
    <w:rsid w:val="00AF4F54"/>
    <w:rsid w:val="00AF6D30"/>
    <w:rsid w:val="00B023F4"/>
    <w:rsid w:val="00B028D4"/>
    <w:rsid w:val="00B03229"/>
    <w:rsid w:val="00B03B8D"/>
    <w:rsid w:val="00B05594"/>
    <w:rsid w:val="00B05D8D"/>
    <w:rsid w:val="00B05DAD"/>
    <w:rsid w:val="00B06C9F"/>
    <w:rsid w:val="00B07ABB"/>
    <w:rsid w:val="00B1053D"/>
    <w:rsid w:val="00B117BC"/>
    <w:rsid w:val="00B135D8"/>
    <w:rsid w:val="00B14603"/>
    <w:rsid w:val="00B147BF"/>
    <w:rsid w:val="00B166F3"/>
    <w:rsid w:val="00B170B1"/>
    <w:rsid w:val="00B17281"/>
    <w:rsid w:val="00B17335"/>
    <w:rsid w:val="00B20CB4"/>
    <w:rsid w:val="00B22A9D"/>
    <w:rsid w:val="00B23E0E"/>
    <w:rsid w:val="00B24035"/>
    <w:rsid w:val="00B24476"/>
    <w:rsid w:val="00B24B67"/>
    <w:rsid w:val="00B24BC9"/>
    <w:rsid w:val="00B24DB6"/>
    <w:rsid w:val="00B258F5"/>
    <w:rsid w:val="00B25D24"/>
    <w:rsid w:val="00B25FDF"/>
    <w:rsid w:val="00B268DC"/>
    <w:rsid w:val="00B26D8F"/>
    <w:rsid w:val="00B27260"/>
    <w:rsid w:val="00B27301"/>
    <w:rsid w:val="00B33BA9"/>
    <w:rsid w:val="00B33F13"/>
    <w:rsid w:val="00B341FC"/>
    <w:rsid w:val="00B34743"/>
    <w:rsid w:val="00B36E05"/>
    <w:rsid w:val="00B40FE4"/>
    <w:rsid w:val="00B41E56"/>
    <w:rsid w:val="00B457DE"/>
    <w:rsid w:val="00B465C7"/>
    <w:rsid w:val="00B4698C"/>
    <w:rsid w:val="00B47FF5"/>
    <w:rsid w:val="00B50100"/>
    <w:rsid w:val="00B50E7D"/>
    <w:rsid w:val="00B52578"/>
    <w:rsid w:val="00B55DBF"/>
    <w:rsid w:val="00B56885"/>
    <w:rsid w:val="00B57361"/>
    <w:rsid w:val="00B66816"/>
    <w:rsid w:val="00B66F66"/>
    <w:rsid w:val="00B674D4"/>
    <w:rsid w:val="00B67563"/>
    <w:rsid w:val="00B7131C"/>
    <w:rsid w:val="00B7204B"/>
    <w:rsid w:val="00B72365"/>
    <w:rsid w:val="00B73EBF"/>
    <w:rsid w:val="00B73F86"/>
    <w:rsid w:val="00B74975"/>
    <w:rsid w:val="00B74A09"/>
    <w:rsid w:val="00B74FCA"/>
    <w:rsid w:val="00B76E27"/>
    <w:rsid w:val="00B76F49"/>
    <w:rsid w:val="00B80ED7"/>
    <w:rsid w:val="00B82A32"/>
    <w:rsid w:val="00B83474"/>
    <w:rsid w:val="00B83C37"/>
    <w:rsid w:val="00B84DAF"/>
    <w:rsid w:val="00B87491"/>
    <w:rsid w:val="00B9285F"/>
    <w:rsid w:val="00B95417"/>
    <w:rsid w:val="00B97C37"/>
    <w:rsid w:val="00B97EBE"/>
    <w:rsid w:val="00BA0FA8"/>
    <w:rsid w:val="00BA2AAD"/>
    <w:rsid w:val="00BA3813"/>
    <w:rsid w:val="00BA71C7"/>
    <w:rsid w:val="00BA7798"/>
    <w:rsid w:val="00BA7AFA"/>
    <w:rsid w:val="00BA7B73"/>
    <w:rsid w:val="00BB0CD1"/>
    <w:rsid w:val="00BB1EB6"/>
    <w:rsid w:val="00BB2747"/>
    <w:rsid w:val="00BB3CAB"/>
    <w:rsid w:val="00BB518E"/>
    <w:rsid w:val="00BB6A47"/>
    <w:rsid w:val="00BB75DD"/>
    <w:rsid w:val="00BB7DCE"/>
    <w:rsid w:val="00BC0D33"/>
    <w:rsid w:val="00BC110C"/>
    <w:rsid w:val="00BC1480"/>
    <w:rsid w:val="00BC1768"/>
    <w:rsid w:val="00BC1EE7"/>
    <w:rsid w:val="00BC238C"/>
    <w:rsid w:val="00BC2ADC"/>
    <w:rsid w:val="00BC3039"/>
    <w:rsid w:val="00BC45FE"/>
    <w:rsid w:val="00BC474F"/>
    <w:rsid w:val="00BC4943"/>
    <w:rsid w:val="00BC5CE8"/>
    <w:rsid w:val="00BC633A"/>
    <w:rsid w:val="00BC640E"/>
    <w:rsid w:val="00BC645C"/>
    <w:rsid w:val="00BC6762"/>
    <w:rsid w:val="00BC7CE6"/>
    <w:rsid w:val="00BD2E22"/>
    <w:rsid w:val="00BD3406"/>
    <w:rsid w:val="00BD369D"/>
    <w:rsid w:val="00BD3AB7"/>
    <w:rsid w:val="00BD4CD9"/>
    <w:rsid w:val="00BD5783"/>
    <w:rsid w:val="00BD6562"/>
    <w:rsid w:val="00BD7429"/>
    <w:rsid w:val="00BD754E"/>
    <w:rsid w:val="00BE1165"/>
    <w:rsid w:val="00BE409F"/>
    <w:rsid w:val="00BE50E8"/>
    <w:rsid w:val="00BE72D0"/>
    <w:rsid w:val="00BE7746"/>
    <w:rsid w:val="00BE7FF0"/>
    <w:rsid w:val="00BF1997"/>
    <w:rsid w:val="00BF1CD8"/>
    <w:rsid w:val="00BF20A7"/>
    <w:rsid w:val="00BF2850"/>
    <w:rsid w:val="00BF3366"/>
    <w:rsid w:val="00BF3891"/>
    <w:rsid w:val="00BF4262"/>
    <w:rsid w:val="00BF7CD8"/>
    <w:rsid w:val="00C01F7B"/>
    <w:rsid w:val="00C0274E"/>
    <w:rsid w:val="00C03033"/>
    <w:rsid w:val="00C06D90"/>
    <w:rsid w:val="00C1064C"/>
    <w:rsid w:val="00C10B91"/>
    <w:rsid w:val="00C11CA6"/>
    <w:rsid w:val="00C12FE5"/>
    <w:rsid w:val="00C1336F"/>
    <w:rsid w:val="00C13473"/>
    <w:rsid w:val="00C1486D"/>
    <w:rsid w:val="00C14871"/>
    <w:rsid w:val="00C14B3B"/>
    <w:rsid w:val="00C15FEC"/>
    <w:rsid w:val="00C16718"/>
    <w:rsid w:val="00C167A7"/>
    <w:rsid w:val="00C20763"/>
    <w:rsid w:val="00C20C2A"/>
    <w:rsid w:val="00C2148B"/>
    <w:rsid w:val="00C21562"/>
    <w:rsid w:val="00C22B05"/>
    <w:rsid w:val="00C22B7E"/>
    <w:rsid w:val="00C252BE"/>
    <w:rsid w:val="00C25AB4"/>
    <w:rsid w:val="00C266AE"/>
    <w:rsid w:val="00C27B7F"/>
    <w:rsid w:val="00C3140F"/>
    <w:rsid w:val="00C316AB"/>
    <w:rsid w:val="00C31DD8"/>
    <w:rsid w:val="00C32503"/>
    <w:rsid w:val="00C33960"/>
    <w:rsid w:val="00C350DE"/>
    <w:rsid w:val="00C361D7"/>
    <w:rsid w:val="00C36DD0"/>
    <w:rsid w:val="00C36FDF"/>
    <w:rsid w:val="00C37D8F"/>
    <w:rsid w:val="00C40801"/>
    <w:rsid w:val="00C408DC"/>
    <w:rsid w:val="00C40B9D"/>
    <w:rsid w:val="00C416C8"/>
    <w:rsid w:val="00C42897"/>
    <w:rsid w:val="00C42F0B"/>
    <w:rsid w:val="00C4331F"/>
    <w:rsid w:val="00C506A9"/>
    <w:rsid w:val="00C50C76"/>
    <w:rsid w:val="00C50E9F"/>
    <w:rsid w:val="00C514C0"/>
    <w:rsid w:val="00C51794"/>
    <w:rsid w:val="00C52A7A"/>
    <w:rsid w:val="00C531E1"/>
    <w:rsid w:val="00C5364B"/>
    <w:rsid w:val="00C5380D"/>
    <w:rsid w:val="00C53F3C"/>
    <w:rsid w:val="00C54041"/>
    <w:rsid w:val="00C55107"/>
    <w:rsid w:val="00C5674E"/>
    <w:rsid w:val="00C5733E"/>
    <w:rsid w:val="00C57573"/>
    <w:rsid w:val="00C57DC1"/>
    <w:rsid w:val="00C57F11"/>
    <w:rsid w:val="00C61EEA"/>
    <w:rsid w:val="00C629C3"/>
    <w:rsid w:val="00C63060"/>
    <w:rsid w:val="00C63BDE"/>
    <w:rsid w:val="00C64016"/>
    <w:rsid w:val="00C6568D"/>
    <w:rsid w:val="00C665E7"/>
    <w:rsid w:val="00C67A0F"/>
    <w:rsid w:val="00C71C75"/>
    <w:rsid w:val="00C720CE"/>
    <w:rsid w:val="00C72B9D"/>
    <w:rsid w:val="00C73C5A"/>
    <w:rsid w:val="00C757E6"/>
    <w:rsid w:val="00C76D83"/>
    <w:rsid w:val="00C76EBD"/>
    <w:rsid w:val="00C77C8E"/>
    <w:rsid w:val="00C8024B"/>
    <w:rsid w:val="00C81782"/>
    <w:rsid w:val="00C82F67"/>
    <w:rsid w:val="00C830ED"/>
    <w:rsid w:val="00C90A0C"/>
    <w:rsid w:val="00C91F78"/>
    <w:rsid w:val="00C93752"/>
    <w:rsid w:val="00C93B50"/>
    <w:rsid w:val="00C9447A"/>
    <w:rsid w:val="00C9483C"/>
    <w:rsid w:val="00C94F50"/>
    <w:rsid w:val="00C95483"/>
    <w:rsid w:val="00C954E7"/>
    <w:rsid w:val="00C96EB5"/>
    <w:rsid w:val="00C972CD"/>
    <w:rsid w:val="00CA0B78"/>
    <w:rsid w:val="00CA1279"/>
    <w:rsid w:val="00CA1CE2"/>
    <w:rsid w:val="00CA3271"/>
    <w:rsid w:val="00CA3409"/>
    <w:rsid w:val="00CA3CAF"/>
    <w:rsid w:val="00CA469E"/>
    <w:rsid w:val="00CA4B52"/>
    <w:rsid w:val="00CA6589"/>
    <w:rsid w:val="00CA677E"/>
    <w:rsid w:val="00CA6E7C"/>
    <w:rsid w:val="00CA6F4C"/>
    <w:rsid w:val="00CA7763"/>
    <w:rsid w:val="00CB2329"/>
    <w:rsid w:val="00CB2C0A"/>
    <w:rsid w:val="00CB3008"/>
    <w:rsid w:val="00CB399B"/>
    <w:rsid w:val="00CB753F"/>
    <w:rsid w:val="00CB756E"/>
    <w:rsid w:val="00CC1679"/>
    <w:rsid w:val="00CC1720"/>
    <w:rsid w:val="00CC35BB"/>
    <w:rsid w:val="00CC3B17"/>
    <w:rsid w:val="00CC40D7"/>
    <w:rsid w:val="00CC4174"/>
    <w:rsid w:val="00CC5D4F"/>
    <w:rsid w:val="00CC5E33"/>
    <w:rsid w:val="00CC65C7"/>
    <w:rsid w:val="00CC6F31"/>
    <w:rsid w:val="00CD223D"/>
    <w:rsid w:val="00CD2BCE"/>
    <w:rsid w:val="00CD407F"/>
    <w:rsid w:val="00CD40AD"/>
    <w:rsid w:val="00CD5E8B"/>
    <w:rsid w:val="00CD6746"/>
    <w:rsid w:val="00CD7A82"/>
    <w:rsid w:val="00CE0B33"/>
    <w:rsid w:val="00CE2B6A"/>
    <w:rsid w:val="00CF048F"/>
    <w:rsid w:val="00CF0796"/>
    <w:rsid w:val="00CF0D9D"/>
    <w:rsid w:val="00CF10B4"/>
    <w:rsid w:val="00CF155D"/>
    <w:rsid w:val="00CF1B5E"/>
    <w:rsid w:val="00CF1B6A"/>
    <w:rsid w:val="00CF481B"/>
    <w:rsid w:val="00CF5919"/>
    <w:rsid w:val="00CF66C8"/>
    <w:rsid w:val="00CF6E55"/>
    <w:rsid w:val="00CF78B9"/>
    <w:rsid w:val="00CF7D62"/>
    <w:rsid w:val="00D0011B"/>
    <w:rsid w:val="00D0333F"/>
    <w:rsid w:val="00D0498B"/>
    <w:rsid w:val="00D04D16"/>
    <w:rsid w:val="00D06ACD"/>
    <w:rsid w:val="00D06F22"/>
    <w:rsid w:val="00D076FF"/>
    <w:rsid w:val="00D11FE9"/>
    <w:rsid w:val="00D12D5B"/>
    <w:rsid w:val="00D1334B"/>
    <w:rsid w:val="00D15B5D"/>
    <w:rsid w:val="00D15ECE"/>
    <w:rsid w:val="00D20CE3"/>
    <w:rsid w:val="00D218C1"/>
    <w:rsid w:val="00D23E1C"/>
    <w:rsid w:val="00D25FCE"/>
    <w:rsid w:val="00D27CF5"/>
    <w:rsid w:val="00D30473"/>
    <w:rsid w:val="00D30541"/>
    <w:rsid w:val="00D3088F"/>
    <w:rsid w:val="00D30CD3"/>
    <w:rsid w:val="00D30FF7"/>
    <w:rsid w:val="00D322B2"/>
    <w:rsid w:val="00D328D0"/>
    <w:rsid w:val="00D32EAB"/>
    <w:rsid w:val="00D334F6"/>
    <w:rsid w:val="00D3424A"/>
    <w:rsid w:val="00D3452B"/>
    <w:rsid w:val="00D34739"/>
    <w:rsid w:val="00D34E1B"/>
    <w:rsid w:val="00D35E84"/>
    <w:rsid w:val="00D36876"/>
    <w:rsid w:val="00D37A61"/>
    <w:rsid w:val="00D408BD"/>
    <w:rsid w:val="00D40C63"/>
    <w:rsid w:val="00D40D70"/>
    <w:rsid w:val="00D40EC2"/>
    <w:rsid w:val="00D424CC"/>
    <w:rsid w:val="00D426D0"/>
    <w:rsid w:val="00D42763"/>
    <w:rsid w:val="00D42D62"/>
    <w:rsid w:val="00D42FEE"/>
    <w:rsid w:val="00D430B0"/>
    <w:rsid w:val="00D44053"/>
    <w:rsid w:val="00D4456E"/>
    <w:rsid w:val="00D458CA"/>
    <w:rsid w:val="00D4703F"/>
    <w:rsid w:val="00D501AF"/>
    <w:rsid w:val="00D50F31"/>
    <w:rsid w:val="00D545CC"/>
    <w:rsid w:val="00D55723"/>
    <w:rsid w:val="00D55875"/>
    <w:rsid w:val="00D5611D"/>
    <w:rsid w:val="00D56695"/>
    <w:rsid w:val="00D56C70"/>
    <w:rsid w:val="00D57144"/>
    <w:rsid w:val="00D57E47"/>
    <w:rsid w:val="00D61E75"/>
    <w:rsid w:val="00D630C1"/>
    <w:rsid w:val="00D6364A"/>
    <w:rsid w:val="00D63763"/>
    <w:rsid w:val="00D64A57"/>
    <w:rsid w:val="00D66733"/>
    <w:rsid w:val="00D66D55"/>
    <w:rsid w:val="00D67889"/>
    <w:rsid w:val="00D71BE5"/>
    <w:rsid w:val="00D72B35"/>
    <w:rsid w:val="00D72C44"/>
    <w:rsid w:val="00D73C54"/>
    <w:rsid w:val="00D7623D"/>
    <w:rsid w:val="00D766EE"/>
    <w:rsid w:val="00D76F4E"/>
    <w:rsid w:val="00D80146"/>
    <w:rsid w:val="00D8042D"/>
    <w:rsid w:val="00D812BF"/>
    <w:rsid w:val="00D85837"/>
    <w:rsid w:val="00D85BC9"/>
    <w:rsid w:val="00D86820"/>
    <w:rsid w:val="00D86A53"/>
    <w:rsid w:val="00D86B22"/>
    <w:rsid w:val="00D87006"/>
    <w:rsid w:val="00D87FDE"/>
    <w:rsid w:val="00D9000C"/>
    <w:rsid w:val="00D91D59"/>
    <w:rsid w:val="00D9239B"/>
    <w:rsid w:val="00D92B12"/>
    <w:rsid w:val="00D93D42"/>
    <w:rsid w:val="00D95BE8"/>
    <w:rsid w:val="00D95CE5"/>
    <w:rsid w:val="00D97E31"/>
    <w:rsid w:val="00DA18CF"/>
    <w:rsid w:val="00DA1B24"/>
    <w:rsid w:val="00DA1B62"/>
    <w:rsid w:val="00DA2715"/>
    <w:rsid w:val="00DA2BD0"/>
    <w:rsid w:val="00DA2C22"/>
    <w:rsid w:val="00DA50C2"/>
    <w:rsid w:val="00DA50E2"/>
    <w:rsid w:val="00DA52E5"/>
    <w:rsid w:val="00DA5C24"/>
    <w:rsid w:val="00DA5E64"/>
    <w:rsid w:val="00DA6346"/>
    <w:rsid w:val="00DA6C55"/>
    <w:rsid w:val="00DA7954"/>
    <w:rsid w:val="00DA7C14"/>
    <w:rsid w:val="00DB0E81"/>
    <w:rsid w:val="00DB1E53"/>
    <w:rsid w:val="00DB213D"/>
    <w:rsid w:val="00DB2C4C"/>
    <w:rsid w:val="00DB409D"/>
    <w:rsid w:val="00DB4772"/>
    <w:rsid w:val="00DB4D06"/>
    <w:rsid w:val="00DB5538"/>
    <w:rsid w:val="00DB6B71"/>
    <w:rsid w:val="00DC14D9"/>
    <w:rsid w:val="00DC1863"/>
    <w:rsid w:val="00DC2565"/>
    <w:rsid w:val="00DC39E6"/>
    <w:rsid w:val="00DC3B35"/>
    <w:rsid w:val="00DC3D43"/>
    <w:rsid w:val="00DC4D40"/>
    <w:rsid w:val="00DC6617"/>
    <w:rsid w:val="00DC6959"/>
    <w:rsid w:val="00DC6A58"/>
    <w:rsid w:val="00DC6AC1"/>
    <w:rsid w:val="00DD060B"/>
    <w:rsid w:val="00DD0CE2"/>
    <w:rsid w:val="00DD11ED"/>
    <w:rsid w:val="00DD1811"/>
    <w:rsid w:val="00DD1903"/>
    <w:rsid w:val="00DD2098"/>
    <w:rsid w:val="00DD230F"/>
    <w:rsid w:val="00DD26A2"/>
    <w:rsid w:val="00DD26C4"/>
    <w:rsid w:val="00DD422A"/>
    <w:rsid w:val="00DD4473"/>
    <w:rsid w:val="00DD5880"/>
    <w:rsid w:val="00DD5E6F"/>
    <w:rsid w:val="00DD70EB"/>
    <w:rsid w:val="00DD7EAE"/>
    <w:rsid w:val="00DE15BF"/>
    <w:rsid w:val="00DE1784"/>
    <w:rsid w:val="00DE495A"/>
    <w:rsid w:val="00DE4CF9"/>
    <w:rsid w:val="00DE70B6"/>
    <w:rsid w:val="00DE7935"/>
    <w:rsid w:val="00DF031F"/>
    <w:rsid w:val="00DF0663"/>
    <w:rsid w:val="00DF073F"/>
    <w:rsid w:val="00DF0D00"/>
    <w:rsid w:val="00DF168B"/>
    <w:rsid w:val="00DF1889"/>
    <w:rsid w:val="00DF2760"/>
    <w:rsid w:val="00DF2BD3"/>
    <w:rsid w:val="00DF3B3B"/>
    <w:rsid w:val="00DF4355"/>
    <w:rsid w:val="00DF6490"/>
    <w:rsid w:val="00DF75C5"/>
    <w:rsid w:val="00E00113"/>
    <w:rsid w:val="00E01089"/>
    <w:rsid w:val="00E01956"/>
    <w:rsid w:val="00E023CC"/>
    <w:rsid w:val="00E04915"/>
    <w:rsid w:val="00E05105"/>
    <w:rsid w:val="00E06A9D"/>
    <w:rsid w:val="00E13556"/>
    <w:rsid w:val="00E14592"/>
    <w:rsid w:val="00E20763"/>
    <w:rsid w:val="00E20B11"/>
    <w:rsid w:val="00E22740"/>
    <w:rsid w:val="00E23A90"/>
    <w:rsid w:val="00E23E5D"/>
    <w:rsid w:val="00E2599A"/>
    <w:rsid w:val="00E27CA1"/>
    <w:rsid w:val="00E27EF2"/>
    <w:rsid w:val="00E3170C"/>
    <w:rsid w:val="00E317F9"/>
    <w:rsid w:val="00E31899"/>
    <w:rsid w:val="00E332A8"/>
    <w:rsid w:val="00E33F10"/>
    <w:rsid w:val="00E35D24"/>
    <w:rsid w:val="00E360A0"/>
    <w:rsid w:val="00E36168"/>
    <w:rsid w:val="00E36B31"/>
    <w:rsid w:val="00E374D0"/>
    <w:rsid w:val="00E40418"/>
    <w:rsid w:val="00E41861"/>
    <w:rsid w:val="00E424AF"/>
    <w:rsid w:val="00E43B1D"/>
    <w:rsid w:val="00E447BB"/>
    <w:rsid w:val="00E44FB8"/>
    <w:rsid w:val="00E459B1"/>
    <w:rsid w:val="00E465A3"/>
    <w:rsid w:val="00E47AB2"/>
    <w:rsid w:val="00E47CA7"/>
    <w:rsid w:val="00E507E4"/>
    <w:rsid w:val="00E50DDE"/>
    <w:rsid w:val="00E53C75"/>
    <w:rsid w:val="00E544C5"/>
    <w:rsid w:val="00E552A2"/>
    <w:rsid w:val="00E56147"/>
    <w:rsid w:val="00E60239"/>
    <w:rsid w:val="00E60263"/>
    <w:rsid w:val="00E62A2F"/>
    <w:rsid w:val="00E64C60"/>
    <w:rsid w:val="00E64EEF"/>
    <w:rsid w:val="00E66685"/>
    <w:rsid w:val="00E66F9B"/>
    <w:rsid w:val="00E677E4"/>
    <w:rsid w:val="00E728F7"/>
    <w:rsid w:val="00E7415B"/>
    <w:rsid w:val="00E75940"/>
    <w:rsid w:val="00E759C0"/>
    <w:rsid w:val="00E75F6E"/>
    <w:rsid w:val="00E766CD"/>
    <w:rsid w:val="00E76AF1"/>
    <w:rsid w:val="00E81B5D"/>
    <w:rsid w:val="00E82CEA"/>
    <w:rsid w:val="00E82D6E"/>
    <w:rsid w:val="00E832B8"/>
    <w:rsid w:val="00E8344D"/>
    <w:rsid w:val="00E84B64"/>
    <w:rsid w:val="00E8500D"/>
    <w:rsid w:val="00E869FB"/>
    <w:rsid w:val="00E87025"/>
    <w:rsid w:val="00E8708E"/>
    <w:rsid w:val="00E87541"/>
    <w:rsid w:val="00E90CFC"/>
    <w:rsid w:val="00E91EA6"/>
    <w:rsid w:val="00E92D38"/>
    <w:rsid w:val="00E92DCD"/>
    <w:rsid w:val="00E93559"/>
    <w:rsid w:val="00E93D4D"/>
    <w:rsid w:val="00E94156"/>
    <w:rsid w:val="00E945F7"/>
    <w:rsid w:val="00E9464B"/>
    <w:rsid w:val="00E96B72"/>
    <w:rsid w:val="00E97DC8"/>
    <w:rsid w:val="00EA10FD"/>
    <w:rsid w:val="00EA1BAB"/>
    <w:rsid w:val="00EA2518"/>
    <w:rsid w:val="00EA3766"/>
    <w:rsid w:val="00EA54A1"/>
    <w:rsid w:val="00EB0FA4"/>
    <w:rsid w:val="00EB1E2A"/>
    <w:rsid w:val="00EB2537"/>
    <w:rsid w:val="00EB36D3"/>
    <w:rsid w:val="00EB5F23"/>
    <w:rsid w:val="00EB7CE0"/>
    <w:rsid w:val="00EC2EF1"/>
    <w:rsid w:val="00EC35CB"/>
    <w:rsid w:val="00EC3BBF"/>
    <w:rsid w:val="00EC483E"/>
    <w:rsid w:val="00EC758C"/>
    <w:rsid w:val="00EC797E"/>
    <w:rsid w:val="00EC7E72"/>
    <w:rsid w:val="00ED0342"/>
    <w:rsid w:val="00ED27BE"/>
    <w:rsid w:val="00ED5354"/>
    <w:rsid w:val="00ED6641"/>
    <w:rsid w:val="00ED77B5"/>
    <w:rsid w:val="00EE1A7C"/>
    <w:rsid w:val="00EE2500"/>
    <w:rsid w:val="00EE2683"/>
    <w:rsid w:val="00EE2789"/>
    <w:rsid w:val="00EE2B62"/>
    <w:rsid w:val="00EE3783"/>
    <w:rsid w:val="00EE3BD1"/>
    <w:rsid w:val="00EE4AAF"/>
    <w:rsid w:val="00EE6817"/>
    <w:rsid w:val="00EE7D01"/>
    <w:rsid w:val="00EF0E51"/>
    <w:rsid w:val="00EF14C7"/>
    <w:rsid w:val="00EF1561"/>
    <w:rsid w:val="00EF2019"/>
    <w:rsid w:val="00EF275F"/>
    <w:rsid w:val="00EF3FAF"/>
    <w:rsid w:val="00EF495B"/>
    <w:rsid w:val="00EF5796"/>
    <w:rsid w:val="00EF71A9"/>
    <w:rsid w:val="00EF774A"/>
    <w:rsid w:val="00F00970"/>
    <w:rsid w:val="00F01985"/>
    <w:rsid w:val="00F01C73"/>
    <w:rsid w:val="00F03E70"/>
    <w:rsid w:val="00F05275"/>
    <w:rsid w:val="00F05DE9"/>
    <w:rsid w:val="00F14218"/>
    <w:rsid w:val="00F14B36"/>
    <w:rsid w:val="00F14F57"/>
    <w:rsid w:val="00F1574A"/>
    <w:rsid w:val="00F15BCC"/>
    <w:rsid w:val="00F16726"/>
    <w:rsid w:val="00F1729F"/>
    <w:rsid w:val="00F177F5"/>
    <w:rsid w:val="00F21AFE"/>
    <w:rsid w:val="00F22370"/>
    <w:rsid w:val="00F22A4D"/>
    <w:rsid w:val="00F23348"/>
    <w:rsid w:val="00F252B4"/>
    <w:rsid w:val="00F26E1A"/>
    <w:rsid w:val="00F271BA"/>
    <w:rsid w:val="00F277CE"/>
    <w:rsid w:val="00F27A12"/>
    <w:rsid w:val="00F27A81"/>
    <w:rsid w:val="00F3197D"/>
    <w:rsid w:val="00F31B3C"/>
    <w:rsid w:val="00F32BA7"/>
    <w:rsid w:val="00F33188"/>
    <w:rsid w:val="00F34BA0"/>
    <w:rsid w:val="00F3586D"/>
    <w:rsid w:val="00F36DDD"/>
    <w:rsid w:val="00F37ABB"/>
    <w:rsid w:val="00F4028E"/>
    <w:rsid w:val="00F40EA9"/>
    <w:rsid w:val="00F42B5C"/>
    <w:rsid w:val="00F43079"/>
    <w:rsid w:val="00F436A5"/>
    <w:rsid w:val="00F43969"/>
    <w:rsid w:val="00F440CB"/>
    <w:rsid w:val="00F441D9"/>
    <w:rsid w:val="00F44249"/>
    <w:rsid w:val="00F45D8B"/>
    <w:rsid w:val="00F45DC9"/>
    <w:rsid w:val="00F46F45"/>
    <w:rsid w:val="00F47A1A"/>
    <w:rsid w:val="00F47E8F"/>
    <w:rsid w:val="00F50CE3"/>
    <w:rsid w:val="00F53F16"/>
    <w:rsid w:val="00F5564B"/>
    <w:rsid w:val="00F5665C"/>
    <w:rsid w:val="00F56B77"/>
    <w:rsid w:val="00F574F2"/>
    <w:rsid w:val="00F60135"/>
    <w:rsid w:val="00F60571"/>
    <w:rsid w:val="00F615F0"/>
    <w:rsid w:val="00F61DAC"/>
    <w:rsid w:val="00F621F2"/>
    <w:rsid w:val="00F62555"/>
    <w:rsid w:val="00F62C9F"/>
    <w:rsid w:val="00F62E03"/>
    <w:rsid w:val="00F63C58"/>
    <w:rsid w:val="00F63E7A"/>
    <w:rsid w:val="00F65595"/>
    <w:rsid w:val="00F6575B"/>
    <w:rsid w:val="00F65ECF"/>
    <w:rsid w:val="00F67B45"/>
    <w:rsid w:val="00F7036B"/>
    <w:rsid w:val="00F70D76"/>
    <w:rsid w:val="00F73700"/>
    <w:rsid w:val="00F73AE6"/>
    <w:rsid w:val="00F740EB"/>
    <w:rsid w:val="00F75CF6"/>
    <w:rsid w:val="00F7686D"/>
    <w:rsid w:val="00F77534"/>
    <w:rsid w:val="00F77737"/>
    <w:rsid w:val="00F77814"/>
    <w:rsid w:val="00F77ED6"/>
    <w:rsid w:val="00F8056C"/>
    <w:rsid w:val="00F84712"/>
    <w:rsid w:val="00F9203C"/>
    <w:rsid w:val="00F92491"/>
    <w:rsid w:val="00F93733"/>
    <w:rsid w:val="00F9572F"/>
    <w:rsid w:val="00F971A0"/>
    <w:rsid w:val="00F9732B"/>
    <w:rsid w:val="00F97D46"/>
    <w:rsid w:val="00FA0518"/>
    <w:rsid w:val="00FA173B"/>
    <w:rsid w:val="00FA1CE1"/>
    <w:rsid w:val="00FA2352"/>
    <w:rsid w:val="00FA26EE"/>
    <w:rsid w:val="00FA2E75"/>
    <w:rsid w:val="00FA3A02"/>
    <w:rsid w:val="00FA6308"/>
    <w:rsid w:val="00FA7873"/>
    <w:rsid w:val="00FA7E28"/>
    <w:rsid w:val="00FB0C0E"/>
    <w:rsid w:val="00FB1092"/>
    <w:rsid w:val="00FB16CD"/>
    <w:rsid w:val="00FB2ABC"/>
    <w:rsid w:val="00FB2BB9"/>
    <w:rsid w:val="00FB32C0"/>
    <w:rsid w:val="00FB3631"/>
    <w:rsid w:val="00FB3A97"/>
    <w:rsid w:val="00FB43C5"/>
    <w:rsid w:val="00FB4A81"/>
    <w:rsid w:val="00FB7F0F"/>
    <w:rsid w:val="00FC072F"/>
    <w:rsid w:val="00FC1BC4"/>
    <w:rsid w:val="00FC3552"/>
    <w:rsid w:val="00FC36F4"/>
    <w:rsid w:val="00FC3E0D"/>
    <w:rsid w:val="00FC4177"/>
    <w:rsid w:val="00FC47BC"/>
    <w:rsid w:val="00FC5923"/>
    <w:rsid w:val="00FC6232"/>
    <w:rsid w:val="00FC719A"/>
    <w:rsid w:val="00FC7577"/>
    <w:rsid w:val="00FC790C"/>
    <w:rsid w:val="00FD02EE"/>
    <w:rsid w:val="00FD07B1"/>
    <w:rsid w:val="00FD1737"/>
    <w:rsid w:val="00FD1FE0"/>
    <w:rsid w:val="00FD2D97"/>
    <w:rsid w:val="00FD42A1"/>
    <w:rsid w:val="00FD52DE"/>
    <w:rsid w:val="00FD5A1B"/>
    <w:rsid w:val="00FD6594"/>
    <w:rsid w:val="00FD6B75"/>
    <w:rsid w:val="00FD7859"/>
    <w:rsid w:val="00FE16D6"/>
    <w:rsid w:val="00FE22A6"/>
    <w:rsid w:val="00FE2FA5"/>
    <w:rsid w:val="00FE34D8"/>
    <w:rsid w:val="00FE35E9"/>
    <w:rsid w:val="00FE6E82"/>
    <w:rsid w:val="00FF450C"/>
    <w:rsid w:val="00FF463B"/>
    <w:rsid w:val="00FF50FA"/>
    <w:rsid w:val="00FF5C73"/>
    <w:rsid w:val="00FF6A3D"/>
    <w:rsid w:val="00FF6D0D"/>
    <w:rsid w:val="01327305"/>
    <w:rsid w:val="014602FA"/>
    <w:rsid w:val="03130674"/>
    <w:rsid w:val="039F1BC2"/>
    <w:rsid w:val="03C45EEF"/>
    <w:rsid w:val="03F71B69"/>
    <w:rsid w:val="06274DB2"/>
    <w:rsid w:val="062F6A41"/>
    <w:rsid w:val="068D2653"/>
    <w:rsid w:val="06F431EF"/>
    <w:rsid w:val="075F4C9F"/>
    <w:rsid w:val="07724E73"/>
    <w:rsid w:val="07827F6C"/>
    <w:rsid w:val="083D6F28"/>
    <w:rsid w:val="08503D01"/>
    <w:rsid w:val="08900160"/>
    <w:rsid w:val="08C45BD1"/>
    <w:rsid w:val="08E75EC9"/>
    <w:rsid w:val="09016473"/>
    <w:rsid w:val="09137F54"/>
    <w:rsid w:val="0B3D575C"/>
    <w:rsid w:val="0BA923A3"/>
    <w:rsid w:val="0C351705"/>
    <w:rsid w:val="0C442D54"/>
    <w:rsid w:val="0C873133"/>
    <w:rsid w:val="0D031347"/>
    <w:rsid w:val="0EF024FE"/>
    <w:rsid w:val="0F0D795F"/>
    <w:rsid w:val="0F191B28"/>
    <w:rsid w:val="0FBE5D4A"/>
    <w:rsid w:val="105260C8"/>
    <w:rsid w:val="113E5440"/>
    <w:rsid w:val="123D7876"/>
    <w:rsid w:val="12D549E0"/>
    <w:rsid w:val="133C13AD"/>
    <w:rsid w:val="138429FF"/>
    <w:rsid w:val="160A61C8"/>
    <w:rsid w:val="163B213D"/>
    <w:rsid w:val="164C4C78"/>
    <w:rsid w:val="1859120D"/>
    <w:rsid w:val="187638CB"/>
    <w:rsid w:val="19952E57"/>
    <w:rsid w:val="19C31523"/>
    <w:rsid w:val="1AE92F2F"/>
    <w:rsid w:val="1C4B2841"/>
    <w:rsid w:val="1D3604B8"/>
    <w:rsid w:val="1D986A5F"/>
    <w:rsid w:val="1E4E61AB"/>
    <w:rsid w:val="1E6D3F72"/>
    <w:rsid w:val="1EEA4265"/>
    <w:rsid w:val="1F1E443C"/>
    <w:rsid w:val="1F53153D"/>
    <w:rsid w:val="1F5F1CED"/>
    <w:rsid w:val="1F991DA9"/>
    <w:rsid w:val="1FB07506"/>
    <w:rsid w:val="21425E37"/>
    <w:rsid w:val="21CB7C39"/>
    <w:rsid w:val="21DD6E9A"/>
    <w:rsid w:val="230F12E5"/>
    <w:rsid w:val="232402E6"/>
    <w:rsid w:val="23A45F21"/>
    <w:rsid w:val="24753F72"/>
    <w:rsid w:val="25950217"/>
    <w:rsid w:val="25E116AE"/>
    <w:rsid w:val="264E6DF1"/>
    <w:rsid w:val="276B25D9"/>
    <w:rsid w:val="282E53DF"/>
    <w:rsid w:val="284346D3"/>
    <w:rsid w:val="2883361E"/>
    <w:rsid w:val="28D92B11"/>
    <w:rsid w:val="28DC6DC3"/>
    <w:rsid w:val="29680B43"/>
    <w:rsid w:val="296B5C94"/>
    <w:rsid w:val="297857E8"/>
    <w:rsid w:val="29A90022"/>
    <w:rsid w:val="29DF4157"/>
    <w:rsid w:val="2AB078A1"/>
    <w:rsid w:val="2ABC7FF4"/>
    <w:rsid w:val="2B4A3BCC"/>
    <w:rsid w:val="2B53374B"/>
    <w:rsid w:val="2C683514"/>
    <w:rsid w:val="2CE4621E"/>
    <w:rsid w:val="2D2E2662"/>
    <w:rsid w:val="2D6F57F1"/>
    <w:rsid w:val="2D8F379E"/>
    <w:rsid w:val="2DB70298"/>
    <w:rsid w:val="2DCD3188"/>
    <w:rsid w:val="2E3A0FCE"/>
    <w:rsid w:val="2E8A1FD4"/>
    <w:rsid w:val="2F967065"/>
    <w:rsid w:val="2F9F6080"/>
    <w:rsid w:val="2FA82859"/>
    <w:rsid w:val="3161096D"/>
    <w:rsid w:val="31B577D3"/>
    <w:rsid w:val="31BF4355"/>
    <w:rsid w:val="33016EEC"/>
    <w:rsid w:val="34E93982"/>
    <w:rsid w:val="35337105"/>
    <w:rsid w:val="35397CE4"/>
    <w:rsid w:val="35B93E1D"/>
    <w:rsid w:val="35BB5A78"/>
    <w:rsid w:val="362B4BB0"/>
    <w:rsid w:val="36B369BC"/>
    <w:rsid w:val="36D311EC"/>
    <w:rsid w:val="373D42AF"/>
    <w:rsid w:val="37887BDC"/>
    <w:rsid w:val="37F0752F"/>
    <w:rsid w:val="38F65019"/>
    <w:rsid w:val="3A5706CA"/>
    <w:rsid w:val="3A8C5EE1"/>
    <w:rsid w:val="3AA86E42"/>
    <w:rsid w:val="3AC64654"/>
    <w:rsid w:val="3C157B58"/>
    <w:rsid w:val="3C8E3C58"/>
    <w:rsid w:val="3D946B26"/>
    <w:rsid w:val="3DD11865"/>
    <w:rsid w:val="3E130618"/>
    <w:rsid w:val="3E5C76CC"/>
    <w:rsid w:val="3E852542"/>
    <w:rsid w:val="3F0A35CC"/>
    <w:rsid w:val="3F46335F"/>
    <w:rsid w:val="40063D93"/>
    <w:rsid w:val="40073668"/>
    <w:rsid w:val="404E3729"/>
    <w:rsid w:val="41845E18"/>
    <w:rsid w:val="418D64C7"/>
    <w:rsid w:val="42874DDA"/>
    <w:rsid w:val="447137A5"/>
    <w:rsid w:val="44A408E4"/>
    <w:rsid w:val="4586012B"/>
    <w:rsid w:val="46034F80"/>
    <w:rsid w:val="46D52711"/>
    <w:rsid w:val="46FF114E"/>
    <w:rsid w:val="477E24A6"/>
    <w:rsid w:val="48D20D16"/>
    <w:rsid w:val="49153BFE"/>
    <w:rsid w:val="495A6A03"/>
    <w:rsid w:val="49B7364A"/>
    <w:rsid w:val="4B652BD6"/>
    <w:rsid w:val="4BA00898"/>
    <w:rsid w:val="4BAB57EF"/>
    <w:rsid w:val="4C20442F"/>
    <w:rsid w:val="4C472FB9"/>
    <w:rsid w:val="4CB92B07"/>
    <w:rsid w:val="4CFE5DF2"/>
    <w:rsid w:val="4D613C17"/>
    <w:rsid w:val="4D741203"/>
    <w:rsid w:val="4D7603C1"/>
    <w:rsid w:val="4D913719"/>
    <w:rsid w:val="4EC945D9"/>
    <w:rsid w:val="4F2A6D95"/>
    <w:rsid w:val="4F5166AD"/>
    <w:rsid w:val="4F5418A3"/>
    <w:rsid w:val="4FBC446F"/>
    <w:rsid w:val="509855A0"/>
    <w:rsid w:val="51C01596"/>
    <w:rsid w:val="51EB4B97"/>
    <w:rsid w:val="538772DB"/>
    <w:rsid w:val="54004FF1"/>
    <w:rsid w:val="5461146F"/>
    <w:rsid w:val="54C811C0"/>
    <w:rsid w:val="55E15752"/>
    <w:rsid w:val="567B0F8C"/>
    <w:rsid w:val="569D30EA"/>
    <w:rsid w:val="57AC4DC9"/>
    <w:rsid w:val="58600B14"/>
    <w:rsid w:val="58883791"/>
    <w:rsid w:val="590D7AE9"/>
    <w:rsid w:val="597538C4"/>
    <w:rsid w:val="5A9870AD"/>
    <w:rsid w:val="5AC63BF3"/>
    <w:rsid w:val="5ACF6D7B"/>
    <w:rsid w:val="5B3E4541"/>
    <w:rsid w:val="5C3A09F3"/>
    <w:rsid w:val="5CA240BE"/>
    <w:rsid w:val="5CF12BDF"/>
    <w:rsid w:val="5D015F6A"/>
    <w:rsid w:val="5D7F6ADC"/>
    <w:rsid w:val="5E1D33EA"/>
    <w:rsid w:val="5E225B69"/>
    <w:rsid w:val="5E8C14B0"/>
    <w:rsid w:val="5EB554A4"/>
    <w:rsid w:val="619E6EEA"/>
    <w:rsid w:val="61EE37D8"/>
    <w:rsid w:val="6267755A"/>
    <w:rsid w:val="62CA67CA"/>
    <w:rsid w:val="62D25131"/>
    <w:rsid w:val="632B74E9"/>
    <w:rsid w:val="634265E1"/>
    <w:rsid w:val="63C5543F"/>
    <w:rsid w:val="63E4592A"/>
    <w:rsid w:val="64E84BBE"/>
    <w:rsid w:val="651309BF"/>
    <w:rsid w:val="65200300"/>
    <w:rsid w:val="65422DA9"/>
    <w:rsid w:val="666419B6"/>
    <w:rsid w:val="66A14995"/>
    <w:rsid w:val="673F55E2"/>
    <w:rsid w:val="68561A77"/>
    <w:rsid w:val="688D47A2"/>
    <w:rsid w:val="69214B72"/>
    <w:rsid w:val="69C2695B"/>
    <w:rsid w:val="6A1C3E7A"/>
    <w:rsid w:val="6A9C5414"/>
    <w:rsid w:val="6B2A23FC"/>
    <w:rsid w:val="6B7B547B"/>
    <w:rsid w:val="6B8074F3"/>
    <w:rsid w:val="6B88082C"/>
    <w:rsid w:val="6BA50055"/>
    <w:rsid w:val="6BCD3C18"/>
    <w:rsid w:val="6C5D5F31"/>
    <w:rsid w:val="6E7A4AAE"/>
    <w:rsid w:val="6EB10D9D"/>
    <w:rsid w:val="6F932AAB"/>
    <w:rsid w:val="6FF0426F"/>
    <w:rsid w:val="706A7CD9"/>
    <w:rsid w:val="711646DE"/>
    <w:rsid w:val="716714CA"/>
    <w:rsid w:val="71B56DB4"/>
    <w:rsid w:val="71B608C6"/>
    <w:rsid w:val="733358E0"/>
    <w:rsid w:val="73DA12B3"/>
    <w:rsid w:val="73EB76FB"/>
    <w:rsid w:val="748273EA"/>
    <w:rsid w:val="75771AEC"/>
    <w:rsid w:val="76895BF6"/>
    <w:rsid w:val="768C6BDE"/>
    <w:rsid w:val="769C07B3"/>
    <w:rsid w:val="77485C09"/>
    <w:rsid w:val="77A72BBC"/>
    <w:rsid w:val="77EB085D"/>
    <w:rsid w:val="78237F74"/>
    <w:rsid w:val="78531908"/>
    <w:rsid w:val="79415FFC"/>
    <w:rsid w:val="79A4156C"/>
    <w:rsid w:val="7A925C48"/>
    <w:rsid w:val="7A9549F1"/>
    <w:rsid w:val="7AB3392A"/>
    <w:rsid w:val="7AC02767"/>
    <w:rsid w:val="7ADD477A"/>
    <w:rsid w:val="7B6D1431"/>
    <w:rsid w:val="7B8E13F6"/>
    <w:rsid w:val="7BA94791"/>
    <w:rsid w:val="7C710784"/>
    <w:rsid w:val="7C79499C"/>
    <w:rsid w:val="7C914051"/>
    <w:rsid w:val="7CC11EFA"/>
    <w:rsid w:val="7D2B267F"/>
    <w:rsid w:val="7F0C6A43"/>
    <w:rsid w:val="7F460778"/>
    <w:rsid w:val="7FFB4A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imes New Roman" w:hAnsi="Times New Roman" w:eastAsia="微软雅黑" w:cs="Times New Roman"/>
      <w:sz w:val="22"/>
      <w:szCs w:val="22"/>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qFormat/>
    <w:uiPriority w:val="0"/>
    <w:pPr>
      <w:keepNext/>
      <w:widowControl w:val="0"/>
      <w:adjustRightInd/>
      <w:snapToGrid/>
      <w:spacing w:before="240" w:after="240" w:line="520" w:lineRule="exact"/>
      <w:outlineLvl w:val="1"/>
    </w:pPr>
    <w:rPr>
      <w:rFonts w:eastAsia="Times New Roman"/>
      <w:b/>
      <w:bCs/>
      <w:kern w:val="2"/>
      <w:sz w:val="28"/>
      <w:szCs w:val="32"/>
    </w:rPr>
  </w:style>
  <w:style w:type="paragraph" w:styleId="4">
    <w:name w:val="heading 3"/>
    <w:basedOn w:val="1"/>
    <w:next w:val="1"/>
    <w:link w:val="26"/>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99"/>
    <w:pPr>
      <w:widowControl w:val="0"/>
      <w:adjustRightInd/>
      <w:snapToGrid/>
      <w:spacing w:after="0"/>
      <w:jc w:val="both"/>
    </w:pPr>
    <w:rPr>
      <w:rFonts w:ascii="Calibri" w:hAnsi="Calibri" w:eastAsia="宋体"/>
      <w:kern w:val="2"/>
      <w:sz w:val="28"/>
    </w:rPr>
  </w:style>
  <w:style w:type="paragraph" w:customStyle="1" w:styleId="6">
    <w:name w:val="样式 正文文本 + 首行缩进:  2 字符"/>
    <w:qFormat/>
    <w:uiPriority w:val="99"/>
    <w:pPr>
      <w:spacing w:after="200" w:line="480" w:lineRule="exact"/>
      <w:ind w:firstLine="480" w:firstLineChars="200"/>
    </w:pPr>
    <w:rPr>
      <w:rFonts w:ascii="Times New Roman" w:hAnsi="Times New Roman" w:eastAsia="微软雅黑" w:cs="Times New Roman"/>
      <w:sz w:val="24"/>
      <w:szCs w:val="22"/>
      <w:lang w:val="en-US" w:eastAsia="zh-CN" w:bidi="ar-SA"/>
    </w:rPr>
  </w:style>
  <w:style w:type="paragraph" w:styleId="7">
    <w:name w:val="annotation text"/>
    <w:basedOn w:val="1"/>
    <w:link w:val="57"/>
    <w:semiHidden/>
    <w:qFormat/>
    <w:uiPriority w:val="0"/>
  </w:style>
  <w:style w:type="paragraph" w:styleId="8">
    <w:name w:val="Body Text"/>
    <w:basedOn w:val="1"/>
    <w:next w:val="1"/>
    <w:semiHidden/>
    <w:qFormat/>
    <w:uiPriority w:val="0"/>
    <w:rPr>
      <w:rFonts w:ascii="仿宋" w:hAnsi="仿宋" w:eastAsia="仿宋" w:cs="仿宋"/>
      <w:sz w:val="33"/>
      <w:szCs w:val="33"/>
      <w:lang w:val="en-US" w:eastAsia="en-US" w:bidi="ar-SA"/>
    </w:rPr>
  </w:style>
  <w:style w:type="paragraph" w:styleId="9">
    <w:name w:val="Body Text Indent"/>
    <w:basedOn w:val="1"/>
    <w:link w:val="36"/>
    <w:qFormat/>
    <w:uiPriority w:val="0"/>
    <w:pPr>
      <w:widowControl w:val="0"/>
      <w:adjustRightInd/>
      <w:snapToGrid/>
      <w:spacing w:after="120"/>
      <w:ind w:left="420" w:leftChars="200"/>
      <w:jc w:val="both"/>
    </w:pPr>
    <w:rPr>
      <w:rFonts w:eastAsia="宋体"/>
      <w:kern w:val="2"/>
      <w:sz w:val="21"/>
      <w:szCs w:val="20"/>
    </w:rPr>
  </w:style>
  <w:style w:type="paragraph" w:styleId="10">
    <w:name w:val="Plain Text"/>
    <w:basedOn w:val="1"/>
    <w:link w:val="27"/>
    <w:qFormat/>
    <w:uiPriority w:val="0"/>
    <w:rPr>
      <w:rFonts w:ascii="宋体" w:hAnsi="Courier New" w:eastAsia="宋体" w:cs="Courier New"/>
      <w:sz w:val="21"/>
      <w:szCs w:val="21"/>
    </w:rPr>
  </w:style>
  <w:style w:type="paragraph" w:styleId="11">
    <w:name w:val="Date"/>
    <w:basedOn w:val="1"/>
    <w:next w:val="1"/>
    <w:link w:val="52"/>
    <w:qFormat/>
    <w:uiPriority w:val="0"/>
    <w:pPr>
      <w:ind w:left="100" w:leftChars="2500"/>
    </w:pPr>
  </w:style>
  <w:style w:type="paragraph" w:styleId="12">
    <w:name w:val="Balloon Text"/>
    <w:basedOn w:val="1"/>
    <w:link w:val="59"/>
    <w:semiHidden/>
    <w:qFormat/>
    <w:uiPriority w:val="0"/>
    <w:rPr>
      <w:sz w:val="18"/>
      <w:szCs w:val="18"/>
    </w:rPr>
  </w:style>
  <w:style w:type="paragraph" w:styleId="13">
    <w:name w:val="footer"/>
    <w:basedOn w:val="1"/>
    <w:link w:val="42"/>
    <w:qFormat/>
    <w:uiPriority w:val="99"/>
    <w:pPr>
      <w:tabs>
        <w:tab w:val="center" w:pos="4153"/>
        <w:tab w:val="right" w:pos="8306"/>
      </w:tabs>
    </w:pPr>
    <w:rPr>
      <w:rFonts w:eastAsia="宋体"/>
      <w:sz w:val="18"/>
      <w:szCs w:val="18"/>
    </w:rPr>
  </w:style>
  <w:style w:type="paragraph" w:styleId="14">
    <w:name w:val="header"/>
    <w:basedOn w:val="1"/>
    <w:link w:val="39"/>
    <w:qFormat/>
    <w:uiPriority w:val="0"/>
    <w:pPr>
      <w:pBdr>
        <w:bottom w:val="single" w:color="auto" w:sz="6" w:space="1"/>
      </w:pBdr>
      <w:tabs>
        <w:tab w:val="center" w:pos="4153"/>
        <w:tab w:val="right" w:pos="8306"/>
      </w:tabs>
      <w:jc w:val="center"/>
    </w:pPr>
    <w:rPr>
      <w:sz w:val="18"/>
      <w:szCs w:val="18"/>
    </w:rPr>
  </w:style>
  <w:style w:type="paragraph" w:styleId="15">
    <w:name w:val="Subtitle"/>
    <w:next w:val="1"/>
    <w:qFormat/>
    <w:uiPriority w:val="0"/>
    <w:pPr>
      <w:jc w:val="center"/>
      <w:outlineLvl w:val="1"/>
    </w:pPr>
    <w:rPr>
      <w:rFonts w:ascii="Times New Roman" w:hAnsi="Times New Roman" w:eastAsia="宋体" w:cs="Times New Roman"/>
      <w:bCs/>
      <w:color w:val="000000" w:themeColor="text1"/>
      <w:kern w:val="28"/>
      <w:sz w:val="24"/>
      <w:szCs w:val="24"/>
      <w:lang w:val="en-US" w:eastAsia="zh-CN" w:bidi="ar-SA"/>
      <w14:textFill>
        <w14:solidFill>
          <w14:schemeClr w14:val="tx1"/>
        </w14:solidFill>
      </w14:textFill>
    </w:rPr>
  </w:style>
  <w:style w:type="paragraph" w:styleId="16">
    <w:name w:val="Body Text 2"/>
    <w:basedOn w:val="1"/>
    <w:link w:val="53"/>
    <w:qFormat/>
    <w:uiPriority w:val="0"/>
    <w:pPr>
      <w:spacing w:after="120" w:line="480" w:lineRule="auto"/>
    </w:pPr>
  </w:style>
  <w:style w:type="paragraph" w:styleId="17">
    <w:name w:val="annotation subject"/>
    <w:basedOn w:val="7"/>
    <w:next w:val="7"/>
    <w:link w:val="58"/>
    <w:semiHidden/>
    <w:qFormat/>
    <w:uiPriority w:val="0"/>
    <w:rPr>
      <w:b/>
      <w:bCs/>
    </w:rPr>
  </w:style>
  <w:style w:type="paragraph" w:styleId="18">
    <w:name w:val="Body Text First Indent"/>
    <w:basedOn w:val="8"/>
    <w:next w:val="1"/>
    <w:qFormat/>
    <w:uiPriority w:val="0"/>
    <w:pPr>
      <w:ind w:firstLine="420" w:firstLineChars="100"/>
    </w:pPr>
    <w:rPr>
      <w:rFonts w:ascii="Calibri" w:hAnsi="Calibri"/>
    </w:rPr>
  </w:style>
  <w:style w:type="paragraph" w:styleId="19">
    <w:name w:val="Body Text First Indent 2"/>
    <w:basedOn w:val="1"/>
    <w:next w:val="1"/>
    <w:link w:val="50"/>
    <w:qFormat/>
    <w:uiPriority w:val="0"/>
    <w:pPr>
      <w:widowControl/>
      <w:adjustRightInd w:val="0"/>
      <w:snapToGrid w:val="0"/>
      <w:ind w:firstLine="420" w:firstLineChars="200"/>
      <w:jc w:val="left"/>
    </w:pPr>
    <w:rPr>
      <w:rFonts w:ascii="Tahoma" w:hAnsi="Tahoma" w:eastAsia="微软雅黑"/>
      <w:kern w:val="0"/>
      <w:sz w:val="22"/>
      <w:szCs w:val="22"/>
    </w:rPr>
  </w:style>
  <w:style w:type="table" w:styleId="21">
    <w:name w:val="Table Grid"/>
    <w:basedOn w:val="20"/>
    <w:qFormat/>
    <w:uiPriority w:val="59"/>
    <w:pPr>
      <w:adjustRightInd w:val="0"/>
      <w:snapToGrid w:val="0"/>
      <w:spacing w:after="2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Emphasis"/>
    <w:qFormat/>
    <w:uiPriority w:val="0"/>
    <w:rPr>
      <w:i/>
      <w:iCs/>
    </w:rPr>
  </w:style>
  <w:style w:type="character" w:styleId="25">
    <w:name w:val="annotation reference"/>
    <w:semiHidden/>
    <w:qFormat/>
    <w:uiPriority w:val="0"/>
    <w:rPr>
      <w:sz w:val="21"/>
      <w:szCs w:val="21"/>
    </w:rPr>
  </w:style>
  <w:style w:type="character" w:customStyle="1" w:styleId="26">
    <w:name w:val="标题 3 字符"/>
    <w:link w:val="4"/>
    <w:qFormat/>
    <w:uiPriority w:val="0"/>
    <w:rPr>
      <w:rFonts w:ascii="Tahoma" w:hAnsi="Tahoma" w:eastAsia="微软雅黑"/>
      <w:b/>
      <w:bCs/>
      <w:sz w:val="32"/>
      <w:szCs w:val="32"/>
    </w:rPr>
  </w:style>
  <w:style w:type="character" w:customStyle="1" w:styleId="27">
    <w:name w:val="纯文本 字符"/>
    <w:link w:val="10"/>
    <w:qFormat/>
    <w:uiPriority w:val="0"/>
    <w:rPr>
      <w:rFonts w:ascii="宋体" w:hAnsi="Courier New" w:eastAsia="宋体" w:cs="Courier New"/>
      <w:sz w:val="21"/>
      <w:szCs w:val="21"/>
      <w:lang w:val="en-US" w:eastAsia="zh-CN" w:bidi="ar-SA"/>
    </w:rPr>
  </w:style>
  <w:style w:type="character" w:customStyle="1" w:styleId="28">
    <w:name w:val="段落 Char Char Char Char Char Char"/>
    <w:link w:val="29"/>
    <w:qFormat/>
    <w:uiPriority w:val="0"/>
    <w:rPr>
      <w:rFonts w:eastAsia="宋体"/>
      <w:kern w:val="2"/>
      <w:sz w:val="21"/>
      <w:szCs w:val="21"/>
      <w:lang w:val="en-US" w:eastAsia="zh-CN" w:bidi="ar-SA"/>
    </w:rPr>
  </w:style>
  <w:style w:type="paragraph" w:customStyle="1" w:styleId="29">
    <w:name w:val="段落 Char Char Char Char Char"/>
    <w:basedOn w:val="10"/>
    <w:link w:val="28"/>
    <w:qFormat/>
    <w:uiPriority w:val="0"/>
    <w:pPr>
      <w:widowControl w:val="0"/>
      <w:tabs>
        <w:tab w:val="left" w:pos="600"/>
        <w:tab w:val="left" w:pos="720"/>
      </w:tabs>
      <w:adjustRightInd/>
      <w:spacing w:after="0" w:line="240" w:lineRule="atLeast"/>
      <w:jc w:val="center"/>
    </w:pPr>
    <w:rPr>
      <w:rFonts w:ascii="Times New Roman" w:hAnsi="Times New Roman" w:cs="Times New Roman"/>
      <w:kern w:val="2"/>
    </w:rPr>
  </w:style>
  <w:style w:type="character" w:customStyle="1" w:styleId="30">
    <w:name w:val="标题 2 字符"/>
    <w:link w:val="3"/>
    <w:qFormat/>
    <w:uiPriority w:val="0"/>
    <w:rPr>
      <w:rFonts w:eastAsia="Times New Roman"/>
      <w:b/>
      <w:bCs/>
      <w:kern w:val="2"/>
      <w:sz w:val="28"/>
      <w:szCs w:val="32"/>
    </w:rPr>
  </w:style>
  <w:style w:type="character" w:customStyle="1" w:styleId="31">
    <w:name w:val="font31"/>
    <w:qFormat/>
    <w:uiPriority w:val="0"/>
    <w:rPr>
      <w:rFonts w:hint="eastAsia" w:ascii="宋体" w:hAnsi="宋体" w:eastAsia="宋体" w:cs="宋体"/>
      <w:color w:val="000000"/>
      <w:sz w:val="24"/>
      <w:szCs w:val="24"/>
      <w:u w:val="none"/>
    </w:rPr>
  </w:style>
  <w:style w:type="character" w:customStyle="1" w:styleId="32">
    <w:name w:val="font51"/>
    <w:qFormat/>
    <w:uiPriority w:val="0"/>
    <w:rPr>
      <w:rFonts w:hint="default" w:ascii="Times New Roman" w:hAnsi="Times New Roman" w:cs="Times New Roman"/>
      <w:color w:val="000000"/>
      <w:sz w:val="22"/>
      <w:szCs w:val="22"/>
      <w:u w:val="none"/>
      <w:vertAlign w:val="superscript"/>
    </w:rPr>
  </w:style>
  <w:style w:type="character" w:customStyle="1" w:styleId="33">
    <w:name w:val="表头 Char1"/>
    <w:link w:val="34"/>
    <w:qFormat/>
    <w:uiPriority w:val="0"/>
    <w:rPr>
      <w:rFonts w:eastAsia="黑体"/>
      <w:spacing w:val="6"/>
      <w:kern w:val="2"/>
      <w:position w:val="10"/>
      <w:sz w:val="24"/>
      <w:szCs w:val="24"/>
    </w:rPr>
  </w:style>
  <w:style w:type="paragraph" w:customStyle="1" w:styleId="34">
    <w:name w:val="表头"/>
    <w:basedOn w:val="35"/>
    <w:link w:val="33"/>
    <w:qFormat/>
    <w:uiPriority w:val="0"/>
    <w:pPr>
      <w:spacing w:line="240" w:lineRule="auto"/>
      <w:ind w:firstLine="504"/>
      <w:jc w:val="left"/>
    </w:pPr>
    <w:rPr>
      <w:rFonts w:eastAsia="黑体"/>
      <w:spacing w:val="6"/>
      <w:position w:val="10"/>
      <w:sz w:val="24"/>
      <w:szCs w:val="24"/>
    </w:rPr>
  </w:style>
  <w:style w:type="paragraph" w:customStyle="1" w:styleId="35">
    <w:name w:val="表格正文"/>
    <w:basedOn w:val="1"/>
    <w:qFormat/>
    <w:uiPriority w:val="0"/>
    <w:pPr>
      <w:widowControl w:val="0"/>
      <w:adjustRightInd/>
      <w:snapToGrid/>
      <w:spacing w:after="0" w:line="520" w:lineRule="exact"/>
      <w:ind w:firstLine="200" w:firstLineChars="200"/>
      <w:jc w:val="center"/>
    </w:pPr>
    <w:rPr>
      <w:rFonts w:eastAsia="宋体"/>
      <w:kern w:val="2"/>
      <w:sz w:val="21"/>
      <w:szCs w:val="20"/>
    </w:rPr>
  </w:style>
  <w:style w:type="character" w:customStyle="1" w:styleId="36">
    <w:name w:val="正文文本缩进 字符"/>
    <w:link w:val="9"/>
    <w:qFormat/>
    <w:uiPriority w:val="0"/>
    <w:rPr>
      <w:kern w:val="2"/>
      <w:sz w:val="21"/>
    </w:rPr>
  </w:style>
  <w:style w:type="character" w:customStyle="1" w:styleId="37">
    <w:name w:val="font101"/>
    <w:qFormat/>
    <w:uiPriority w:val="0"/>
    <w:rPr>
      <w:rFonts w:hint="default" w:ascii="Times New Roman" w:hAnsi="Times New Roman" w:cs="Times New Roman"/>
      <w:color w:val="000000"/>
      <w:sz w:val="22"/>
      <w:szCs w:val="22"/>
      <w:u w:val="none"/>
    </w:rPr>
  </w:style>
  <w:style w:type="character" w:customStyle="1" w:styleId="38">
    <w:name w:val="font21"/>
    <w:qFormat/>
    <w:uiPriority w:val="0"/>
    <w:rPr>
      <w:rFonts w:hint="default" w:ascii="Times New Roman" w:hAnsi="Times New Roman" w:cs="Times New Roman"/>
      <w:color w:val="000000"/>
      <w:sz w:val="22"/>
      <w:szCs w:val="22"/>
      <w:u w:val="none"/>
    </w:rPr>
  </w:style>
  <w:style w:type="character" w:customStyle="1" w:styleId="39">
    <w:name w:val="页眉 字符"/>
    <w:link w:val="14"/>
    <w:qFormat/>
    <w:uiPriority w:val="0"/>
    <w:rPr>
      <w:rFonts w:ascii="Tahoma" w:hAnsi="Tahoma" w:eastAsia="微软雅黑"/>
      <w:sz w:val="18"/>
      <w:szCs w:val="18"/>
    </w:rPr>
  </w:style>
  <w:style w:type="character" w:customStyle="1" w:styleId="40">
    <w:name w:val="段落 Char"/>
    <w:link w:val="41"/>
    <w:qFormat/>
    <w:uiPriority w:val="99"/>
    <w:rPr>
      <w:rFonts w:ascii="宋体" w:hAnsi="Courier New" w:eastAsia="宋体"/>
      <w:kern w:val="2"/>
      <w:sz w:val="28"/>
      <w:lang w:val="en-US" w:eastAsia="zh-CN" w:bidi="ar-SA"/>
    </w:rPr>
  </w:style>
  <w:style w:type="paragraph" w:customStyle="1" w:styleId="41">
    <w:name w:val="段落"/>
    <w:basedOn w:val="10"/>
    <w:link w:val="40"/>
    <w:qFormat/>
    <w:uiPriority w:val="99"/>
    <w:pPr>
      <w:widowControl w:val="0"/>
      <w:adjustRightInd/>
      <w:snapToGrid/>
      <w:spacing w:after="0" w:line="500" w:lineRule="exact"/>
      <w:ind w:firstLine="578"/>
      <w:jc w:val="both"/>
    </w:pPr>
    <w:rPr>
      <w:rFonts w:cs="Times New Roman"/>
      <w:kern w:val="2"/>
      <w:sz w:val="28"/>
      <w:szCs w:val="20"/>
    </w:rPr>
  </w:style>
  <w:style w:type="character" w:customStyle="1" w:styleId="42">
    <w:name w:val="页脚 字符"/>
    <w:link w:val="13"/>
    <w:qFormat/>
    <w:uiPriority w:val="99"/>
    <w:rPr>
      <w:rFonts w:ascii="Tahoma" w:hAnsi="Tahoma"/>
      <w:sz w:val="18"/>
      <w:szCs w:val="18"/>
      <w:lang w:bidi="ar-SA"/>
    </w:rPr>
  </w:style>
  <w:style w:type="paragraph" w:customStyle="1" w:styleId="43">
    <w:name w:val="样式 结论 + 段后: 0.5 行"/>
    <w:basedOn w:val="1"/>
    <w:qFormat/>
    <w:uiPriority w:val="0"/>
    <w:pPr>
      <w:widowControl w:val="0"/>
      <w:adjustRightInd/>
      <w:spacing w:beforeLines="50" w:afterLines="50" w:line="500" w:lineRule="atLeast"/>
      <w:ind w:firstLine="561"/>
      <w:jc w:val="both"/>
    </w:pPr>
    <w:rPr>
      <w:rFonts w:ascii="楷体_GB2312" w:eastAsia="楷体_GB2312" w:cs="宋体"/>
      <w:b/>
      <w:bCs/>
      <w:kern w:val="2"/>
      <w:sz w:val="28"/>
      <w:szCs w:val="21"/>
    </w:rPr>
  </w:style>
  <w:style w:type="paragraph" w:customStyle="1" w:styleId="44">
    <w:name w:val="表格加粗"/>
    <w:basedOn w:val="35"/>
    <w:next w:val="35"/>
    <w:qFormat/>
    <w:uiPriority w:val="0"/>
    <w:pPr>
      <w:keepNext/>
      <w:adjustRightInd w:val="0"/>
      <w:textAlignment w:val="baseline"/>
    </w:pPr>
    <w:rPr>
      <w:b/>
      <w:kern w:val="0"/>
    </w:rPr>
  </w:style>
  <w:style w:type="paragraph" w:styleId="45">
    <w:name w:val="List Paragraph"/>
    <w:basedOn w:val="1"/>
    <w:qFormat/>
    <w:uiPriority w:val="0"/>
    <w:pPr>
      <w:widowControl w:val="0"/>
      <w:adjustRightInd/>
      <w:snapToGrid/>
      <w:spacing w:after="0"/>
      <w:ind w:firstLine="420" w:firstLineChars="200"/>
      <w:jc w:val="both"/>
    </w:pPr>
    <w:rPr>
      <w:rFonts w:eastAsia="宋体"/>
      <w:kern w:val="2"/>
      <w:sz w:val="21"/>
      <w:szCs w:val="20"/>
    </w:rPr>
  </w:style>
  <w:style w:type="paragraph" w:customStyle="1" w:styleId="46">
    <w:name w:val="普通(网站)1"/>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47">
    <w:name w:val="五号表格"/>
    <w:basedOn w:val="1"/>
    <w:qFormat/>
    <w:uiPriority w:val="0"/>
    <w:pPr>
      <w:widowControl w:val="0"/>
      <w:adjustRightInd/>
      <w:snapToGrid/>
      <w:spacing w:after="0"/>
      <w:jc w:val="center"/>
    </w:pPr>
    <w:rPr>
      <w:rFonts w:eastAsia="宋体"/>
      <w:kern w:val="2"/>
      <w:sz w:val="21"/>
      <w:szCs w:val="21"/>
    </w:rPr>
  </w:style>
  <w:style w:type="character" w:customStyle="1" w:styleId="48">
    <w:name w:val="正文1 Char"/>
    <w:link w:val="49"/>
    <w:qFormat/>
    <w:uiPriority w:val="0"/>
    <w:rPr>
      <w:rFonts w:ascii="楷体_GB2312" w:eastAsia="楷体_GB2312"/>
      <w:b/>
      <w:kern w:val="2"/>
      <w:sz w:val="28"/>
    </w:rPr>
  </w:style>
  <w:style w:type="paragraph" w:customStyle="1" w:styleId="49">
    <w:name w:val="正文1"/>
    <w:basedOn w:val="1"/>
    <w:link w:val="48"/>
    <w:qFormat/>
    <w:uiPriority w:val="0"/>
    <w:pPr>
      <w:widowControl w:val="0"/>
      <w:adjustRightInd/>
      <w:snapToGrid/>
      <w:spacing w:after="0"/>
      <w:ind w:firstLine="552"/>
      <w:jc w:val="both"/>
    </w:pPr>
    <w:rPr>
      <w:rFonts w:ascii="楷体_GB2312" w:eastAsia="楷体_GB2312"/>
      <w:b/>
      <w:kern w:val="2"/>
      <w:sz w:val="28"/>
      <w:szCs w:val="20"/>
    </w:rPr>
  </w:style>
  <w:style w:type="character" w:customStyle="1" w:styleId="50">
    <w:name w:val="正文文本首行缩进 2 字符"/>
    <w:basedOn w:val="36"/>
    <w:link w:val="19"/>
    <w:qFormat/>
    <w:uiPriority w:val="0"/>
    <w:rPr>
      <w:rFonts w:ascii="Tahoma" w:hAnsi="Tahoma" w:eastAsia="微软雅黑"/>
      <w:kern w:val="2"/>
      <w:sz w:val="22"/>
      <w:szCs w:val="22"/>
    </w:rPr>
  </w:style>
  <w:style w:type="paragraph" w:customStyle="1" w:styleId="51">
    <w:name w:val="表格"/>
    <w:basedOn w:val="1"/>
    <w:qFormat/>
    <w:uiPriority w:val="0"/>
    <w:pPr>
      <w:keepNext/>
      <w:widowControl w:val="0"/>
      <w:adjustRightInd/>
      <w:snapToGrid/>
      <w:spacing w:after="0" w:line="312" w:lineRule="atLeast"/>
      <w:jc w:val="center"/>
    </w:pPr>
    <w:rPr>
      <w:rFonts w:eastAsia="宋体"/>
      <w:color w:val="000000"/>
      <w:sz w:val="21"/>
      <w:szCs w:val="20"/>
    </w:rPr>
  </w:style>
  <w:style w:type="character" w:customStyle="1" w:styleId="52">
    <w:name w:val="日期 字符"/>
    <w:basedOn w:val="22"/>
    <w:link w:val="11"/>
    <w:qFormat/>
    <w:uiPriority w:val="0"/>
    <w:rPr>
      <w:rFonts w:ascii="Tahoma" w:hAnsi="Tahoma" w:eastAsia="微软雅黑"/>
      <w:sz w:val="22"/>
      <w:szCs w:val="22"/>
    </w:rPr>
  </w:style>
  <w:style w:type="character" w:customStyle="1" w:styleId="53">
    <w:name w:val="正文文本 2 字符"/>
    <w:basedOn w:val="22"/>
    <w:link w:val="16"/>
    <w:qFormat/>
    <w:uiPriority w:val="0"/>
    <w:rPr>
      <w:rFonts w:ascii="Tahoma" w:hAnsi="Tahoma" w:eastAsia="微软雅黑"/>
      <w:sz w:val="22"/>
      <w:szCs w:val="22"/>
    </w:rPr>
  </w:style>
  <w:style w:type="character" w:customStyle="1" w:styleId="54">
    <w:name w:val="fontstyle01"/>
    <w:basedOn w:val="22"/>
    <w:qFormat/>
    <w:uiPriority w:val="0"/>
    <w:rPr>
      <w:rFonts w:hint="eastAsia" w:ascii="仿宋_GB2312" w:eastAsia="仿宋_GB2312"/>
      <w:color w:val="000000"/>
      <w:sz w:val="30"/>
      <w:szCs w:val="30"/>
    </w:rPr>
  </w:style>
  <w:style w:type="paragraph" w:customStyle="1" w:styleId="55">
    <w:name w:val="Table Paragraph"/>
    <w:basedOn w:val="1"/>
    <w:qFormat/>
    <w:uiPriority w:val="1"/>
    <w:pPr>
      <w:widowControl w:val="0"/>
      <w:autoSpaceDE w:val="0"/>
      <w:autoSpaceDN w:val="0"/>
      <w:adjustRightInd/>
      <w:snapToGrid/>
      <w:spacing w:after="0"/>
    </w:pPr>
    <w:rPr>
      <w:rFonts w:ascii="宋体" w:hAnsi="宋体" w:eastAsia="宋体" w:cs="宋体"/>
      <w:lang w:val="zh-CN" w:bidi="zh-CN"/>
    </w:rPr>
  </w:style>
  <w:style w:type="character" w:customStyle="1" w:styleId="56">
    <w:name w:val="标题 1 字符"/>
    <w:basedOn w:val="22"/>
    <w:link w:val="2"/>
    <w:qFormat/>
    <w:uiPriority w:val="0"/>
    <w:rPr>
      <w:rFonts w:ascii="Tahoma" w:hAnsi="Tahoma" w:eastAsia="微软雅黑"/>
      <w:b/>
      <w:bCs/>
      <w:kern w:val="44"/>
      <w:sz w:val="44"/>
      <w:szCs w:val="44"/>
    </w:rPr>
  </w:style>
  <w:style w:type="character" w:customStyle="1" w:styleId="57">
    <w:name w:val="批注文字 字符"/>
    <w:basedOn w:val="22"/>
    <w:link w:val="7"/>
    <w:semiHidden/>
    <w:qFormat/>
    <w:uiPriority w:val="0"/>
    <w:rPr>
      <w:rFonts w:ascii="Tahoma" w:hAnsi="Tahoma" w:eastAsia="微软雅黑"/>
      <w:sz w:val="22"/>
      <w:szCs w:val="22"/>
    </w:rPr>
  </w:style>
  <w:style w:type="character" w:customStyle="1" w:styleId="58">
    <w:name w:val="批注主题 字符"/>
    <w:basedOn w:val="57"/>
    <w:link w:val="17"/>
    <w:semiHidden/>
    <w:qFormat/>
    <w:uiPriority w:val="0"/>
    <w:rPr>
      <w:rFonts w:ascii="Tahoma" w:hAnsi="Tahoma" w:eastAsia="微软雅黑"/>
      <w:b/>
      <w:bCs/>
      <w:sz w:val="22"/>
      <w:szCs w:val="22"/>
    </w:rPr>
  </w:style>
  <w:style w:type="character" w:customStyle="1" w:styleId="59">
    <w:name w:val="批注框文本 字符"/>
    <w:basedOn w:val="22"/>
    <w:link w:val="12"/>
    <w:semiHidden/>
    <w:qFormat/>
    <w:uiPriority w:val="0"/>
    <w:rPr>
      <w:rFonts w:ascii="Tahoma" w:hAnsi="Tahoma" w:eastAsia="微软雅黑"/>
      <w:sz w:val="18"/>
      <w:szCs w:val="18"/>
    </w:rPr>
  </w:style>
  <w:style w:type="character" w:customStyle="1" w:styleId="60">
    <w:name w:val="纯文本 字符1"/>
    <w:basedOn w:val="22"/>
    <w:semiHidden/>
    <w:qFormat/>
    <w:uiPriority w:val="99"/>
    <w:rPr>
      <w:rFonts w:hAnsi="Courier New" w:cs="Courier New" w:asciiTheme="minorEastAsia" w:eastAsiaTheme="minorEastAsia"/>
      <w:sz w:val="22"/>
      <w:szCs w:val="22"/>
    </w:rPr>
  </w:style>
  <w:style w:type="character" w:customStyle="1" w:styleId="61">
    <w:name w:val="正文文本缩进 字符1"/>
    <w:basedOn w:val="22"/>
    <w:semiHidden/>
    <w:qFormat/>
    <w:uiPriority w:val="99"/>
    <w:rPr>
      <w:rFonts w:ascii="Tahoma" w:hAnsi="Tahoma" w:eastAsia="微软雅黑"/>
      <w:sz w:val="22"/>
      <w:szCs w:val="22"/>
    </w:rPr>
  </w:style>
  <w:style w:type="character" w:customStyle="1" w:styleId="62">
    <w:name w:val="页脚 字符1"/>
    <w:basedOn w:val="22"/>
    <w:semiHidden/>
    <w:qFormat/>
    <w:uiPriority w:val="99"/>
    <w:rPr>
      <w:rFonts w:ascii="Tahoma" w:hAnsi="Tahoma" w:eastAsia="微软雅黑"/>
      <w:sz w:val="18"/>
      <w:szCs w:val="18"/>
    </w:rPr>
  </w:style>
  <w:style w:type="character" w:customStyle="1" w:styleId="63">
    <w:name w:val="页眉 字符1"/>
    <w:basedOn w:val="22"/>
    <w:semiHidden/>
    <w:qFormat/>
    <w:uiPriority w:val="99"/>
    <w:rPr>
      <w:rFonts w:ascii="Tahoma" w:hAnsi="Tahoma" w:eastAsia="微软雅黑"/>
      <w:sz w:val="18"/>
      <w:szCs w:val="18"/>
    </w:rPr>
  </w:style>
  <w:style w:type="paragraph" w:customStyle="1" w:styleId="64">
    <w:name w:val="鸿达表格文字"/>
    <w:basedOn w:val="1"/>
    <w:qFormat/>
    <w:uiPriority w:val="0"/>
    <w:pPr>
      <w:contextualSpacing/>
      <w:jc w:val="center"/>
      <w:textAlignment w:val="baseline"/>
    </w:pPr>
    <w:rPr>
      <w:szCs w:val="21"/>
      <w:lang w:val="zh-CN"/>
    </w:rPr>
  </w:style>
  <w:style w:type="paragraph" w:customStyle="1" w:styleId="65">
    <w:name w:val="2.表内居中"/>
    <w:qFormat/>
    <w:uiPriority w:val="0"/>
    <w:pPr>
      <w:jc w:val="center"/>
    </w:pPr>
    <w:rPr>
      <w:rFonts w:ascii="Times New Roman" w:hAnsi="Times New Roman" w:eastAsia="宋体" w:cs="Times New Roman"/>
      <w:bCs/>
      <w:sz w:val="21"/>
      <w:lang w:val="en-US" w:eastAsia="zh-CN" w:bidi="ar-SA"/>
    </w:rPr>
  </w:style>
  <w:style w:type="paragraph" w:customStyle="1" w:styleId="66">
    <w:name w:val="4.表内序号"/>
    <w:qFormat/>
    <w:uiPriority w:val="0"/>
    <w:pPr>
      <w:numPr>
        <w:ilvl w:val="0"/>
        <w:numId w:val="1"/>
      </w:numPr>
      <w:jc w:val="center"/>
    </w:pPr>
    <w:rPr>
      <w:rFonts w:ascii="Times New Roman" w:hAnsi="Times New Roman" w:eastAsia="宋体" w:cs="Times New Roman"/>
      <w:bCs/>
      <w:sz w:val="21"/>
      <w:lang w:val="en-US" w:eastAsia="zh-CN" w:bidi="ar-SA"/>
    </w:rPr>
  </w:style>
  <w:style w:type="paragraph" w:customStyle="1" w:styleId="67">
    <w:name w:val="表格模板样式"/>
    <w:next w:val="1"/>
    <w:qFormat/>
    <w:uiPriority w:val="0"/>
    <w:pPr>
      <w:adjustRightInd w:val="0"/>
      <w:snapToGrid w:val="0"/>
      <w:jc w:val="center"/>
    </w:pPr>
    <w:rPr>
      <w:rFonts w:ascii="Times New Roman" w:hAnsi="Times New Roman" w:eastAsia="宋体" w:cs="Times New Roman"/>
      <w:sz w:val="24"/>
    </w:rPr>
  </w:style>
  <w:style w:type="paragraph" w:customStyle="1" w:styleId="68">
    <w:name w:val="1.表头"/>
    <w:next w:val="1"/>
    <w:qFormat/>
    <w:uiPriority w:val="0"/>
    <w:pPr>
      <w:keepNext/>
      <w:widowControl w:val="0"/>
      <w:numPr>
        <w:ilvl w:val="0"/>
        <w:numId w:val="2"/>
      </w:numPr>
      <w:tabs>
        <w:tab w:val="left" w:pos="420"/>
        <w:tab w:val="center" w:pos="4284"/>
        <w:tab w:val="center" w:pos="7770"/>
      </w:tabs>
      <w:spacing w:line="460" w:lineRule="exact"/>
    </w:pPr>
    <w:rPr>
      <w:rFonts w:ascii="Times New Roman" w:hAnsi="Times New Roman" w:eastAsia="黑体" w:cs="宋体"/>
      <w:color w:val="000000"/>
      <w:kern w:val="2"/>
      <w:sz w:val="24"/>
      <w:szCs w:val="24"/>
      <w:lang w:val="en-US" w:eastAsia="zh-CN" w:bidi="ar-SA"/>
    </w:rPr>
  </w:style>
  <w:style w:type="paragraph" w:customStyle="1" w:styleId="69">
    <w:name w:val="表格内"/>
    <w:basedOn w:val="1"/>
    <w:qFormat/>
    <w:uiPriority w:val="0"/>
    <w:pPr>
      <w:spacing w:after="0"/>
      <w:jc w:val="center"/>
      <w:textAlignment w:val="baseline"/>
    </w:pPr>
    <w:rPr>
      <w:rFonts w:ascii="Times New Roman" w:hAnsi="Times New Roman" w:eastAsia="宋体"/>
      <w:color w:val="000000"/>
      <w:sz w:val="21"/>
      <w:szCs w:val="21"/>
    </w:rPr>
  </w:style>
  <w:style w:type="paragraph" w:customStyle="1" w:styleId="70">
    <w:name w:val="验收表格正文"/>
    <w:basedOn w:val="1"/>
    <w:qFormat/>
    <w:uiPriority w:val="0"/>
    <w:pPr>
      <w:widowControl w:val="0"/>
      <w:adjustRightInd/>
      <w:snapToGrid/>
      <w:spacing w:after="0"/>
      <w:jc w:val="center"/>
    </w:pPr>
    <w:rPr>
      <w:rFonts w:ascii="Times New Roman" w:hAnsi="Times New Roman" w:eastAsia="宋体"/>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6.png"/><Relationship Id="rId15" Type="http://schemas.openxmlformats.org/officeDocument/2006/relationships/image" Target="media/image5.emf"/><Relationship Id="rId14" Type="http://schemas.openxmlformats.org/officeDocument/2006/relationships/oleObject" Target="embeddings/oleObject3.bin"/><Relationship Id="rId13" Type="http://schemas.openxmlformats.org/officeDocument/2006/relationships/image" Target="media/image4.emf"/><Relationship Id="rId12" Type="http://schemas.openxmlformats.org/officeDocument/2006/relationships/oleObject" Target="embeddings/oleObject2.bin"/><Relationship Id="rId11" Type="http://schemas.openxmlformats.org/officeDocument/2006/relationships/image" Target="media/image3.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FE708-3551-43E1-841F-046B657DDB7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34</Pages>
  <Words>2908</Words>
  <Characters>3587</Characters>
  <Lines>51</Lines>
  <Paragraphs>43</Paragraphs>
  <TotalTime>0</TotalTime>
  <ScaleCrop>false</ScaleCrop>
  <LinksUpToDate>false</LinksUpToDate>
  <CharactersWithSpaces>3744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2022-12-30T08:47:00Z</dcterms:created>
  <dc:creator>Administrator</dc:creator>
  <cp:lastModifiedBy>赵凤新</cp:lastModifiedBy>
  <cp:lastPrinted>2023-01-04T09:37:00Z</cp:lastPrinted>
  <dcterms:modified xsi:type="dcterms:W3CDTF">2026-08-20T07:27:09Z</dcterms:modified>
  <dc:title>新乡市亚航电源电子科技有限公司</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9AD5B41BFF3B480F839FB1D7894341F9_13</vt:lpwstr>
  </property>
  <property fmtid="{D5CDD505-2E9C-101B-9397-08002B2CF9AE}" pid="4" name="KSOTemplateDocerSaveRecord">
    <vt:lpwstr>eyJoZGlkIjoiOGZjNmI5M2JlNGRhODM5MTA2NjA4NWIxOGFmMjNhMDkiLCJ1c2VySWQiOiIxMDA2MjU0NDgzIn0=</vt:lpwstr>
  </property>
</Properties>
</file>